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 xml:space="preserve">NEW </w:t>
      </w:r>
      <w:r w:rsidR="004F0142">
        <w:rPr>
          <w:szCs w:val="22"/>
        </w:rPr>
        <w:t>YORK</w:t>
      </w:r>
      <w:r w:rsidR="006C27B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1A3D3F">
        <w:rPr>
          <w:szCs w:val="22"/>
        </w:rPr>
        <w:t>40</w:t>
      </w:r>
      <w:r>
        <w:rPr>
          <w:szCs w:val="22"/>
        </w:rPr>
        <w:tab/>
      </w:r>
      <w:r>
        <w:rPr>
          <w:szCs w:val="22"/>
        </w:rPr>
        <w:tab/>
      </w:r>
      <w:r>
        <w:rPr>
          <w:szCs w:val="22"/>
        </w:rPr>
        <w:tab/>
      </w:r>
      <w:r>
        <w:rPr>
          <w:szCs w:val="22"/>
        </w:rPr>
        <w:tab/>
      </w:r>
      <w:r>
        <w:rPr>
          <w:szCs w:val="22"/>
        </w:rPr>
        <w:tab/>
        <w:t xml:space="preserve">     </w:t>
      </w:r>
      <w:r w:rsidR="0077000B">
        <w:rPr>
          <w:szCs w:val="22"/>
        </w:rPr>
        <w:t xml:space="preserve">   </w:t>
      </w:r>
      <w:r w:rsidR="00F4677B">
        <w:rPr>
          <w:szCs w:val="22"/>
        </w:rPr>
        <w:t xml:space="preserve">February </w:t>
      </w:r>
      <w:r w:rsidR="00222363">
        <w:rPr>
          <w:szCs w:val="22"/>
        </w:rPr>
        <w:t>18</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509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 xml:space="preserve">New </w:t>
      </w:r>
      <w:r w:rsidR="00A325FB">
        <w:rPr>
          <w:szCs w:val="22"/>
        </w:rPr>
        <w:t>York</w:t>
      </w:r>
      <w:r w:rsidR="006237C0">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420"/>
        <w:gridCol w:w="3330"/>
      </w:tblGrid>
      <w:tr w:rsidR="002912B5" w:rsidRPr="007E723C" w:rsidTr="001F161B">
        <w:trPr>
          <w:trHeight w:val="305"/>
        </w:trPr>
        <w:tc>
          <w:tcPr>
            <w:tcW w:w="261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42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1F161B">
        <w:tc>
          <w:tcPr>
            <w:tcW w:w="2610" w:type="dxa"/>
            <w:shd w:val="clear" w:color="auto" w:fill="auto"/>
          </w:tcPr>
          <w:p w:rsidR="005833F6" w:rsidRPr="007E723C" w:rsidRDefault="000317A0" w:rsidP="000317A0">
            <w:pPr>
              <w:tabs>
                <w:tab w:val="left" w:pos="0"/>
              </w:tabs>
              <w:suppressAutoHyphens/>
              <w:rPr>
                <w:szCs w:val="22"/>
              </w:rPr>
            </w:pPr>
            <w:r>
              <w:rPr>
                <w:szCs w:val="22"/>
              </w:rPr>
              <w:t>Verizon plans to retire a number of copper facilities and to provide services over its fiber-to-the-home network infrastructure.</w:t>
            </w:r>
          </w:p>
        </w:tc>
        <w:tc>
          <w:tcPr>
            <w:tcW w:w="3420" w:type="dxa"/>
            <w:shd w:val="clear" w:color="auto" w:fill="auto"/>
          </w:tcPr>
          <w:p w:rsidR="00D71A93" w:rsidRPr="007E723C" w:rsidRDefault="00A325FB" w:rsidP="001F161B">
            <w:r>
              <w:t xml:space="preserve">The </w:t>
            </w:r>
            <w:r w:rsidR="001F161B">
              <w:t>W 36th</w:t>
            </w:r>
            <w:r>
              <w:t xml:space="preserve"> Street, NY Wire Center (NYCMNY</w:t>
            </w:r>
            <w:r w:rsidR="001F161B">
              <w:t>36</w:t>
            </w:r>
            <w:r>
              <w:t xml:space="preserve">) – </w:t>
            </w:r>
            <w:r w:rsidR="001F161B">
              <w:t>230</w:t>
            </w:r>
            <w:r>
              <w:t xml:space="preserve"> </w:t>
            </w:r>
            <w:r w:rsidR="001F161B">
              <w:t>W</w:t>
            </w:r>
            <w:r>
              <w:t xml:space="preserve"> </w:t>
            </w:r>
            <w:r w:rsidR="001F161B">
              <w:t>36</w:t>
            </w:r>
            <w:r>
              <w:t>th Street, New York, NY 100</w:t>
            </w:r>
            <w:r w:rsidR="001F161B">
              <w:t>18</w:t>
            </w:r>
            <w:r>
              <w:t xml:space="preserve"> &amp; at facilities associated with the listed locations served by th</w:t>
            </w:r>
            <w:r w:rsidR="001F161B">
              <w:t>is</w:t>
            </w:r>
            <w:r>
              <w:t xml:space="preserve"> wire center (attached).</w:t>
            </w:r>
          </w:p>
        </w:tc>
        <w:tc>
          <w:tcPr>
            <w:tcW w:w="3330" w:type="dxa"/>
            <w:shd w:val="clear" w:color="auto" w:fill="auto"/>
          </w:tcPr>
          <w:p w:rsidR="005833F6" w:rsidRPr="00370AEA" w:rsidRDefault="005833F6" w:rsidP="001F161B">
            <w:pPr>
              <w:tabs>
                <w:tab w:val="left" w:pos="0"/>
              </w:tabs>
              <w:suppressAutoHyphens/>
              <w:rPr>
                <w:b/>
                <w:szCs w:val="22"/>
              </w:rPr>
            </w:pPr>
            <w:r>
              <w:rPr>
                <w:szCs w:val="22"/>
              </w:rPr>
              <w:t xml:space="preserve">On or after </w:t>
            </w:r>
            <w:r w:rsidR="001F161B">
              <w:rPr>
                <w:szCs w:val="22"/>
              </w:rPr>
              <w:t>August 5</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7F510F" w:rsidRDefault="00EB1563" w:rsidP="00EB1563">
      <w:pPr>
        <w:rPr>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3"/>
      </w:r>
      <w:r w:rsidRPr="00546004">
        <w:rPr>
          <w:szCs w:val="22"/>
        </w:rPr>
        <w:t xml:space="preserve">  For </w:t>
      </w:r>
      <w:r w:rsidRPr="00546004">
        <w:rPr>
          <w:szCs w:val="22"/>
        </w:rPr>
        <w:lastRenderedPageBreak/>
        <w:t>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507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6" w:rsidRDefault="00D8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6" w:rsidRDefault="00D8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76" w:rsidRDefault="00D87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B507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723683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B5DE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27B2"/>
    <w:rsid w:val="006C2E90"/>
    <w:rsid w:val="006C3FB4"/>
    <w:rsid w:val="006C5960"/>
    <w:rsid w:val="006C5A9E"/>
    <w:rsid w:val="006C62B2"/>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5073"/>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87576"/>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973</Words>
  <Characters>5616</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6617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2016-02-17T22:54:00Z</dcterms:created>
  <dcterms:modified xsi:type="dcterms:W3CDTF">2016-02-17T22:54:00Z</dcterms:modified>
  <cp:category> </cp:category>
  <cp:contentStatus> </cp:contentStatus>
</cp:coreProperties>
</file>