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0D" w:rsidRDefault="0032720D" w:rsidP="0032720D">
      <w:pPr>
        <w:rPr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 wp14:anchorId="3D65A82A" wp14:editId="7FF12A19">
            <wp:extent cx="550926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0D" w:rsidRDefault="0032720D" w:rsidP="0032720D">
      <w:pPr>
        <w:rPr>
          <w:b/>
          <w:bCs/>
        </w:rPr>
      </w:pPr>
    </w:p>
    <w:p w:rsidR="0032720D" w:rsidRPr="00645013" w:rsidRDefault="0032720D" w:rsidP="0032720D">
      <w:pPr>
        <w:rPr>
          <w:b/>
          <w:bCs/>
          <w:sz w:val="22"/>
          <w:szCs w:val="22"/>
        </w:rPr>
      </w:pPr>
      <w:r w:rsidRPr="00645013">
        <w:rPr>
          <w:b/>
          <w:bCs/>
          <w:sz w:val="22"/>
          <w:szCs w:val="22"/>
        </w:rPr>
        <w:t xml:space="preserve">Media Contact: </w:t>
      </w:r>
    </w:p>
    <w:p w:rsidR="0032720D" w:rsidRPr="00645013" w:rsidRDefault="0032720D" w:rsidP="0032720D">
      <w:pPr>
        <w:rPr>
          <w:bCs/>
          <w:sz w:val="22"/>
          <w:szCs w:val="22"/>
        </w:rPr>
      </w:pPr>
      <w:r w:rsidRPr="00645013">
        <w:rPr>
          <w:bCs/>
          <w:sz w:val="22"/>
          <w:szCs w:val="22"/>
        </w:rPr>
        <w:t>Janice Wise</w:t>
      </w:r>
      <w:r w:rsidR="00623CA7" w:rsidRPr="00645013">
        <w:rPr>
          <w:bCs/>
          <w:sz w:val="22"/>
          <w:szCs w:val="22"/>
        </w:rPr>
        <w:t xml:space="preserve"> </w:t>
      </w:r>
      <w:r w:rsidRPr="00645013">
        <w:rPr>
          <w:bCs/>
          <w:sz w:val="22"/>
          <w:szCs w:val="22"/>
        </w:rPr>
        <w:t>(202) 418-8165</w:t>
      </w:r>
    </w:p>
    <w:p w:rsidR="0032720D" w:rsidRPr="00645013" w:rsidRDefault="0032720D" w:rsidP="0032720D">
      <w:pPr>
        <w:rPr>
          <w:bCs/>
          <w:sz w:val="22"/>
          <w:szCs w:val="22"/>
        </w:rPr>
      </w:pPr>
      <w:r w:rsidRPr="00645013">
        <w:rPr>
          <w:bCs/>
          <w:sz w:val="22"/>
          <w:szCs w:val="22"/>
        </w:rPr>
        <w:t>janice.wise@fcc.gov</w:t>
      </w:r>
    </w:p>
    <w:p w:rsidR="0032720D" w:rsidRPr="00645013" w:rsidRDefault="0032720D" w:rsidP="0032720D">
      <w:pPr>
        <w:rPr>
          <w:bCs/>
          <w:sz w:val="22"/>
          <w:szCs w:val="22"/>
        </w:rPr>
      </w:pPr>
    </w:p>
    <w:p w:rsidR="0032720D" w:rsidRPr="00645013" w:rsidRDefault="0032720D" w:rsidP="0032720D">
      <w:pPr>
        <w:rPr>
          <w:b/>
          <w:sz w:val="22"/>
          <w:szCs w:val="22"/>
        </w:rPr>
      </w:pPr>
      <w:r w:rsidRPr="00645013">
        <w:rPr>
          <w:b/>
          <w:sz w:val="22"/>
          <w:szCs w:val="22"/>
        </w:rPr>
        <w:t>For Immediate Release</w:t>
      </w:r>
    </w:p>
    <w:p w:rsidR="00623CA7" w:rsidRPr="00645013" w:rsidRDefault="00623CA7" w:rsidP="0032720D">
      <w:pPr>
        <w:rPr>
          <w:b/>
          <w:bCs/>
          <w:sz w:val="22"/>
          <w:szCs w:val="22"/>
        </w:rPr>
      </w:pPr>
    </w:p>
    <w:p w:rsidR="009E5A95" w:rsidRDefault="009E5A95" w:rsidP="00FB3FF6">
      <w:pPr>
        <w:pStyle w:val="BodyTextIndent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F74FF0" w:rsidRPr="00812BBF" w:rsidRDefault="00540DA0" w:rsidP="00FB3FF6">
      <w:pPr>
        <w:pStyle w:val="BodyTextIndent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812BBF">
        <w:rPr>
          <w:rFonts w:ascii="Times New Roman" w:hAnsi="Times New Roman"/>
          <w:b/>
          <w:sz w:val="22"/>
          <w:szCs w:val="22"/>
        </w:rPr>
        <w:t>FCC</w:t>
      </w:r>
      <w:r w:rsidR="0065428B" w:rsidRPr="00812BBF">
        <w:rPr>
          <w:rFonts w:ascii="Times New Roman" w:hAnsi="Times New Roman"/>
          <w:b/>
          <w:sz w:val="22"/>
          <w:szCs w:val="22"/>
        </w:rPr>
        <w:t xml:space="preserve"> </w:t>
      </w:r>
      <w:r w:rsidR="00F74FF0" w:rsidRPr="00812BBF">
        <w:rPr>
          <w:rFonts w:ascii="Times New Roman" w:hAnsi="Times New Roman"/>
          <w:b/>
          <w:sz w:val="22"/>
          <w:szCs w:val="22"/>
        </w:rPr>
        <w:t xml:space="preserve">MOVES TO “UNLOCK THE BOX” TO SPUR COMPETITION, CHOICE, </w:t>
      </w:r>
    </w:p>
    <w:p w:rsidR="00645013" w:rsidRPr="00812BBF" w:rsidRDefault="00F74FF0" w:rsidP="00FB3FF6">
      <w:pPr>
        <w:pStyle w:val="BodyTextIndent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812BBF">
        <w:rPr>
          <w:rFonts w:ascii="Times New Roman" w:hAnsi="Times New Roman"/>
          <w:b/>
          <w:sz w:val="22"/>
          <w:szCs w:val="22"/>
        </w:rPr>
        <w:t>&amp; INNOVATION IN SET-TOP BOX AND APP MARKETPLACE</w:t>
      </w:r>
    </w:p>
    <w:p w:rsidR="00F74FF0" w:rsidRPr="00812BBF" w:rsidRDefault="00F74FF0" w:rsidP="00FB3FF6">
      <w:pPr>
        <w:pStyle w:val="BodyTextIndent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F74FF0" w:rsidRPr="00812BBF" w:rsidRDefault="00F74FF0" w:rsidP="00FB3FF6">
      <w:pPr>
        <w:pStyle w:val="BodyTextIndent"/>
        <w:spacing w:after="0"/>
        <w:jc w:val="center"/>
        <w:rPr>
          <w:rFonts w:ascii="Times New Roman" w:hAnsi="Times New Roman"/>
          <w:b/>
          <w:i/>
          <w:sz w:val="22"/>
          <w:szCs w:val="22"/>
        </w:rPr>
      </w:pPr>
      <w:r w:rsidRPr="00812BBF">
        <w:rPr>
          <w:rFonts w:ascii="Times New Roman" w:hAnsi="Times New Roman"/>
          <w:b/>
          <w:i/>
          <w:sz w:val="22"/>
          <w:szCs w:val="22"/>
        </w:rPr>
        <w:t xml:space="preserve">Proposal will protect copyright agreements, channel-lineups while giving consumers options </w:t>
      </w:r>
    </w:p>
    <w:p w:rsidR="00540DA0" w:rsidRPr="00812BBF" w:rsidRDefault="00540DA0" w:rsidP="00CD56CB">
      <w:pPr>
        <w:rPr>
          <w:sz w:val="22"/>
          <w:szCs w:val="22"/>
        </w:rPr>
      </w:pPr>
    </w:p>
    <w:p w:rsidR="00D635BC" w:rsidRPr="00812BBF" w:rsidRDefault="00FA6DA6" w:rsidP="00D635BC">
      <w:pPr>
        <w:rPr>
          <w:sz w:val="22"/>
          <w:szCs w:val="22"/>
        </w:rPr>
      </w:pPr>
      <w:r w:rsidRPr="00812BBF">
        <w:rPr>
          <w:sz w:val="22"/>
          <w:szCs w:val="22"/>
        </w:rPr>
        <w:t>WASHINGTON</w:t>
      </w:r>
      <w:r w:rsidR="00266602" w:rsidRPr="00812BBF">
        <w:rPr>
          <w:sz w:val="22"/>
          <w:szCs w:val="22"/>
        </w:rPr>
        <w:t>,</w:t>
      </w:r>
      <w:r w:rsidRPr="00812BBF">
        <w:rPr>
          <w:sz w:val="22"/>
          <w:szCs w:val="22"/>
        </w:rPr>
        <w:t xml:space="preserve"> </w:t>
      </w:r>
      <w:r w:rsidR="004A65EB" w:rsidRPr="00812BBF">
        <w:rPr>
          <w:sz w:val="22"/>
          <w:szCs w:val="22"/>
        </w:rPr>
        <w:t xml:space="preserve">February </w:t>
      </w:r>
      <w:r w:rsidR="00C024D7" w:rsidRPr="00812BBF">
        <w:rPr>
          <w:sz w:val="22"/>
          <w:szCs w:val="22"/>
        </w:rPr>
        <w:t>18</w:t>
      </w:r>
      <w:r w:rsidR="004A65EB" w:rsidRPr="00812BBF">
        <w:rPr>
          <w:sz w:val="22"/>
          <w:szCs w:val="22"/>
        </w:rPr>
        <w:t>, 2016</w:t>
      </w:r>
      <w:r w:rsidR="00266602" w:rsidRPr="00812BBF">
        <w:rPr>
          <w:sz w:val="22"/>
          <w:szCs w:val="22"/>
        </w:rPr>
        <w:t xml:space="preserve"> – </w:t>
      </w:r>
      <w:r w:rsidR="00D635BC" w:rsidRPr="00812BBF">
        <w:rPr>
          <w:sz w:val="22"/>
          <w:szCs w:val="22"/>
        </w:rPr>
        <w:t xml:space="preserve">The Federal Communications Commission today </w:t>
      </w:r>
      <w:r w:rsidR="00BA7803" w:rsidRPr="00812BBF">
        <w:rPr>
          <w:sz w:val="22"/>
          <w:szCs w:val="22"/>
        </w:rPr>
        <w:t>approved a proposal that would tear down anti-competitive barriers and pave the way for software, devices</w:t>
      </w:r>
      <w:r w:rsidR="00901587">
        <w:rPr>
          <w:sz w:val="22"/>
          <w:szCs w:val="22"/>
        </w:rPr>
        <w:t>,</w:t>
      </w:r>
      <w:r w:rsidR="00BA7803" w:rsidRPr="00812BBF">
        <w:rPr>
          <w:sz w:val="22"/>
          <w:szCs w:val="22"/>
        </w:rPr>
        <w:t xml:space="preserve"> and other innovative solutions to compete with the set-top boxes that a majority of consumers lease from pay-TV providers today. </w:t>
      </w:r>
      <w:r w:rsidR="00812BBF" w:rsidRPr="00812BBF">
        <w:rPr>
          <w:sz w:val="22"/>
          <w:szCs w:val="22"/>
        </w:rPr>
        <w:t xml:space="preserve"> </w:t>
      </w:r>
      <w:r w:rsidR="00BA7803" w:rsidRPr="00812BBF">
        <w:rPr>
          <w:sz w:val="22"/>
          <w:szCs w:val="22"/>
        </w:rPr>
        <w:t xml:space="preserve">The Notice of Proposed Rulemaking </w:t>
      </w:r>
      <w:r w:rsidR="00A56BA5">
        <w:rPr>
          <w:sz w:val="22"/>
          <w:szCs w:val="22"/>
        </w:rPr>
        <w:t xml:space="preserve">(NPRM) </w:t>
      </w:r>
      <w:r w:rsidR="00BA7803" w:rsidRPr="00812BBF">
        <w:rPr>
          <w:sz w:val="22"/>
          <w:szCs w:val="22"/>
        </w:rPr>
        <w:t>will create a framework for providing innovators, device manufacturers</w:t>
      </w:r>
      <w:r w:rsidR="00901587">
        <w:rPr>
          <w:sz w:val="22"/>
          <w:szCs w:val="22"/>
        </w:rPr>
        <w:t>,</w:t>
      </w:r>
      <w:r w:rsidR="00BA7803" w:rsidRPr="00812BBF">
        <w:rPr>
          <w:sz w:val="22"/>
          <w:szCs w:val="22"/>
        </w:rPr>
        <w:t xml:space="preserve"> and app developers the information they need to develop new technologies, reflecting</w:t>
      </w:r>
      <w:r w:rsidR="00D635BC" w:rsidRPr="00812BBF">
        <w:rPr>
          <w:sz w:val="22"/>
          <w:szCs w:val="22"/>
        </w:rPr>
        <w:t xml:space="preserve"> </w:t>
      </w:r>
      <w:r w:rsidR="0065428B" w:rsidRPr="00812BBF">
        <w:rPr>
          <w:sz w:val="22"/>
          <w:szCs w:val="22"/>
        </w:rPr>
        <w:t xml:space="preserve">the many ways </w:t>
      </w:r>
      <w:r w:rsidR="00D635BC" w:rsidRPr="00812BBF">
        <w:rPr>
          <w:sz w:val="22"/>
          <w:szCs w:val="22"/>
        </w:rPr>
        <w:t xml:space="preserve">consumers </w:t>
      </w:r>
      <w:r w:rsidR="004A65EB" w:rsidRPr="00812BBF">
        <w:rPr>
          <w:sz w:val="22"/>
          <w:szCs w:val="22"/>
        </w:rPr>
        <w:t xml:space="preserve">access </w:t>
      </w:r>
      <w:r w:rsidR="00CE302C" w:rsidRPr="00812BBF">
        <w:rPr>
          <w:sz w:val="22"/>
          <w:szCs w:val="22"/>
        </w:rPr>
        <w:t xml:space="preserve">their </w:t>
      </w:r>
      <w:r w:rsidR="001661E2" w:rsidRPr="00812BBF">
        <w:rPr>
          <w:sz w:val="22"/>
          <w:szCs w:val="22"/>
        </w:rPr>
        <w:t>subscription video programming</w:t>
      </w:r>
      <w:r w:rsidR="00BA7803" w:rsidRPr="00812BBF">
        <w:rPr>
          <w:sz w:val="22"/>
          <w:szCs w:val="22"/>
        </w:rPr>
        <w:t xml:space="preserve"> today</w:t>
      </w:r>
      <w:r w:rsidR="001661E2" w:rsidRPr="00812BBF">
        <w:rPr>
          <w:sz w:val="22"/>
          <w:szCs w:val="22"/>
        </w:rPr>
        <w:t xml:space="preserve">.  </w:t>
      </w:r>
    </w:p>
    <w:p w:rsidR="00645013" w:rsidRPr="00812BBF" w:rsidRDefault="00645013" w:rsidP="00D635BC">
      <w:pPr>
        <w:rPr>
          <w:sz w:val="22"/>
          <w:szCs w:val="22"/>
        </w:rPr>
      </w:pPr>
    </w:p>
    <w:p w:rsidR="00BA7803" w:rsidRPr="00812BBF" w:rsidRDefault="00BA7803" w:rsidP="007654F8">
      <w:pPr>
        <w:rPr>
          <w:sz w:val="22"/>
          <w:szCs w:val="22"/>
        </w:rPr>
      </w:pPr>
      <w:r w:rsidRPr="00812BBF">
        <w:rPr>
          <w:sz w:val="22"/>
          <w:szCs w:val="22"/>
        </w:rPr>
        <w:t xml:space="preserve">Ninety-nine percent of pay-TV subscribers have limited choices today and lease set-top boxes from their cable and satellite operators. </w:t>
      </w:r>
      <w:r w:rsidR="00812BBF">
        <w:rPr>
          <w:sz w:val="22"/>
          <w:szCs w:val="22"/>
        </w:rPr>
        <w:t xml:space="preserve"> </w:t>
      </w:r>
      <w:r w:rsidRPr="00812BBF">
        <w:rPr>
          <w:sz w:val="22"/>
          <w:szCs w:val="22"/>
        </w:rPr>
        <w:t xml:space="preserve">Lack of competition has meant few choices and high prices for consumers – on average, $231 in rental fees annually for the average American household. </w:t>
      </w:r>
      <w:r w:rsidR="00812BBF">
        <w:rPr>
          <w:sz w:val="22"/>
          <w:szCs w:val="22"/>
        </w:rPr>
        <w:t xml:space="preserve"> </w:t>
      </w:r>
      <w:r w:rsidRPr="00812BBF">
        <w:rPr>
          <w:sz w:val="22"/>
          <w:szCs w:val="22"/>
        </w:rPr>
        <w:t xml:space="preserve">Altogether, U.S. consumers spend $20 billion a year to lease these devices. </w:t>
      </w:r>
      <w:r w:rsidR="00812BBF">
        <w:rPr>
          <w:sz w:val="22"/>
          <w:szCs w:val="22"/>
        </w:rPr>
        <w:t xml:space="preserve"> </w:t>
      </w:r>
      <w:r w:rsidRPr="00812BBF">
        <w:rPr>
          <w:sz w:val="22"/>
          <w:szCs w:val="22"/>
        </w:rPr>
        <w:t>Since 1994, according to a recent analysis, the cost of cable set-top boxes has risen 185 percent while the cost of computers, televisions</w:t>
      </w:r>
      <w:r w:rsidR="00901587">
        <w:rPr>
          <w:sz w:val="22"/>
          <w:szCs w:val="22"/>
        </w:rPr>
        <w:t>,</w:t>
      </w:r>
      <w:r w:rsidRPr="00812BBF">
        <w:rPr>
          <w:sz w:val="22"/>
          <w:szCs w:val="22"/>
        </w:rPr>
        <w:t xml:space="preserve"> and mobile phones has dropped by 90 percent. </w:t>
      </w:r>
      <w:r w:rsidR="00812BBF">
        <w:rPr>
          <w:sz w:val="22"/>
          <w:szCs w:val="22"/>
        </w:rPr>
        <w:t xml:space="preserve"> </w:t>
      </w:r>
      <w:r w:rsidRPr="00812BBF">
        <w:rPr>
          <w:sz w:val="22"/>
          <w:szCs w:val="22"/>
        </w:rPr>
        <w:t xml:space="preserve">Congress recognized the importance of a competitive marketplace and directed the Commission to adopt rules that will ensure consumers will be able to use the device they prefer for accessing programming they’ve paid for.  </w:t>
      </w:r>
    </w:p>
    <w:p w:rsidR="007654F8" w:rsidRPr="00812BBF" w:rsidRDefault="007654F8" w:rsidP="007654F8">
      <w:pPr>
        <w:rPr>
          <w:sz w:val="22"/>
          <w:szCs w:val="22"/>
          <w:highlight w:val="yellow"/>
        </w:rPr>
      </w:pPr>
    </w:p>
    <w:p w:rsidR="00C75A26" w:rsidRPr="00812BBF" w:rsidRDefault="00FD0BB0" w:rsidP="00D635BC">
      <w:pPr>
        <w:rPr>
          <w:sz w:val="22"/>
          <w:szCs w:val="22"/>
        </w:rPr>
      </w:pPr>
      <w:r w:rsidRPr="00812BBF">
        <w:rPr>
          <w:sz w:val="22"/>
          <w:szCs w:val="22"/>
        </w:rPr>
        <w:t xml:space="preserve">Today’s </w:t>
      </w:r>
      <w:r w:rsidR="00B6348C" w:rsidRPr="00812BBF">
        <w:rPr>
          <w:sz w:val="22"/>
          <w:szCs w:val="22"/>
        </w:rPr>
        <w:t>NPRM</w:t>
      </w:r>
      <w:r w:rsidR="001661E2" w:rsidRPr="00812BBF">
        <w:rPr>
          <w:sz w:val="22"/>
          <w:szCs w:val="22"/>
        </w:rPr>
        <w:t xml:space="preserve"> provides the framework</w:t>
      </w:r>
      <w:r w:rsidRPr="00812BBF">
        <w:rPr>
          <w:sz w:val="22"/>
          <w:szCs w:val="22"/>
        </w:rPr>
        <w:t xml:space="preserve"> to</w:t>
      </w:r>
      <w:r w:rsidR="00084419" w:rsidRPr="00812BBF">
        <w:rPr>
          <w:sz w:val="22"/>
          <w:szCs w:val="22"/>
        </w:rPr>
        <w:t xml:space="preserve"> “unlock the box”</w:t>
      </w:r>
      <w:r w:rsidR="001661E2" w:rsidRPr="00812BBF">
        <w:rPr>
          <w:sz w:val="22"/>
          <w:szCs w:val="22"/>
        </w:rPr>
        <w:t xml:space="preserve"> for innovators to </w:t>
      </w:r>
      <w:r w:rsidR="00CE302C" w:rsidRPr="00812BBF">
        <w:rPr>
          <w:sz w:val="22"/>
          <w:szCs w:val="22"/>
        </w:rPr>
        <w:t>create</w:t>
      </w:r>
      <w:r w:rsidR="001661E2" w:rsidRPr="00812BBF">
        <w:rPr>
          <w:sz w:val="22"/>
          <w:szCs w:val="22"/>
        </w:rPr>
        <w:t xml:space="preserve"> </w:t>
      </w:r>
      <w:r w:rsidR="00084419" w:rsidRPr="00812BBF">
        <w:rPr>
          <w:sz w:val="22"/>
          <w:szCs w:val="22"/>
        </w:rPr>
        <w:t xml:space="preserve">competitive </w:t>
      </w:r>
      <w:r w:rsidR="002A520F" w:rsidRPr="00812BBF">
        <w:rPr>
          <w:sz w:val="22"/>
          <w:szCs w:val="22"/>
        </w:rPr>
        <w:t>solutions</w:t>
      </w:r>
      <w:r w:rsidR="00084419" w:rsidRPr="00812BBF">
        <w:rPr>
          <w:sz w:val="22"/>
          <w:szCs w:val="22"/>
        </w:rPr>
        <w:t xml:space="preserve"> – either hardware or software-based app</w:t>
      </w:r>
      <w:r w:rsidR="00901587">
        <w:rPr>
          <w:sz w:val="22"/>
          <w:szCs w:val="22"/>
        </w:rPr>
        <w:t>s</w:t>
      </w:r>
      <w:r w:rsidR="00812BBF">
        <w:rPr>
          <w:sz w:val="22"/>
          <w:szCs w:val="22"/>
        </w:rPr>
        <w:t xml:space="preserve"> </w:t>
      </w:r>
      <w:r w:rsidR="00084419" w:rsidRPr="00812BBF">
        <w:rPr>
          <w:sz w:val="22"/>
          <w:szCs w:val="22"/>
        </w:rPr>
        <w:t>—</w:t>
      </w:r>
      <w:r w:rsidR="001661E2" w:rsidRPr="00812BBF">
        <w:rPr>
          <w:sz w:val="22"/>
          <w:szCs w:val="22"/>
        </w:rPr>
        <w:t xml:space="preserve"> </w:t>
      </w:r>
      <w:r w:rsidR="002A520F" w:rsidRPr="00812BBF">
        <w:rPr>
          <w:sz w:val="22"/>
          <w:szCs w:val="22"/>
        </w:rPr>
        <w:t xml:space="preserve">that </w:t>
      </w:r>
      <w:r w:rsidR="001661E2" w:rsidRPr="00812BBF">
        <w:rPr>
          <w:sz w:val="22"/>
          <w:szCs w:val="22"/>
        </w:rPr>
        <w:t>give consumers freedom of choice.</w:t>
      </w:r>
      <w:r w:rsidR="0080027C" w:rsidRPr="00812BBF">
        <w:rPr>
          <w:sz w:val="22"/>
          <w:szCs w:val="22"/>
        </w:rPr>
        <w:t xml:space="preserve"> </w:t>
      </w:r>
      <w:r w:rsidR="00C75A26" w:rsidRPr="00812BBF">
        <w:rPr>
          <w:sz w:val="22"/>
          <w:szCs w:val="22"/>
        </w:rPr>
        <w:t xml:space="preserve"> Specifically</w:t>
      </w:r>
      <w:r w:rsidR="0059766A" w:rsidRPr="00812BBF">
        <w:rPr>
          <w:sz w:val="22"/>
          <w:szCs w:val="22"/>
        </w:rPr>
        <w:t>,</w:t>
      </w:r>
      <w:r w:rsidR="00C75A26" w:rsidRPr="00812BBF">
        <w:rPr>
          <w:sz w:val="22"/>
          <w:szCs w:val="22"/>
        </w:rPr>
        <w:t xml:space="preserve"> </w:t>
      </w:r>
      <w:r w:rsidR="00A9389A" w:rsidRPr="00812BBF">
        <w:rPr>
          <w:sz w:val="22"/>
          <w:szCs w:val="22"/>
        </w:rPr>
        <w:t>it</w:t>
      </w:r>
      <w:r w:rsidR="00B6348C" w:rsidRPr="00812BBF">
        <w:rPr>
          <w:sz w:val="22"/>
          <w:szCs w:val="22"/>
        </w:rPr>
        <w:t xml:space="preserve"> recommends</w:t>
      </w:r>
      <w:r w:rsidR="00C75A26" w:rsidRPr="00812BBF">
        <w:rPr>
          <w:sz w:val="22"/>
          <w:szCs w:val="22"/>
        </w:rPr>
        <w:t xml:space="preserve"> </w:t>
      </w:r>
      <w:r w:rsidR="00E74A5E" w:rsidRPr="00812BBF">
        <w:rPr>
          <w:sz w:val="22"/>
          <w:szCs w:val="22"/>
        </w:rPr>
        <w:t xml:space="preserve">that </w:t>
      </w:r>
      <w:r w:rsidR="00084419" w:rsidRPr="00812BBF">
        <w:rPr>
          <w:sz w:val="22"/>
          <w:szCs w:val="22"/>
        </w:rPr>
        <w:t xml:space="preserve">pay-TV providers </w:t>
      </w:r>
      <w:r w:rsidR="00B6348C" w:rsidRPr="00812BBF">
        <w:rPr>
          <w:sz w:val="22"/>
          <w:szCs w:val="22"/>
        </w:rPr>
        <w:t>be required</w:t>
      </w:r>
      <w:r w:rsidR="009746A8" w:rsidRPr="00812BBF">
        <w:rPr>
          <w:sz w:val="22"/>
          <w:szCs w:val="22"/>
        </w:rPr>
        <w:t xml:space="preserve"> to deliver three core information streams: </w:t>
      </w:r>
    </w:p>
    <w:p w:rsidR="00C75A26" w:rsidRPr="00812BBF" w:rsidRDefault="00C75A26" w:rsidP="00D635BC">
      <w:pPr>
        <w:rPr>
          <w:sz w:val="22"/>
          <w:szCs w:val="22"/>
        </w:rPr>
      </w:pPr>
    </w:p>
    <w:p w:rsidR="00084419" w:rsidRPr="00812BBF" w:rsidRDefault="00084419" w:rsidP="00FB3FF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12BBF">
        <w:rPr>
          <w:i/>
          <w:sz w:val="22"/>
          <w:szCs w:val="22"/>
        </w:rPr>
        <w:t xml:space="preserve">Service discovery: </w:t>
      </w:r>
      <w:r w:rsidRPr="00812BBF">
        <w:rPr>
          <w:sz w:val="22"/>
          <w:szCs w:val="22"/>
        </w:rPr>
        <w:t xml:space="preserve">Information about what programming is available to the consumer, such as the channel listing and video-on-demand lineup, and what is on those channels.  </w:t>
      </w:r>
    </w:p>
    <w:p w:rsidR="00084419" w:rsidRPr="00812BBF" w:rsidRDefault="00084419" w:rsidP="00FB3FF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812BBF">
        <w:rPr>
          <w:i/>
          <w:sz w:val="22"/>
          <w:szCs w:val="22"/>
        </w:rPr>
        <w:t xml:space="preserve">Entitlements: </w:t>
      </w:r>
      <w:r w:rsidRPr="00812BBF">
        <w:rPr>
          <w:sz w:val="22"/>
          <w:szCs w:val="22"/>
        </w:rPr>
        <w:t>Information about what a device is allowed to do with content, such as recording</w:t>
      </w:r>
      <w:r w:rsidRPr="00812BBF">
        <w:rPr>
          <w:i/>
          <w:sz w:val="22"/>
          <w:szCs w:val="22"/>
        </w:rPr>
        <w:t xml:space="preserve">.   </w:t>
      </w:r>
    </w:p>
    <w:p w:rsidR="00084419" w:rsidRPr="00812BBF" w:rsidRDefault="00084419" w:rsidP="00FB3FF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812BBF">
        <w:rPr>
          <w:i/>
          <w:sz w:val="22"/>
          <w:szCs w:val="22"/>
        </w:rPr>
        <w:t xml:space="preserve">Content delivery: </w:t>
      </w:r>
      <w:r w:rsidRPr="00812BBF">
        <w:rPr>
          <w:sz w:val="22"/>
          <w:szCs w:val="22"/>
        </w:rPr>
        <w:t>The video programming itself.</w:t>
      </w:r>
      <w:r w:rsidRPr="00812BBF">
        <w:rPr>
          <w:i/>
          <w:sz w:val="22"/>
          <w:szCs w:val="22"/>
        </w:rPr>
        <w:t xml:space="preserve"> </w:t>
      </w:r>
    </w:p>
    <w:p w:rsidR="00C75A26" w:rsidRPr="00812BBF" w:rsidRDefault="00C75A26" w:rsidP="00C75A26">
      <w:pPr>
        <w:rPr>
          <w:sz w:val="22"/>
          <w:szCs w:val="22"/>
        </w:rPr>
      </w:pPr>
    </w:p>
    <w:p w:rsidR="00D635BC" w:rsidRPr="00812BBF" w:rsidRDefault="009746A8" w:rsidP="00C75A26">
      <w:pPr>
        <w:rPr>
          <w:sz w:val="22"/>
          <w:szCs w:val="22"/>
        </w:rPr>
      </w:pPr>
      <w:r w:rsidRPr="00812BBF">
        <w:rPr>
          <w:sz w:val="22"/>
          <w:szCs w:val="22"/>
        </w:rPr>
        <w:t xml:space="preserve">Instead of mandating </w:t>
      </w:r>
      <w:r w:rsidR="00C75A26" w:rsidRPr="00812BBF">
        <w:rPr>
          <w:sz w:val="22"/>
          <w:szCs w:val="22"/>
        </w:rPr>
        <w:t xml:space="preserve">a </w:t>
      </w:r>
      <w:r w:rsidRPr="00812BBF">
        <w:rPr>
          <w:sz w:val="22"/>
          <w:szCs w:val="22"/>
        </w:rPr>
        <w:t>government-specific standard</w:t>
      </w:r>
      <w:r w:rsidR="00C75A26" w:rsidRPr="00812BBF">
        <w:rPr>
          <w:sz w:val="22"/>
          <w:szCs w:val="22"/>
        </w:rPr>
        <w:t xml:space="preserve"> </w:t>
      </w:r>
      <w:r w:rsidR="0059766A" w:rsidRPr="00812BBF">
        <w:rPr>
          <w:sz w:val="22"/>
          <w:szCs w:val="22"/>
        </w:rPr>
        <w:t>t</w:t>
      </w:r>
      <w:r w:rsidR="00C75A26" w:rsidRPr="00812BBF">
        <w:rPr>
          <w:sz w:val="22"/>
          <w:szCs w:val="22"/>
        </w:rPr>
        <w:t>hat might impede innovation</w:t>
      </w:r>
      <w:r w:rsidR="0059766A" w:rsidRPr="00812BBF">
        <w:rPr>
          <w:sz w:val="22"/>
          <w:szCs w:val="22"/>
        </w:rPr>
        <w:t>,</w:t>
      </w:r>
      <w:r w:rsidRPr="00812BBF">
        <w:rPr>
          <w:sz w:val="22"/>
          <w:szCs w:val="22"/>
        </w:rPr>
        <w:t xml:space="preserve"> the Commission </w:t>
      </w:r>
      <w:r w:rsidR="00C75A26" w:rsidRPr="00812BBF">
        <w:rPr>
          <w:sz w:val="22"/>
          <w:szCs w:val="22"/>
        </w:rPr>
        <w:t>recommends</w:t>
      </w:r>
      <w:r w:rsidRPr="00812BBF">
        <w:rPr>
          <w:sz w:val="22"/>
          <w:szCs w:val="22"/>
        </w:rPr>
        <w:t xml:space="preserve"> that the</w:t>
      </w:r>
      <w:r w:rsidR="0059766A" w:rsidRPr="00812BBF">
        <w:rPr>
          <w:sz w:val="22"/>
          <w:szCs w:val="22"/>
        </w:rPr>
        <w:t>se three</w:t>
      </w:r>
      <w:r w:rsidRPr="00812BBF">
        <w:rPr>
          <w:sz w:val="22"/>
          <w:szCs w:val="22"/>
        </w:rPr>
        <w:t xml:space="preserve"> streams be available to the creators of competitive solutions using any published, transparent format that conforms to specifications set by an independent, open standards body.</w:t>
      </w:r>
      <w:r w:rsidR="00FB3FF6" w:rsidRPr="00812BBF">
        <w:rPr>
          <w:sz w:val="22"/>
          <w:szCs w:val="22"/>
        </w:rPr>
        <w:t xml:space="preserve"> Consumers who enjoy their current set-up through their pay-TV provider do not have to take any action. The proposal would instead provide an option for consumers looking for a competitive device or app to access the pay-TV content to which they currently subscribe.</w:t>
      </w:r>
    </w:p>
    <w:p w:rsidR="009746A8" w:rsidRPr="00812BBF" w:rsidRDefault="009746A8" w:rsidP="00D635BC">
      <w:pPr>
        <w:rPr>
          <w:sz w:val="22"/>
          <w:szCs w:val="22"/>
        </w:rPr>
      </w:pPr>
    </w:p>
    <w:p w:rsidR="009746A8" w:rsidRPr="00812BBF" w:rsidRDefault="009746A8" w:rsidP="009746A8">
      <w:pPr>
        <w:rPr>
          <w:sz w:val="22"/>
          <w:szCs w:val="22"/>
        </w:rPr>
      </w:pPr>
      <w:r w:rsidRPr="00812BBF">
        <w:rPr>
          <w:sz w:val="22"/>
          <w:szCs w:val="22"/>
        </w:rPr>
        <w:lastRenderedPageBreak/>
        <w:t xml:space="preserve">The </w:t>
      </w:r>
      <w:r w:rsidR="00C75A26" w:rsidRPr="00812BBF">
        <w:rPr>
          <w:sz w:val="22"/>
          <w:szCs w:val="22"/>
        </w:rPr>
        <w:t>Notice of Proposed Rule</w:t>
      </w:r>
      <w:r w:rsidR="00296CB5">
        <w:rPr>
          <w:sz w:val="22"/>
          <w:szCs w:val="22"/>
        </w:rPr>
        <w:t>m</w:t>
      </w:r>
      <w:r w:rsidR="00C75A26" w:rsidRPr="00812BBF">
        <w:rPr>
          <w:sz w:val="22"/>
          <w:szCs w:val="22"/>
        </w:rPr>
        <w:t xml:space="preserve">aking </w:t>
      </w:r>
      <w:r w:rsidRPr="00812BBF">
        <w:rPr>
          <w:sz w:val="22"/>
          <w:szCs w:val="22"/>
        </w:rPr>
        <w:t xml:space="preserve">also </w:t>
      </w:r>
      <w:r w:rsidR="0059766A" w:rsidRPr="00812BBF">
        <w:rPr>
          <w:sz w:val="22"/>
          <w:szCs w:val="22"/>
        </w:rPr>
        <w:t>recommends</w:t>
      </w:r>
      <w:r w:rsidRPr="00812BBF">
        <w:rPr>
          <w:sz w:val="22"/>
          <w:szCs w:val="22"/>
        </w:rPr>
        <w:t xml:space="preserve"> content protection rules that </w:t>
      </w:r>
      <w:r w:rsidR="009E784A" w:rsidRPr="00812BBF">
        <w:rPr>
          <w:sz w:val="22"/>
          <w:szCs w:val="22"/>
        </w:rPr>
        <w:t>provide</w:t>
      </w:r>
      <w:r w:rsidRPr="00812BBF">
        <w:rPr>
          <w:sz w:val="22"/>
          <w:szCs w:val="22"/>
        </w:rPr>
        <w:t xml:space="preserve"> MVPDs flexibility</w:t>
      </w:r>
      <w:r w:rsidR="0059766A" w:rsidRPr="00812BBF">
        <w:rPr>
          <w:sz w:val="22"/>
          <w:szCs w:val="22"/>
        </w:rPr>
        <w:t>.</w:t>
      </w:r>
      <w:r w:rsidRPr="00812BBF">
        <w:rPr>
          <w:sz w:val="22"/>
          <w:szCs w:val="22"/>
        </w:rPr>
        <w:t xml:space="preserve">  </w:t>
      </w:r>
      <w:r w:rsidR="00906469" w:rsidRPr="00812BBF">
        <w:rPr>
          <w:sz w:val="22"/>
          <w:szCs w:val="22"/>
        </w:rPr>
        <w:t>The proposed rules do not mandate a single security system</w:t>
      </w:r>
      <w:r w:rsidR="00181E6F" w:rsidRPr="00812BBF">
        <w:rPr>
          <w:sz w:val="22"/>
          <w:szCs w:val="22"/>
        </w:rPr>
        <w:t xml:space="preserve"> but si</w:t>
      </w:r>
      <w:r w:rsidRPr="00812BBF">
        <w:rPr>
          <w:sz w:val="22"/>
          <w:szCs w:val="22"/>
        </w:rPr>
        <w:t xml:space="preserve">mply require MVPDs to offer at least one content protection system that is openly licensed on reasonable and non-discriminatory terms. </w:t>
      </w:r>
      <w:r w:rsidR="00906469" w:rsidRPr="00812BBF">
        <w:rPr>
          <w:sz w:val="22"/>
          <w:szCs w:val="22"/>
        </w:rPr>
        <w:t xml:space="preserve"> </w:t>
      </w:r>
      <w:r w:rsidRPr="00812BBF">
        <w:rPr>
          <w:sz w:val="22"/>
          <w:szCs w:val="22"/>
        </w:rPr>
        <w:t>Th</w:t>
      </w:r>
      <w:r w:rsidR="00181E6F" w:rsidRPr="00812BBF">
        <w:rPr>
          <w:sz w:val="22"/>
          <w:szCs w:val="22"/>
        </w:rPr>
        <w:t xml:space="preserve">is </w:t>
      </w:r>
      <w:r w:rsidR="00917848" w:rsidRPr="00812BBF">
        <w:rPr>
          <w:sz w:val="22"/>
          <w:szCs w:val="22"/>
        </w:rPr>
        <w:t xml:space="preserve">gives </w:t>
      </w:r>
      <w:r w:rsidR="00E46D78" w:rsidRPr="00812BBF">
        <w:rPr>
          <w:sz w:val="22"/>
          <w:szCs w:val="22"/>
        </w:rPr>
        <w:t xml:space="preserve">MVPDs </w:t>
      </w:r>
      <w:r w:rsidR="00917848" w:rsidRPr="00812BBF">
        <w:rPr>
          <w:sz w:val="22"/>
          <w:szCs w:val="22"/>
        </w:rPr>
        <w:t>the ability to create t</w:t>
      </w:r>
      <w:r w:rsidR="00181E6F" w:rsidRPr="00812BBF">
        <w:rPr>
          <w:sz w:val="22"/>
          <w:szCs w:val="22"/>
        </w:rPr>
        <w:t>heir own content protection system to prevent theft and misuse</w:t>
      </w:r>
      <w:r w:rsidR="00402B2E" w:rsidRPr="00812BBF">
        <w:rPr>
          <w:sz w:val="22"/>
          <w:szCs w:val="22"/>
        </w:rPr>
        <w:t>, while ensuring that manufacturers will be able to build devices that can access protected content from a variety of MVPDs</w:t>
      </w:r>
      <w:r w:rsidRPr="00812BBF">
        <w:rPr>
          <w:sz w:val="22"/>
          <w:szCs w:val="22"/>
        </w:rPr>
        <w:t>.</w:t>
      </w:r>
    </w:p>
    <w:p w:rsidR="00FB3FF6" w:rsidRPr="00812BBF" w:rsidRDefault="00FB3FF6" w:rsidP="009746A8">
      <w:pPr>
        <w:rPr>
          <w:sz w:val="22"/>
          <w:szCs w:val="22"/>
        </w:rPr>
      </w:pPr>
    </w:p>
    <w:p w:rsidR="00FB3FF6" w:rsidRPr="00812BBF" w:rsidRDefault="00FB3FF6" w:rsidP="009746A8">
      <w:pPr>
        <w:rPr>
          <w:sz w:val="22"/>
          <w:szCs w:val="22"/>
        </w:rPr>
      </w:pPr>
      <w:r w:rsidRPr="00812BBF">
        <w:rPr>
          <w:sz w:val="22"/>
          <w:szCs w:val="22"/>
        </w:rPr>
        <w:t xml:space="preserve">The proposal seeks to </w:t>
      </w:r>
      <w:r w:rsidR="00DC54BB" w:rsidRPr="00812BBF">
        <w:rPr>
          <w:sz w:val="22"/>
          <w:szCs w:val="22"/>
        </w:rPr>
        <w:t>maintain programmers’ existing agreements with MVPDs</w:t>
      </w:r>
      <w:r w:rsidR="00414293" w:rsidRPr="00812BBF">
        <w:rPr>
          <w:sz w:val="22"/>
          <w:szCs w:val="22"/>
        </w:rPr>
        <w:t xml:space="preserve"> and full copyright protections and remedies</w:t>
      </w:r>
      <w:r w:rsidR="00DC54BB" w:rsidRPr="00812BBF">
        <w:rPr>
          <w:sz w:val="22"/>
          <w:szCs w:val="22"/>
        </w:rPr>
        <w:t xml:space="preserve">.  The proposal </w:t>
      </w:r>
      <w:r w:rsidR="00414293" w:rsidRPr="00812BBF">
        <w:rPr>
          <w:sz w:val="22"/>
          <w:szCs w:val="22"/>
        </w:rPr>
        <w:t>tentatively concludes that</w:t>
      </w:r>
      <w:r w:rsidR="00DC54BB" w:rsidRPr="00812BBF">
        <w:rPr>
          <w:sz w:val="22"/>
          <w:szCs w:val="22"/>
        </w:rPr>
        <w:t xml:space="preserve"> </w:t>
      </w:r>
      <w:r w:rsidR="00414293" w:rsidRPr="00812BBF">
        <w:rPr>
          <w:sz w:val="22"/>
          <w:szCs w:val="22"/>
        </w:rPr>
        <w:t xml:space="preserve">new device or app developers should certify compliance with </w:t>
      </w:r>
      <w:r w:rsidR="00812BBF">
        <w:rPr>
          <w:sz w:val="22"/>
          <w:szCs w:val="22"/>
        </w:rPr>
        <w:t>s</w:t>
      </w:r>
      <w:r w:rsidRPr="00812BBF">
        <w:rPr>
          <w:sz w:val="22"/>
          <w:szCs w:val="22"/>
        </w:rPr>
        <w:t xml:space="preserve">imilar privacy protections </w:t>
      </w:r>
      <w:r w:rsidR="00414293" w:rsidRPr="00812BBF">
        <w:rPr>
          <w:sz w:val="22"/>
          <w:szCs w:val="22"/>
        </w:rPr>
        <w:t xml:space="preserve">to those </w:t>
      </w:r>
      <w:r w:rsidRPr="00812BBF">
        <w:rPr>
          <w:sz w:val="22"/>
          <w:szCs w:val="22"/>
        </w:rPr>
        <w:t xml:space="preserve">that </w:t>
      </w:r>
      <w:r w:rsidR="00414293" w:rsidRPr="00812BBF">
        <w:rPr>
          <w:sz w:val="22"/>
          <w:szCs w:val="22"/>
        </w:rPr>
        <w:t>MVPDs comply with</w:t>
      </w:r>
      <w:r w:rsidRPr="00812BBF">
        <w:rPr>
          <w:sz w:val="22"/>
          <w:szCs w:val="22"/>
        </w:rPr>
        <w:t xml:space="preserve"> today</w:t>
      </w:r>
      <w:r w:rsidR="00414293" w:rsidRPr="00812BBF">
        <w:rPr>
          <w:sz w:val="22"/>
          <w:szCs w:val="22"/>
        </w:rPr>
        <w:t xml:space="preserve">.  </w:t>
      </w:r>
      <w:r w:rsidRPr="00812BBF">
        <w:rPr>
          <w:sz w:val="22"/>
          <w:szCs w:val="22"/>
        </w:rPr>
        <w:t xml:space="preserve"> </w:t>
      </w:r>
    </w:p>
    <w:p w:rsidR="00A9389A" w:rsidRPr="00812BBF" w:rsidRDefault="00A9389A" w:rsidP="0097703D">
      <w:pPr>
        <w:rPr>
          <w:sz w:val="22"/>
          <w:szCs w:val="22"/>
        </w:rPr>
      </w:pPr>
    </w:p>
    <w:p w:rsidR="00906469" w:rsidRPr="00812BBF" w:rsidRDefault="00396654" w:rsidP="0097703D">
      <w:pPr>
        <w:rPr>
          <w:sz w:val="22"/>
          <w:szCs w:val="22"/>
        </w:rPr>
      </w:pPr>
      <w:r w:rsidRPr="00812BBF">
        <w:rPr>
          <w:sz w:val="22"/>
          <w:szCs w:val="22"/>
        </w:rPr>
        <w:t>Additionally, th</w:t>
      </w:r>
      <w:r w:rsidR="00906469" w:rsidRPr="00812BBF">
        <w:rPr>
          <w:sz w:val="22"/>
          <w:szCs w:val="22"/>
        </w:rPr>
        <w:t xml:space="preserve">e </w:t>
      </w:r>
      <w:r w:rsidR="009E5A95" w:rsidRPr="00812BBF">
        <w:rPr>
          <w:sz w:val="22"/>
          <w:szCs w:val="22"/>
        </w:rPr>
        <w:t>N</w:t>
      </w:r>
      <w:r w:rsidR="00EB60A9" w:rsidRPr="00812BBF">
        <w:rPr>
          <w:sz w:val="22"/>
          <w:szCs w:val="22"/>
        </w:rPr>
        <w:t>PRM</w:t>
      </w:r>
      <w:r w:rsidR="008A0959" w:rsidRPr="00812BBF">
        <w:rPr>
          <w:sz w:val="22"/>
          <w:szCs w:val="22"/>
        </w:rPr>
        <w:t xml:space="preserve"> proposes to:</w:t>
      </w:r>
    </w:p>
    <w:p w:rsidR="00906469" w:rsidRPr="00812BBF" w:rsidRDefault="00906469" w:rsidP="0097703D">
      <w:pPr>
        <w:rPr>
          <w:sz w:val="22"/>
          <w:szCs w:val="22"/>
        </w:rPr>
      </w:pPr>
    </w:p>
    <w:p w:rsidR="009E5A95" w:rsidRPr="00812BBF" w:rsidRDefault="008A0959" w:rsidP="0031488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12BBF">
        <w:rPr>
          <w:sz w:val="22"/>
          <w:szCs w:val="22"/>
        </w:rPr>
        <w:t>E</w:t>
      </w:r>
      <w:r w:rsidR="00EB60A9" w:rsidRPr="00812BBF">
        <w:rPr>
          <w:sz w:val="22"/>
          <w:szCs w:val="22"/>
        </w:rPr>
        <w:t>nsure that children’s programming advertising limits</w:t>
      </w:r>
      <w:r w:rsidR="00DC54BB" w:rsidRPr="00812BBF">
        <w:rPr>
          <w:sz w:val="22"/>
          <w:szCs w:val="22"/>
        </w:rPr>
        <w:t xml:space="preserve"> and</w:t>
      </w:r>
      <w:r w:rsidR="00EB60A9" w:rsidRPr="00812BBF">
        <w:rPr>
          <w:sz w:val="22"/>
          <w:szCs w:val="22"/>
        </w:rPr>
        <w:t xml:space="preserve"> emergency alerts apply regardless of whether the consumer leases the MVPD’s set-top box or uses a competitive solution to access video programming</w:t>
      </w:r>
      <w:r w:rsidR="009E5A95" w:rsidRPr="00812BBF">
        <w:rPr>
          <w:sz w:val="22"/>
          <w:szCs w:val="22"/>
        </w:rPr>
        <w:t xml:space="preserve">;   </w:t>
      </w:r>
    </w:p>
    <w:p w:rsidR="00917848" w:rsidRPr="00812BBF" w:rsidRDefault="008A0959" w:rsidP="0031488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12BBF">
        <w:rPr>
          <w:sz w:val="22"/>
          <w:szCs w:val="22"/>
        </w:rPr>
        <w:t>Include</w:t>
      </w:r>
      <w:r w:rsidR="00ED7931" w:rsidRPr="00812BBF">
        <w:rPr>
          <w:sz w:val="22"/>
          <w:szCs w:val="22"/>
        </w:rPr>
        <w:t xml:space="preserve"> a </w:t>
      </w:r>
      <w:r w:rsidR="00E74A5E" w:rsidRPr="00812BBF">
        <w:rPr>
          <w:sz w:val="22"/>
          <w:szCs w:val="22"/>
        </w:rPr>
        <w:t>billing transparency rule</w:t>
      </w:r>
      <w:r w:rsidR="0037765D" w:rsidRPr="00812BBF">
        <w:rPr>
          <w:sz w:val="22"/>
          <w:szCs w:val="22"/>
        </w:rPr>
        <w:t xml:space="preserve"> </w:t>
      </w:r>
      <w:r w:rsidR="009E5A95" w:rsidRPr="00812BBF">
        <w:rPr>
          <w:sz w:val="22"/>
          <w:szCs w:val="22"/>
        </w:rPr>
        <w:t xml:space="preserve">to ensure </w:t>
      </w:r>
      <w:r w:rsidR="00E74A5E" w:rsidRPr="00812BBF">
        <w:rPr>
          <w:sz w:val="22"/>
          <w:szCs w:val="22"/>
        </w:rPr>
        <w:t xml:space="preserve">that </w:t>
      </w:r>
      <w:r w:rsidR="009E5A95" w:rsidRPr="00812BBF">
        <w:rPr>
          <w:sz w:val="22"/>
          <w:szCs w:val="22"/>
        </w:rPr>
        <w:t xml:space="preserve">consumers understand </w:t>
      </w:r>
      <w:r w:rsidR="00CE302C" w:rsidRPr="00812BBF">
        <w:rPr>
          <w:sz w:val="22"/>
          <w:szCs w:val="22"/>
        </w:rPr>
        <w:t>their monthly charges fo</w:t>
      </w:r>
      <w:r w:rsidR="009E5A95" w:rsidRPr="00812BBF">
        <w:rPr>
          <w:sz w:val="22"/>
          <w:szCs w:val="22"/>
        </w:rPr>
        <w:t>r both programming services and equipment lease fees</w:t>
      </w:r>
      <w:r w:rsidR="0037765D" w:rsidRPr="00812BBF">
        <w:rPr>
          <w:sz w:val="22"/>
          <w:szCs w:val="22"/>
        </w:rPr>
        <w:t xml:space="preserve"> in accordance with section 629</w:t>
      </w:r>
      <w:r w:rsidR="00917848" w:rsidRPr="00812BBF">
        <w:rPr>
          <w:sz w:val="22"/>
          <w:szCs w:val="22"/>
        </w:rPr>
        <w:t xml:space="preserve">; </w:t>
      </w:r>
      <w:r w:rsidR="00901587">
        <w:rPr>
          <w:sz w:val="22"/>
          <w:szCs w:val="22"/>
        </w:rPr>
        <w:t>and</w:t>
      </w:r>
    </w:p>
    <w:p w:rsidR="009E5A95" w:rsidRPr="00445262" w:rsidRDefault="008A0959" w:rsidP="0031488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12BBF">
        <w:rPr>
          <w:sz w:val="22"/>
          <w:szCs w:val="22"/>
        </w:rPr>
        <w:t>R</w:t>
      </w:r>
      <w:r w:rsidR="0037765D" w:rsidRPr="00812BBF">
        <w:rPr>
          <w:sz w:val="22"/>
          <w:szCs w:val="22"/>
        </w:rPr>
        <w:t>etain</w:t>
      </w:r>
      <w:r w:rsidR="00917848" w:rsidRPr="00812BBF">
        <w:rPr>
          <w:sz w:val="22"/>
          <w:szCs w:val="22"/>
        </w:rPr>
        <w:t xml:space="preserve"> the Commission</w:t>
      </w:r>
      <w:r w:rsidR="00CE302C" w:rsidRPr="00812BBF">
        <w:rPr>
          <w:sz w:val="22"/>
          <w:szCs w:val="22"/>
        </w:rPr>
        <w:t>’s rules</w:t>
      </w:r>
      <w:r w:rsidR="00917848" w:rsidRPr="00812BBF">
        <w:rPr>
          <w:sz w:val="22"/>
          <w:szCs w:val="22"/>
        </w:rPr>
        <w:t xml:space="preserve"> adopted in a 2010 Report and Order </w:t>
      </w:r>
      <w:r w:rsidR="00B6348C" w:rsidRPr="00812BBF">
        <w:rPr>
          <w:sz w:val="22"/>
          <w:szCs w:val="22"/>
        </w:rPr>
        <w:t xml:space="preserve">to improve support for </w:t>
      </w:r>
      <w:r w:rsidR="00B6348C" w:rsidRPr="00445262">
        <w:rPr>
          <w:sz w:val="22"/>
          <w:szCs w:val="22"/>
        </w:rPr>
        <w:t>consumer-owned CableCARD devices</w:t>
      </w:r>
      <w:r w:rsidR="00901587" w:rsidRPr="00445262">
        <w:rPr>
          <w:sz w:val="22"/>
          <w:szCs w:val="22"/>
        </w:rPr>
        <w:t>.</w:t>
      </w:r>
      <w:r w:rsidR="007440BD" w:rsidRPr="00445262" w:rsidDel="007440BD">
        <w:rPr>
          <w:sz w:val="22"/>
          <w:szCs w:val="22"/>
        </w:rPr>
        <w:t xml:space="preserve"> </w:t>
      </w:r>
    </w:p>
    <w:p w:rsidR="00F74FF0" w:rsidRPr="00445262" w:rsidRDefault="007440BD" w:rsidP="00FB3FF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45262">
        <w:rPr>
          <w:sz w:val="22"/>
          <w:szCs w:val="22"/>
        </w:rPr>
        <w:t>I</w:t>
      </w:r>
      <w:r w:rsidR="00901587" w:rsidRPr="00445262">
        <w:rPr>
          <w:sz w:val="22"/>
          <w:szCs w:val="22"/>
        </w:rPr>
        <w:t>t also i</w:t>
      </w:r>
      <w:r w:rsidR="00DE6A49" w:rsidRPr="00445262">
        <w:rPr>
          <w:sz w:val="22"/>
          <w:szCs w:val="22"/>
        </w:rPr>
        <w:t>ncludes a</w:t>
      </w:r>
      <w:r w:rsidR="0097703D" w:rsidRPr="00445262">
        <w:rPr>
          <w:sz w:val="22"/>
          <w:szCs w:val="22"/>
        </w:rPr>
        <w:t xml:space="preserve"> Memorandum Opinion and Order remov</w:t>
      </w:r>
      <w:r w:rsidR="00DE6A49" w:rsidRPr="00445262">
        <w:rPr>
          <w:sz w:val="22"/>
          <w:szCs w:val="22"/>
        </w:rPr>
        <w:t>ing</w:t>
      </w:r>
      <w:r w:rsidR="0097703D" w:rsidRPr="00445262">
        <w:rPr>
          <w:sz w:val="22"/>
          <w:szCs w:val="22"/>
        </w:rPr>
        <w:t xml:space="preserve"> the so-called “integration ban” language from the Code of Federal Regulations, as required under Section 106 of the STELA Reauthorization Act of 2014.</w:t>
      </w:r>
    </w:p>
    <w:p w:rsidR="00BA7803" w:rsidRPr="00445262" w:rsidRDefault="00BA7803" w:rsidP="0078531B">
      <w:pPr>
        <w:rPr>
          <w:sz w:val="22"/>
          <w:szCs w:val="22"/>
        </w:rPr>
      </w:pPr>
    </w:p>
    <w:p w:rsidR="00FB30AB" w:rsidRPr="00FB30AB" w:rsidRDefault="00FB30AB" w:rsidP="00FB30AB">
      <w:pPr>
        <w:rPr>
          <w:sz w:val="22"/>
          <w:szCs w:val="22"/>
        </w:rPr>
      </w:pPr>
      <w:r w:rsidRPr="00FB30AB">
        <w:rPr>
          <w:sz w:val="22"/>
          <w:szCs w:val="22"/>
        </w:rPr>
        <w:t xml:space="preserve">Action by the Commission February 18, 2016, by Notice of Proposed Rulemaking (FCC 16-18). Chairman Wheeler, Commissioners Clyburn and Rosenworcel approving with Commissioners Pai and O’Rielly dissenting.  Chairman Wheeler, Commissioners Clyburn, Rosenworcel, Pai and O’Rielly issuing statements.  </w:t>
      </w:r>
    </w:p>
    <w:p w:rsidR="00CD3233" w:rsidRDefault="00CD3233" w:rsidP="00445262">
      <w:pPr>
        <w:rPr>
          <w:color w:val="000000" w:themeColor="text1"/>
          <w:sz w:val="22"/>
          <w:szCs w:val="22"/>
        </w:rPr>
      </w:pPr>
    </w:p>
    <w:p w:rsidR="00CC7DF8" w:rsidRPr="00CC7DF8" w:rsidRDefault="00CC7DF8" w:rsidP="0044526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(MB Docket No. 16-42)</w:t>
      </w:r>
    </w:p>
    <w:p w:rsidR="0032720D" w:rsidRPr="00812BBF" w:rsidRDefault="0032720D" w:rsidP="0078531B">
      <w:pPr>
        <w:ind w:right="240"/>
        <w:jc w:val="center"/>
        <w:rPr>
          <w:sz w:val="22"/>
          <w:szCs w:val="22"/>
        </w:rPr>
      </w:pPr>
      <w:r w:rsidRPr="00812BBF">
        <w:rPr>
          <w:sz w:val="22"/>
          <w:szCs w:val="22"/>
        </w:rPr>
        <w:t>###</w:t>
      </w:r>
    </w:p>
    <w:p w:rsidR="0032720D" w:rsidRPr="00812BBF" w:rsidRDefault="0032720D" w:rsidP="0048313B">
      <w:pPr>
        <w:ind w:right="498"/>
        <w:jc w:val="center"/>
        <w:rPr>
          <w:b/>
          <w:bCs/>
          <w:sz w:val="22"/>
          <w:szCs w:val="22"/>
        </w:rPr>
      </w:pPr>
      <w:r w:rsidRPr="00812BBF">
        <w:rPr>
          <w:b/>
          <w:bCs/>
          <w:sz w:val="22"/>
          <w:szCs w:val="22"/>
        </w:rPr>
        <w:br/>
        <w:t>Office of Media Relations: (202) 418-0500</w:t>
      </w:r>
    </w:p>
    <w:p w:rsidR="0032720D" w:rsidRPr="00812BBF" w:rsidRDefault="0032720D" w:rsidP="0048313B">
      <w:pPr>
        <w:ind w:right="498"/>
        <w:jc w:val="center"/>
        <w:rPr>
          <w:b/>
          <w:bCs/>
          <w:sz w:val="22"/>
          <w:szCs w:val="22"/>
        </w:rPr>
      </w:pPr>
      <w:r w:rsidRPr="00812BBF">
        <w:rPr>
          <w:b/>
          <w:bCs/>
          <w:sz w:val="22"/>
          <w:szCs w:val="22"/>
        </w:rPr>
        <w:t>TTY: (888) 835-5322</w:t>
      </w:r>
    </w:p>
    <w:p w:rsidR="0032720D" w:rsidRPr="00812BBF" w:rsidRDefault="0032720D" w:rsidP="0048313B">
      <w:pPr>
        <w:ind w:right="498"/>
        <w:jc w:val="center"/>
        <w:rPr>
          <w:b/>
          <w:bCs/>
          <w:sz w:val="22"/>
          <w:szCs w:val="22"/>
        </w:rPr>
      </w:pPr>
      <w:r w:rsidRPr="00812BBF">
        <w:rPr>
          <w:b/>
          <w:bCs/>
          <w:sz w:val="22"/>
          <w:szCs w:val="22"/>
        </w:rPr>
        <w:t>Twitter: @FCC</w:t>
      </w:r>
    </w:p>
    <w:p w:rsidR="0032720D" w:rsidRPr="00812BBF" w:rsidRDefault="004A0D8F" w:rsidP="0048313B">
      <w:pPr>
        <w:ind w:right="498"/>
        <w:jc w:val="center"/>
        <w:rPr>
          <w:b/>
          <w:bCs/>
          <w:sz w:val="22"/>
          <w:szCs w:val="22"/>
        </w:rPr>
      </w:pPr>
      <w:hyperlink r:id="rId9" w:history="1">
        <w:r w:rsidR="0032720D" w:rsidRPr="00812BBF">
          <w:rPr>
            <w:rStyle w:val="Hyperlink"/>
            <w:b/>
            <w:bCs/>
            <w:color w:val="auto"/>
            <w:sz w:val="22"/>
            <w:szCs w:val="22"/>
          </w:rPr>
          <w:t>www.fcc.gov/office-media-relations</w:t>
        </w:r>
      </w:hyperlink>
    </w:p>
    <w:p w:rsidR="0032720D" w:rsidRPr="00812BBF" w:rsidRDefault="0032720D" w:rsidP="0048313B">
      <w:pPr>
        <w:ind w:right="498"/>
        <w:jc w:val="center"/>
        <w:rPr>
          <w:b/>
          <w:bCs/>
          <w:sz w:val="22"/>
          <w:szCs w:val="22"/>
        </w:rPr>
      </w:pPr>
    </w:p>
    <w:p w:rsidR="0032720D" w:rsidRPr="00812BBF" w:rsidRDefault="0032720D" w:rsidP="001D6FD5">
      <w:pPr>
        <w:ind w:right="498"/>
        <w:jc w:val="center"/>
        <w:rPr>
          <w:bCs/>
          <w:i/>
          <w:sz w:val="22"/>
          <w:szCs w:val="22"/>
        </w:rPr>
      </w:pPr>
      <w:r w:rsidRPr="00812BBF">
        <w:rPr>
          <w:bCs/>
          <w:i/>
          <w:sz w:val="22"/>
          <w:szCs w:val="22"/>
        </w:rPr>
        <w:t>This is an unofficial announcement of Commission action.  Release of the full text of a Commission order constitutes official action.  See MCI v. FCC. 515 F 2d 385 (D.C. Circ 1974).</w:t>
      </w:r>
    </w:p>
    <w:p w:rsidR="00F72607" w:rsidRPr="00812BBF" w:rsidRDefault="00F72607" w:rsidP="0048313B">
      <w:pPr>
        <w:jc w:val="center"/>
        <w:rPr>
          <w:sz w:val="22"/>
          <w:szCs w:val="22"/>
        </w:rPr>
      </w:pPr>
    </w:p>
    <w:sectPr w:rsidR="00F72607" w:rsidRPr="00812B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44" w:rsidRDefault="00195344" w:rsidP="001400B6">
      <w:r>
        <w:separator/>
      </w:r>
    </w:p>
  </w:endnote>
  <w:endnote w:type="continuationSeparator" w:id="0">
    <w:p w:rsidR="00195344" w:rsidRDefault="00195344" w:rsidP="0014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Default="00273C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Default="00273C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Default="00273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44" w:rsidRDefault="00195344" w:rsidP="001400B6">
      <w:r>
        <w:separator/>
      </w:r>
    </w:p>
  </w:footnote>
  <w:footnote w:type="continuationSeparator" w:id="0">
    <w:p w:rsidR="00195344" w:rsidRDefault="00195344" w:rsidP="0014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Default="00273C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Default="00273C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Default="00273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B71"/>
    <w:multiLevelType w:val="hybridMultilevel"/>
    <w:tmpl w:val="CA8A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1147C"/>
    <w:multiLevelType w:val="hybridMultilevel"/>
    <w:tmpl w:val="11567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A12CA4"/>
    <w:multiLevelType w:val="hybridMultilevel"/>
    <w:tmpl w:val="04C0A9F8"/>
    <w:lvl w:ilvl="0" w:tplc="B348613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C337B8"/>
    <w:multiLevelType w:val="hybridMultilevel"/>
    <w:tmpl w:val="A7202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0D"/>
    <w:rsid w:val="00014518"/>
    <w:rsid w:val="00014992"/>
    <w:rsid w:val="00084419"/>
    <w:rsid w:val="000C28D9"/>
    <w:rsid w:val="000D0E9E"/>
    <w:rsid w:val="000F209A"/>
    <w:rsid w:val="000F5167"/>
    <w:rsid w:val="0012085E"/>
    <w:rsid w:val="001400B6"/>
    <w:rsid w:val="00142F67"/>
    <w:rsid w:val="00147287"/>
    <w:rsid w:val="0015406C"/>
    <w:rsid w:val="001661E2"/>
    <w:rsid w:val="00181E6F"/>
    <w:rsid w:val="00195344"/>
    <w:rsid w:val="00196208"/>
    <w:rsid w:val="001B4CC9"/>
    <w:rsid w:val="001D184A"/>
    <w:rsid w:val="001D460D"/>
    <w:rsid w:val="001D6FD5"/>
    <w:rsid w:val="00215053"/>
    <w:rsid w:val="00224D54"/>
    <w:rsid w:val="00237076"/>
    <w:rsid w:val="00266602"/>
    <w:rsid w:val="00273C4C"/>
    <w:rsid w:val="00290C59"/>
    <w:rsid w:val="00296CB5"/>
    <w:rsid w:val="002A0E3A"/>
    <w:rsid w:val="002A520F"/>
    <w:rsid w:val="002B46B1"/>
    <w:rsid w:val="002B5E9C"/>
    <w:rsid w:val="002E046E"/>
    <w:rsid w:val="002F3240"/>
    <w:rsid w:val="00314885"/>
    <w:rsid w:val="0032337F"/>
    <w:rsid w:val="0032720D"/>
    <w:rsid w:val="00331884"/>
    <w:rsid w:val="00351C5F"/>
    <w:rsid w:val="00356EB0"/>
    <w:rsid w:val="00376BBC"/>
    <w:rsid w:val="0037765D"/>
    <w:rsid w:val="00396654"/>
    <w:rsid w:val="00401413"/>
    <w:rsid w:val="00402B2E"/>
    <w:rsid w:val="00410568"/>
    <w:rsid w:val="00414293"/>
    <w:rsid w:val="004228FD"/>
    <w:rsid w:val="00434A6B"/>
    <w:rsid w:val="00442926"/>
    <w:rsid w:val="00445262"/>
    <w:rsid w:val="00464531"/>
    <w:rsid w:val="0047080C"/>
    <w:rsid w:val="004769F7"/>
    <w:rsid w:val="0048313B"/>
    <w:rsid w:val="004A0D8F"/>
    <w:rsid w:val="004A65EB"/>
    <w:rsid w:val="004C5C87"/>
    <w:rsid w:val="00504462"/>
    <w:rsid w:val="005244AF"/>
    <w:rsid w:val="00526D74"/>
    <w:rsid w:val="005276A1"/>
    <w:rsid w:val="00540DA0"/>
    <w:rsid w:val="00566C18"/>
    <w:rsid w:val="00575A67"/>
    <w:rsid w:val="005814C1"/>
    <w:rsid w:val="00591125"/>
    <w:rsid w:val="0059766A"/>
    <w:rsid w:val="005B769C"/>
    <w:rsid w:val="00613FD4"/>
    <w:rsid w:val="00623CA7"/>
    <w:rsid w:val="00645013"/>
    <w:rsid w:val="0065428B"/>
    <w:rsid w:val="00696FBF"/>
    <w:rsid w:val="006A1544"/>
    <w:rsid w:val="006B4938"/>
    <w:rsid w:val="006D46D8"/>
    <w:rsid w:val="007144DD"/>
    <w:rsid w:val="007208DD"/>
    <w:rsid w:val="00723D6B"/>
    <w:rsid w:val="00727EA0"/>
    <w:rsid w:val="007440BD"/>
    <w:rsid w:val="00746D50"/>
    <w:rsid w:val="007654F8"/>
    <w:rsid w:val="007736FC"/>
    <w:rsid w:val="0078531B"/>
    <w:rsid w:val="007A5F42"/>
    <w:rsid w:val="007B56C6"/>
    <w:rsid w:val="007C63D9"/>
    <w:rsid w:val="007E14DE"/>
    <w:rsid w:val="0080027C"/>
    <w:rsid w:val="00812BBF"/>
    <w:rsid w:val="0086167D"/>
    <w:rsid w:val="008813CC"/>
    <w:rsid w:val="008A0959"/>
    <w:rsid w:val="008E3991"/>
    <w:rsid w:val="00901587"/>
    <w:rsid w:val="00906469"/>
    <w:rsid w:val="0091471F"/>
    <w:rsid w:val="00917848"/>
    <w:rsid w:val="00921F62"/>
    <w:rsid w:val="00946629"/>
    <w:rsid w:val="009746A8"/>
    <w:rsid w:val="0097703D"/>
    <w:rsid w:val="00983D33"/>
    <w:rsid w:val="00996D00"/>
    <w:rsid w:val="009C71CE"/>
    <w:rsid w:val="009D3A69"/>
    <w:rsid w:val="009D5E0A"/>
    <w:rsid w:val="009E5A95"/>
    <w:rsid w:val="009E784A"/>
    <w:rsid w:val="009F1586"/>
    <w:rsid w:val="009F1DE1"/>
    <w:rsid w:val="00A37D09"/>
    <w:rsid w:val="00A41D1D"/>
    <w:rsid w:val="00A516EB"/>
    <w:rsid w:val="00A56BA5"/>
    <w:rsid w:val="00A64F1D"/>
    <w:rsid w:val="00A9389A"/>
    <w:rsid w:val="00A94359"/>
    <w:rsid w:val="00AB3C7E"/>
    <w:rsid w:val="00AC24DE"/>
    <w:rsid w:val="00AC5830"/>
    <w:rsid w:val="00AE0574"/>
    <w:rsid w:val="00AE45A4"/>
    <w:rsid w:val="00AF6E3B"/>
    <w:rsid w:val="00AF7EAD"/>
    <w:rsid w:val="00B25CA7"/>
    <w:rsid w:val="00B425B0"/>
    <w:rsid w:val="00B5542E"/>
    <w:rsid w:val="00B579DD"/>
    <w:rsid w:val="00B6348C"/>
    <w:rsid w:val="00B80D9C"/>
    <w:rsid w:val="00BA55B2"/>
    <w:rsid w:val="00BA7803"/>
    <w:rsid w:val="00C024D7"/>
    <w:rsid w:val="00C13CD0"/>
    <w:rsid w:val="00C15534"/>
    <w:rsid w:val="00C26D0B"/>
    <w:rsid w:val="00C37157"/>
    <w:rsid w:val="00C53B12"/>
    <w:rsid w:val="00C75A26"/>
    <w:rsid w:val="00C85BC6"/>
    <w:rsid w:val="00CA5EC2"/>
    <w:rsid w:val="00CC7DF8"/>
    <w:rsid w:val="00CD3233"/>
    <w:rsid w:val="00CD56CB"/>
    <w:rsid w:val="00CD636A"/>
    <w:rsid w:val="00CE302C"/>
    <w:rsid w:val="00D05650"/>
    <w:rsid w:val="00D16CB7"/>
    <w:rsid w:val="00D340E3"/>
    <w:rsid w:val="00D34DF1"/>
    <w:rsid w:val="00D41BB5"/>
    <w:rsid w:val="00D56A72"/>
    <w:rsid w:val="00D56DDC"/>
    <w:rsid w:val="00D635BC"/>
    <w:rsid w:val="00D70187"/>
    <w:rsid w:val="00D81B5B"/>
    <w:rsid w:val="00DC54BB"/>
    <w:rsid w:val="00DE3753"/>
    <w:rsid w:val="00DE6A49"/>
    <w:rsid w:val="00DF5761"/>
    <w:rsid w:val="00DF6AB4"/>
    <w:rsid w:val="00DF7FD4"/>
    <w:rsid w:val="00E46D78"/>
    <w:rsid w:val="00E50430"/>
    <w:rsid w:val="00E5749A"/>
    <w:rsid w:val="00E6788A"/>
    <w:rsid w:val="00E74A5E"/>
    <w:rsid w:val="00E774B2"/>
    <w:rsid w:val="00E9282B"/>
    <w:rsid w:val="00EB60A9"/>
    <w:rsid w:val="00ED7931"/>
    <w:rsid w:val="00F26150"/>
    <w:rsid w:val="00F43613"/>
    <w:rsid w:val="00F72607"/>
    <w:rsid w:val="00F74FF0"/>
    <w:rsid w:val="00FA6DA6"/>
    <w:rsid w:val="00FB2B39"/>
    <w:rsid w:val="00FB30AB"/>
    <w:rsid w:val="00FB3FF6"/>
    <w:rsid w:val="00FD010A"/>
    <w:rsid w:val="00FD0BB0"/>
    <w:rsid w:val="00FE05C0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A95"/>
    <w:pPr>
      <w:ind w:left="720"/>
      <w:contextualSpacing/>
    </w:pPr>
  </w:style>
  <w:style w:type="paragraph" w:customStyle="1" w:styleId="Body">
    <w:name w:val="Body"/>
    <w:rsid w:val="00402B2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A95"/>
    <w:pPr>
      <w:ind w:left="720"/>
      <w:contextualSpacing/>
    </w:pPr>
  </w:style>
  <w:style w:type="paragraph" w:customStyle="1" w:styleId="Body">
    <w:name w:val="Body"/>
    <w:rsid w:val="00402B2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4274</Characters>
  <Application>Microsoft Office Word</Application>
  <DocSecurity>0</DocSecurity>
  <Lines>85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5020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2016-02-18T18:47:00Z</cp:lastPrinted>
  <dcterms:created xsi:type="dcterms:W3CDTF">2016-02-18T20:08:00Z</dcterms:created>
  <dcterms:modified xsi:type="dcterms:W3CDTF">2016-02-18T20:08:00Z</dcterms:modified>
  <cp:category> </cp:category>
  <cp:contentStatus> </cp:contentStatus>
</cp:coreProperties>
</file>