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E2299" w14:textId="593938F9" w:rsidR="00F75D8E" w:rsidRPr="00A26FD9" w:rsidRDefault="00F75D8E" w:rsidP="00085DD4">
      <w:pPr>
        <w:spacing w:before="240"/>
        <w:jc w:val="right"/>
        <w:rPr>
          <w:b/>
          <w:szCs w:val="22"/>
        </w:rPr>
      </w:pPr>
      <w:bookmarkStart w:id="0" w:name="_GoBack"/>
      <w:bookmarkEnd w:id="0"/>
      <w:r w:rsidRPr="00A26FD9">
        <w:rPr>
          <w:b/>
          <w:szCs w:val="22"/>
        </w:rPr>
        <w:t>DA 16-</w:t>
      </w:r>
      <w:r w:rsidR="00B57243">
        <w:rPr>
          <w:b/>
          <w:szCs w:val="22"/>
        </w:rPr>
        <w:t>22</w:t>
      </w:r>
      <w:r w:rsidR="00B6697C">
        <w:rPr>
          <w:b/>
          <w:szCs w:val="22"/>
        </w:rPr>
        <w:t>4</w:t>
      </w:r>
    </w:p>
    <w:p w14:paraId="3F822219" w14:textId="014AC026" w:rsidR="00F75D8E" w:rsidRPr="00A26FD9" w:rsidRDefault="00F75D8E" w:rsidP="00F75D8E">
      <w:pPr>
        <w:spacing w:before="60"/>
        <w:jc w:val="right"/>
        <w:rPr>
          <w:b/>
          <w:szCs w:val="22"/>
        </w:rPr>
      </w:pPr>
      <w:r w:rsidRPr="00A26FD9">
        <w:rPr>
          <w:b/>
          <w:szCs w:val="22"/>
        </w:rPr>
        <w:t xml:space="preserve">Released:  </w:t>
      </w:r>
      <w:r w:rsidR="003266A6">
        <w:rPr>
          <w:b/>
          <w:szCs w:val="22"/>
        </w:rPr>
        <w:t>March</w:t>
      </w:r>
      <w:r w:rsidR="003266A6" w:rsidRPr="00A26FD9">
        <w:rPr>
          <w:b/>
          <w:szCs w:val="22"/>
        </w:rPr>
        <w:t xml:space="preserve"> </w:t>
      </w:r>
      <w:r w:rsidR="0001673F">
        <w:rPr>
          <w:b/>
          <w:szCs w:val="22"/>
        </w:rPr>
        <w:t>4</w:t>
      </w:r>
      <w:r w:rsidRPr="00A26FD9">
        <w:rPr>
          <w:b/>
          <w:szCs w:val="22"/>
        </w:rPr>
        <w:t>, 2016</w:t>
      </w:r>
    </w:p>
    <w:p w14:paraId="7E62E834" w14:textId="77777777" w:rsidR="00F75D8E" w:rsidRPr="00A26FD9" w:rsidRDefault="00F75D8E" w:rsidP="00F75D8E">
      <w:pPr>
        <w:jc w:val="right"/>
        <w:rPr>
          <w:szCs w:val="22"/>
        </w:rPr>
      </w:pPr>
    </w:p>
    <w:p w14:paraId="33730BE7" w14:textId="77777777" w:rsidR="00F75D8E" w:rsidRPr="00A26FD9" w:rsidRDefault="00F75D8E" w:rsidP="00F75D8E">
      <w:pPr>
        <w:spacing w:after="220"/>
        <w:jc w:val="center"/>
        <w:rPr>
          <w:b/>
          <w:szCs w:val="22"/>
        </w:rPr>
      </w:pPr>
      <w:r w:rsidRPr="00A26FD9">
        <w:rPr>
          <w:b/>
          <w:szCs w:val="22"/>
        </w:rPr>
        <w:t>ERRATUM</w:t>
      </w:r>
    </w:p>
    <w:p w14:paraId="5F9C5DE1" w14:textId="77777777" w:rsidR="00500FDB" w:rsidRDefault="00F75D8E" w:rsidP="00F75D8E">
      <w:pPr>
        <w:widowControl/>
        <w:autoSpaceDE w:val="0"/>
        <w:autoSpaceDN w:val="0"/>
        <w:adjustRightInd w:val="0"/>
        <w:jc w:val="center"/>
        <w:rPr>
          <w:b/>
          <w:bCs/>
          <w:snapToGrid/>
          <w:kern w:val="0"/>
          <w:szCs w:val="22"/>
        </w:rPr>
      </w:pPr>
      <w:r w:rsidRPr="00A26FD9">
        <w:rPr>
          <w:b/>
          <w:bCs/>
          <w:snapToGrid/>
          <w:kern w:val="0"/>
          <w:szCs w:val="22"/>
        </w:rPr>
        <w:t>APPLICATION PROCEDURES FOR</w:t>
      </w:r>
      <w:r w:rsidR="00500FDB">
        <w:rPr>
          <w:b/>
          <w:bCs/>
          <w:snapToGrid/>
          <w:kern w:val="0"/>
          <w:szCs w:val="22"/>
        </w:rPr>
        <w:t xml:space="preserve"> </w:t>
      </w:r>
      <w:r w:rsidRPr="00A26FD9">
        <w:rPr>
          <w:b/>
          <w:bCs/>
          <w:snapToGrid/>
          <w:kern w:val="0"/>
          <w:szCs w:val="22"/>
        </w:rPr>
        <w:t xml:space="preserve">BROADCAST INCENTIVE AUCTION </w:t>
      </w:r>
    </w:p>
    <w:p w14:paraId="0CCA6D17" w14:textId="77777777" w:rsidR="00F75D8E" w:rsidRDefault="00F75D8E" w:rsidP="00500FDB">
      <w:pPr>
        <w:widowControl/>
        <w:autoSpaceDE w:val="0"/>
        <w:autoSpaceDN w:val="0"/>
        <w:adjustRightInd w:val="0"/>
        <w:jc w:val="center"/>
        <w:rPr>
          <w:b/>
          <w:bCs/>
          <w:snapToGrid/>
          <w:kern w:val="0"/>
          <w:szCs w:val="22"/>
        </w:rPr>
      </w:pPr>
      <w:r w:rsidRPr="00A26FD9">
        <w:rPr>
          <w:b/>
          <w:bCs/>
          <w:snapToGrid/>
          <w:kern w:val="0"/>
          <w:szCs w:val="22"/>
        </w:rPr>
        <w:t>SCHEDULED TO BEGIN</w:t>
      </w:r>
      <w:r w:rsidR="00500FDB">
        <w:rPr>
          <w:b/>
          <w:bCs/>
          <w:snapToGrid/>
          <w:kern w:val="0"/>
          <w:szCs w:val="22"/>
        </w:rPr>
        <w:t xml:space="preserve"> </w:t>
      </w:r>
      <w:r w:rsidRPr="00A26FD9">
        <w:rPr>
          <w:b/>
          <w:bCs/>
          <w:snapToGrid/>
          <w:kern w:val="0"/>
          <w:szCs w:val="22"/>
        </w:rPr>
        <w:t>ON MARCH 29, 2016</w:t>
      </w:r>
    </w:p>
    <w:p w14:paraId="4CC7B17E" w14:textId="77777777" w:rsidR="00500FDB" w:rsidRPr="00A26FD9" w:rsidRDefault="00500FDB" w:rsidP="00500FDB">
      <w:pPr>
        <w:widowControl/>
        <w:autoSpaceDE w:val="0"/>
        <w:autoSpaceDN w:val="0"/>
        <w:adjustRightInd w:val="0"/>
        <w:jc w:val="center"/>
        <w:rPr>
          <w:b/>
          <w:bCs/>
          <w:snapToGrid/>
          <w:kern w:val="0"/>
          <w:szCs w:val="22"/>
        </w:rPr>
      </w:pPr>
    </w:p>
    <w:p w14:paraId="23F11A13" w14:textId="77777777" w:rsidR="00F75D8E" w:rsidRPr="00A26FD9" w:rsidRDefault="00F75D8E" w:rsidP="00F75D8E">
      <w:pPr>
        <w:spacing w:after="220"/>
        <w:jc w:val="center"/>
        <w:rPr>
          <w:b/>
          <w:bCs/>
          <w:snapToGrid/>
          <w:kern w:val="0"/>
          <w:szCs w:val="22"/>
        </w:rPr>
      </w:pPr>
      <w:r w:rsidRPr="00A26FD9">
        <w:rPr>
          <w:b/>
          <w:bCs/>
          <w:snapToGrid/>
          <w:kern w:val="0"/>
          <w:szCs w:val="22"/>
        </w:rPr>
        <w:t>TECHNICAL FORMULAS FOR COMPETITIVE BIDDING</w:t>
      </w:r>
    </w:p>
    <w:p w14:paraId="73820292" w14:textId="77777777" w:rsidR="00F75D8E" w:rsidRPr="00A26FD9" w:rsidRDefault="00F75D8E" w:rsidP="00F75D8E">
      <w:pPr>
        <w:widowControl/>
        <w:autoSpaceDE w:val="0"/>
        <w:autoSpaceDN w:val="0"/>
        <w:adjustRightInd w:val="0"/>
        <w:jc w:val="center"/>
        <w:rPr>
          <w:b/>
          <w:bCs/>
          <w:snapToGrid/>
          <w:kern w:val="0"/>
          <w:szCs w:val="22"/>
        </w:rPr>
      </w:pPr>
      <w:r w:rsidRPr="00A26FD9">
        <w:rPr>
          <w:b/>
          <w:bCs/>
          <w:snapToGrid/>
          <w:kern w:val="0"/>
          <w:szCs w:val="22"/>
        </w:rPr>
        <w:t>AU Docket No. 14-252</w:t>
      </w:r>
    </w:p>
    <w:p w14:paraId="5DA999AB" w14:textId="77777777" w:rsidR="00F75D8E" w:rsidRPr="00A26FD9" w:rsidRDefault="00F75D8E" w:rsidP="00F75D8E">
      <w:pPr>
        <w:widowControl/>
        <w:autoSpaceDE w:val="0"/>
        <w:autoSpaceDN w:val="0"/>
        <w:adjustRightInd w:val="0"/>
        <w:jc w:val="center"/>
        <w:rPr>
          <w:b/>
          <w:bCs/>
          <w:snapToGrid/>
          <w:kern w:val="0"/>
          <w:szCs w:val="22"/>
        </w:rPr>
      </w:pPr>
      <w:r w:rsidRPr="00A26FD9">
        <w:rPr>
          <w:b/>
          <w:bCs/>
          <w:snapToGrid/>
          <w:kern w:val="0"/>
          <w:szCs w:val="22"/>
        </w:rPr>
        <w:t>GN Docket No. 12-268</w:t>
      </w:r>
    </w:p>
    <w:p w14:paraId="4E790E0F" w14:textId="77777777" w:rsidR="00F75D8E" w:rsidRPr="00A26FD9" w:rsidRDefault="00F75D8E" w:rsidP="00F75D8E">
      <w:pPr>
        <w:spacing w:after="120"/>
        <w:jc w:val="center"/>
        <w:rPr>
          <w:szCs w:val="22"/>
        </w:rPr>
      </w:pPr>
      <w:r w:rsidRPr="00A26FD9">
        <w:rPr>
          <w:b/>
          <w:bCs/>
          <w:snapToGrid/>
          <w:kern w:val="0"/>
          <w:szCs w:val="22"/>
        </w:rPr>
        <w:t>WT Docket No. 12-269</w:t>
      </w:r>
    </w:p>
    <w:p w14:paraId="151D4698" w14:textId="77777777" w:rsidR="00F75D8E" w:rsidRPr="00437395" w:rsidRDefault="00F75D8E" w:rsidP="00F75D8E">
      <w:pPr>
        <w:spacing w:after="120"/>
        <w:rPr>
          <w:szCs w:val="22"/>
        </w:rPr>
      </w:pPr>
    </w:p>
    <w:p w14:paraId="1F29F356" w14:textId="16249999" w:rsidR="00F75D8E" w:rsidRPr="00B35DA1" w:rsidRDefault="00F75D8E" w:rsidP="003C1175">
      <w:pPr>
        <w:spacing w:after="220"/>
        <w:rPr>
          <w:szCs w:val="22"/>
        </w:rPr>
      </w:pPr>
      <w:r w:rsidRPr="00B35DA1">
        <w:rPr>
          <w:szCs w:val="22"/>
        </w:rPr>
        <w:t>On October 15, 2015, the Wireless Telecommunications Bureau released a Public Notice (</w:t>
      </w:r>
      <w:r w:rsidRPr="00B35DA1">
        <w:rPr>
          <w:i/>
          <w:szCs w:val="22"/>
        </w:rPr>
        <w:t>Auction 1000 Application Procedures Public Notice</w:t>
      </w:r>
      <w:r w:rsidRPr="00B35DA1">
        <w:rPr>
          <w:szCs w:val="22"/>
        </w:rPr>
        <w:t>), DA 15-1183, in the above-captioned proceedings.</w:t>
      </w:r>
      <w:r w:rsidR="001B04F6" w:rsidRPr="00B35DA1">
        <w:rPr>
          <w:szCs w:val="22"/>
        </w:rPr>
        <w:t xml:space="preserve"> </w:t>
      </w:r>
      <w:r w:rsidR="00B57243" w:rsidRPr="00B35DA1">
        <w:rPr>
          <w:szCs w:val="22"/>
        </w:rPr>
        <w:t xml:space="preserve"> </w:t>
      </w:r>
      <w:r w:rsidR="001B04F6" w:rsidRPr="00B35DA1">
        <w:rPr>
          <w:i/>
          <w:szCs w:val="22"/>
        </w:rPr>
        <w:t>See</w:t>
      </w:r>
      <w:r w:rsidR="001B04F6" w:rsidRPr="00B35DA1">
        <w:rPr>
          <w:szCs w:val="22"/>
        </w:rPr>
        <w:t xml:space="preserve"> 30 FCC </w:t>
      </w:r>
      <w:r w:rsidR="001B04F6" w:rsidRPr="00452927">
        <w:rPr>
          <w:szCs w:val="22"/>
        </w:rPr>
        <w:t>Rcd 11034 (</w:t>
      </w:r>
      <w:r w:rsidR="00B57243" w:rsidRPr="00452927">
        <w:rPr>
          <w:szCs w:val="22"/>
        </w:rPr>
        <w:t xml:space="preserve">WTB </w:t>
      </w:r>
      <w:r w:rsidR="001B04F6" w:rsidRPr="00452927">
        <w:rPr>
          <w:szCs w:val="22"/>
        </w:rPr>
        <w:t xml:space="preserve">2015).  </w:t>
      </w:r>
      <w:r w:rsidRPr="00B35DA1">
        <w:rPr>
          <w:szCs w:val="22"/>
        </w:rPr>
        <w:t xml:space="preserve">This Erratum </w:t>
      </w:r>
      <w:r w:rsidR="007D2A86">
        <w:rPr>
          <w:szCs w:val="22"/>
        </w:rPr>
        <w:t xml:space="preserve">corrects </w:t>
      </w:r>
      <w:r w:rsidR="00C47F99" w:rsidRPr="00B35DA1">
        <w:rPr>
          <w:szCs w:val="22"/>
        </w:rPr>
        <w:t>Section 2.7 of Appendix C to the</w:t>
      </w:r>
      <w:r w:rsidR="00C47F99" w:rsidRPr="00B35DA1">
        <w:rPr>
          <w:i/>
          <w:szCs w:val="22"/>
        </w:rPr>
        <w:t xml:space="preserve"> Auction 1000 Application Procedures Public Notice</w:t>
      </w:r>
      <w:r w:rsidR="00C47F99" w:rsidRPr="00B35DA1">
        <w:rPr>
          <w:szCs w:val="22"/>
        </w:rPr>
        <w:t xml:space="preserve"> </w:t>
      </w:r>
      <w:r w:rsidR="00930D84">
        <w:rPr>
          <w:szCs w:val="22"/>
        </w:rPr>
        <w:t>regarding</w:t>
      </w:r>
      <w:r w:rsidR="00C47F99" w:rsidRPr="00B35DA1">
        <w:rPr>
          <w:szCs w:val="22"/>
        </w:rPr>
        <w:t xml:space="preserve"> </w:t>
      </w:r>
      <w:r w:rsidR="00D258B3">
        <w:rPr>
          <w:szCs w:val="22"/>
        </w:rPr>
        <w:t>the constraints used in the qua</w:t>
      </w:r>
      <w:r w:rsidR="00C47F99" w:rsidRPr="00B35DA1">
        <w:rPr>
          <w:szCs w:val="22"/>
        </w:rPr>
        <w:t>ternary clearing target optimization</w:t>
      </w:r>
      <w:r w:rsidR="00C47F99" w:rsidRPr="00B35DA1">
        <w:rPr>
          <w:snapToGrid/>
          <w:kern w:val="0"/>
          <w:szCs w:val="22"/>
        </w:rPr>
        <w:t xml:space="preserve"> </w:t>
      </w:r>
      <w:r w:rsidR="00C47F99">
        <w:rPr>
          <w:snapToGrid/>
          <w:kern w:val="0"/>
          <w:szCs w:val="22"/>
        </w:rPr>
        <w:t xml:space="preserve">as well as </w:t>
      </w:r>
      <w:r w:rsidR="007D2A86">
        <w:rPr>
          <w:snapToGrid/>
          <w:kern w:val="0"/>
          <w:szCs w:val="22"/>
        </w:rPr>
        <w:t xml:space="preserve">corrects </w:t>
      </w:r>
      <w:r w:rsidRPr="00B35DA1">
        <w:rPr>
          <w:szCs w:val="22"/>
        </w:rPr>
        <w:t>Sections 4 and 9 of Appendix G to the</w:t>
      </w:r>
      <w:r w:rsidRPr="00B35DA1">
        <w:rPr>
          <w:i/>
          <w:szCs w:val="22"/>
        </w:rPr>
        <w:t xml:space="preserve"> Auction 1000 Application Procedures Public Notice</w:t>
      </w:r>
      <w:r w:rsidRPr="00B35DA1">
        <w:rPr>
          <w:szCs w:val="22"/>
        </w:rPr>
        <w:t xml:space="preserve"> </w:t>
      </w:r>
      <w:r w:rsidR="00DB4B64">
        <w:rPr>
          <w:szCs w:val="22"/>
        </w:rPr>
        <w:t>regarding</w:t>
      </w:r>
      <w:r w:rsidR="002A40BE" w:rsidRPr="00B35DA1">
        <w:rPr>
          <w:szCs w:val="22"/>
        </w:rPr>
        <w:t xml:space="preserve"> when a bidder may submit switch bids</w:t>
      </w:r>
      <w:r w:rsidR="002A40BE" w:rsidRPr="00B35DA1">
        <w:rPr>
          <w:snapToGrid/>
          <w:kern w:val="0"/>
          <w:szCs w:val="22"/>
        </w:rPr>
        <w:t xml:space="preserve"> and how next round bidder eligibility is calculated after an extended round</w:t>
      </w:r>
      <w:r w:rsidR="00FE34AE" w:rsidRPr="00B35DA1">
        <w:rPr>
          <w:szCs w:val="22"/>
        </w:rPr>
        <w:t xml:space="preserve">, </w:t>
      </w:r>
      <w:r w:rsidRPr="00B35DA1">
        <w:rPr>
          <w:szCs w:val="22"/>
        </w:rPr>
        <w:t>as indicated below</w:t>
      </w:r>
      <w:r w:rsidR="003464CD" w:rsidRPr="00B35DA1">
        <w:rPr>
          <w:szCs w:val="22"/>
        </w:rPr>
        <w:t xml:space="preserve">.  Updated versions </w:t>
      </w:r>
      <w:r w:rsidR="00707C1F" w:rsidRPr="00B35DA1">
        <w:rPr>
          <w:szCs w:val="22"/>
        </w:rPr>
        <w:t xml:space="preserve">of </w:t>
      </w:r>
      <w:r w:rsidR="00C47F99">
        <w:rPr>
          <w:szCs w:val="22"/>
        </w:rPr>
        <w:t>Appendix C and Appendix G</w:t>
      </w:r>
      <w:r w:rsidR="003464CD" w:rsidRPr="00B35DA1">
        <w:rPr>
          <w:szCs w:val="22"/>
        </w:rPr>
        <w:t xml:space="preserve"> </w:t>
      </w:r>
      <w:r w:rsidR="007D2A86">
        <w:rPr>
          <w:szCs w:val="22"/>
        </w:rPr>
        <w:t xml:space="preserve">can be found </w:t>
      </w:r>
      <w:r w:rsidR="00DB4B64">
        <w:rPr>
          <w:szCs w:val="22"/>
        </w:rPr>
        <w:t>in the Documents section of</w:t>
      </w:r>
      <w:r w:rsidR="00930D84">
        <w:rPr>
          <w:szCs w:val="22"/>
        </w:rPr>
        <w:t xml:space="preserve"> the Auction 1001 website </w:t>
      </w:r>
      <w:r w:rsidR="00930D84" w:rsidRPr="002B7C2E">
        <w:t>(</w:t>
      </w:r>
      <w:hyperlink r:id="rId9" w:history="1">
        <w:r w:rsidR="00287828" w:rsidRPr="00DB43CF">
          <w:rPr>
            <w:rStyle w:val="Hyperlink"/>
          </w:rPr>
          <w:t>www.fcc.gov/auctions/</w:t>
        </w:r>
        <w:r w:rsidR="00287828" w:rsidRPr="00DB43CF">
          <w:rPr>
            <w:rStyle w:val="Hyperlink"/>
          </w:rPr>
          <w:br/>
          <w:t>1001</w:t>
        </w:r>
      </w:hyperlink>
      <w:r w:rsidR="002B7C2E">
        <w:t>)</w:t>
      </w:r>
      <w:r w:rsidR="00DB4B64">
        <w:t xml:space="preserve"> and in the Documents section of</w:t>
      </w:r>
      <w:r w:rsidR="002B7C2E">
        <w:t xml:space="preserve"> the Auction 1002 we</w:t>
      </w:r>
      <w:r w:rsidR="002B7C2E" w:rsidRPr="002B7C2E">
        <w:t>bsite (</w:t>
      </w:r>
      <w:hyperlink r:id="rId10" w:history="1">
        <w:r w:rsidR="002B7C2E" w:rsidRPr="00803B5D">
          <w:rPr>
            <w:rStyle w:val="Hyperlink"/>
          </w:rPr>
          <w:t>www.fcc.gov/auctions/1002</w:t>
        </w:r>
      </w:hyperlink>
      <w:r w:rsidR="002B7C2E" w:rsidRPr="00803B5D">
        <w:t>)</w:t>
      </w:r>
      <w:r w:rsidR="002B7C2E">
        <w:rPr>
          <w:szCs w:val="22"/>
        </w:rPr>
        <w:t>.</w:t>
      </w:r>
      <w:r w:rsidRPr="00B35DA1">
        <w:rPr>
          <w:szCs w:val="22"/>
        </w:rPr>
        <w:t xml:space="preserve"> </w:t>
      </w:r>
    </w:p>
    <w:p w14:paraId="7E1AA5DD" w14:textId="77777777" w:rsidR="00C47F99" w:rsidRPr="00B35DA1" w:rsidRDefault="00C47F99" w:rsidP="00C47F99">
      <w:pPr>
        <w:spacing w:after="220"/>
        <w:rPr>
          <w:szCs w:val="22"/>
        </w:rPr>
      </w:pPr>
      <w:r w:rsidRPr="00B35DA1">
        <w:rPr>
          <w:szCs w:val="22"/>
        </w:rPr>
        <w:t>In Appendix C:</w:t>
      </w:r>
    </w:p>
    <w:p w14:paraId="5F5A0A3E" w14:textId="77777777" w:rsidR="00C47F99" w:rsidRPr="00452927" w:rsidRDefault="00C47F99" w:rsidP="00C47F99">
      <w:pPr>
        <w:pStyle w:val="ParaNum"/>
        <w:tabs>
          <w:tab w:val="clear" w:pos="1080"/>
          <w:tab w:val="num" w:pos="720"/>
        </w:tabs>
        <w:ind w:firstLine="360"/>
        <w:rPr>
          <w:szCs w:val="22"/>
        </w:rPr>
      </w:pPr>
      <w:r w:rsidRPr="00452927">
        <w:rPr>
          <w:szCs w:val="22"/>
        </w:rPr>
        <w:t xml:space="preserve">In Section 2.7, the first sentence of the second paragraph is corrected to read as follows:  </w:t>
      </w:r>
    </w:p>
    <w:p w14:paraId="1C47C936" w14:textId="77777777" w:rsidR="00C47F99" w:rsidRPr="00D32803" w:rsidRDefault="00C47F99" w:rsidP="00C47F99">
      <w:pPr>
        <w:pStyle w:val="ParaNum"/>
        <w:numPr>
          <w:ilvl w:val="0"/>
          <w:numId w:val="0"/>
        </w:numPr>
        <w:tabs>
          <w:tab w:val="num" w:pos="720"/>
        </w:tabs>
        <w:spacing w:after="220"/>
        <w:ind w:left="720"/>
        <w:rPr>
          <w:szCs w:val="22"/>
        </w:rPr>
      </w:pPr>
      <w:r w:rsidRPr="00452927">
        <w:rPr>
          <w:szCs w:val="22"/>
        </w:rPr>
        <w:t xml:space="preserve">“In this optimization, all stations assigned in the 600 MHz Band above </w:t>
      </w:r>
      <m:oMath>
        <m:r>
          <w:rPr>
            <w:rFonts w:ascii="Cambria Math" w:hAnsi="Cambria Math"/>
            <w:szCs w:val="22"/>
          </w:rPr>
          <m:t>HC</m:t>
        </m:r>
        <m:r>
          <m:rPr>
            <m:sty m:val="p"/>
          </m:rPr>
          <w:rPr>
            <w:rFonts w:ascii="Cambria Math" w:hAnsi="Cambria Math"/>
            <w:szCs w:val="22"/>
          </w:rPr>
          <m:t>+1</m:t>
        </m:r>
      </m:oMath>
      <w:r w:rsidRPr="00C47F99">
        <w:rPr>
          <w:szCs w:val="22"/>
        </w:rPr>
        <w:t xml:space="preserve"> will remain on their assigned channel, and no additional stations will be assigned t</w:t>
      </w:r>
      <w:r w:rsidRPr="00D32803">
        <w:rPr>
          <w:szCs w:val="22"/>
        </w:rPr>
        <w:t>o the 600 MHz Band.”</w:t>
      </w:r>
    </w:p>
    <w:p w14:paraId="0FB9A65B" w14:textId="602FB5EB" w:rsidR="00A764EC" w:rsidRPr="00B35DA1" w:rsidRDefault="00A764EC" w:rsidP="003C1175">
      <w:pPr>
        <w:spacing w:after="220"/>
        <w:rPr>
          <w:szCs w:val="22"/>
        </w:rPr>
      </w:pPr>
      <w:r w:rsidRPr="00B35DA1">
        <w:rPr>
          <w:szCs w:val="22"/>
        </w:rPr>
        <w:t>In Appendix G:</w:t>
      </w:r>
    </w:p>
    <w:p w14:paraId="2768F3F9" w14:textId="7CB1D985" w:rsidR="00F75D8E" w:rsidRPr="00B35DA1" w:rsidRDefault="00F74C87" w:rsidP="003C1175">
      <w:pPr>
        <w:pStyle w:val="ParaNum"/>
        <w:widowControl/>
        <w:tabs>
          <w:tab w:val="num" w:pos="720"/>
        </w:tabs>
        <w:spacing w:after="220"/>
        <w:ind w:firstLine="360"/>
        <w:rPr>
          <w:szCs w:val="22"/>
        </w:rPr>
      </w:pPr>
      <w:r w:rsidRPr="00B35DA1">
        <w:rPr>
          <w:szCs w:val="22"/>
        </w:rPr>
        <w:t xml:space="preserve">In Section 4.1, </w:t>
      </w:r>
      <w:r w:rsidR="00F75D8E" w:rsidRPr="00B35DA1">
        <w:rPr>
          <w:szCs w:val="22"/>
        </w:rPr>
        <w:t xml:space="preserve">a new </w:t>
      </w:r>
      <w:r w:rsidR="00E6026B" w:rsidRPr="00B35DA1">
        <w:rPr>
          <w:szCs w:val="22"/>
        </w:rPr>
        <w:t xml:space="preserve">eighth </w:t>
      </w:r>
      <w:r w:rsidR="00F75D8E" w:rsidRPr="00B35DA1">
        <w:rPr>
          <w:szCs w:val="22"/>
        </w:rPr>
        <w:t xml:space="preserve">paragraph </w:t>
      </w:r>
      <w:r w:rsidR="004D5FF2" w:rsidRPr="00B35DA1">
        <w:rPr>
          <w:szCs w:val="22"/>
        </w:rPr>
        <w:t xml:space="preserve">is added </w:t>
      </w:r>
      <w:r w:rsidR="001B04F6" w:rsidRPr="00B35DA1">
        <w:rPr>
          <w:szCs w:val="22"/>
        </w:rPr>
        <w:t xml:space="preserve">and </w:t>
      </w:r>
      <w:r w:rsidR="004D5FF2" w:rsidRPr="00B35DA1">
        <w:rPr>
          <w:szCs w:val="22"/>
        </w:rPr>
        <w:t xml:space="preserve">the now </w:t>
      </w:r>
      <w:r w:rsidR="00E6026B" w:rsidRPr="00B35DA1">
        <w:rPr>
          <w:szCs w:val="22"/>
        </w:rPr>
        <w:t xml:space="preserve">ninth </w:t>
      </w:r>
      <w:r w:rsidR="004D5FF2" w:rsidRPr="00B35DA1">
        <w:rPr>
          <w:szCs w:val="22"/>
        </w:rPr>
        <w:t xml:space="preserve">paragraph is </w:t>
      </w:r>
      <w:r w:rsidR="001B04F6" w:rsidRPr="00B35DA1">
        <w:rPr>
          <w:szCs w:val="22"/>
        </w:rPr>
        <w:t>correct</w:t>
      </w:r>
      <w:r w:rsidR="004D5FF2" w:rsidRPr="00B35DA1">
        <w:rPr>
          <w:szCs w:val="22"/>
        </w:rPr>
        <w:t>ed</w:t>
      </w:r>
      <w:r w:rsidR="001B04F6" w:rsidRPr="00B35DA1">
        <w:rPr>
          <w:szCs w:val="22"/>
        </w:rPr>
        <w:t xml:space="preserve"> </w:t>
      </w:r>
      <w:r w:rsidR="00F75D8E" w:rsidRPr="00B35DA1">
        <w:rPr>
          <w:szCs w:val="22"/>
        </w:rPr>
        <w:t xml:space="preserve">to read as follows:  </w:t>
      </w:r>
    </w:p>
    <w:p w14:paraId="0064671C" w14:textId="77777777" w:rsidR="00F75D8E" w:rsidRPr="00B35DA1" w:rsidRDefault="00F75D8E" w:rsidP="004D5FF2">
      <w:pPr>
        <w:pStyle w:val="ParaNum"/>
        <w:widowControl/>
        <w:numPr>
          <w:ilvl w:val="0"/>
          <w:numId w:val="0"/>
        </w:numPr>
        <w:spacing w:after="220"/>
        <w:ind w:left="720"/>
        <w:rPr>
          <w:szCs w:val="22"/>
        </w:rPr>
      </w:pPr>
      <w:r w:rsidRPr="00B35DA1">
        <w:rPr>
          <w:szCs w:val="22"/>
        </w:rPr>
        <w:t xml:space="preserve">“A bidder may </w:t>
      </w:r>
      <w:r w:rsidRPr="00B35DA1">
        <w:rPr>
          <w:i/>
          <w:szCs w:val="22"/>
        </w:rPr>
        <w:t>not</w:t>
      </w:r>
      <w:r w:rsidRPr="00B35DA1">
        <w:rPr>
          <w:szCs w:val="22"/>
        </w:rPr>
        <w:t xml:space="preserve"> submit two switch bids with the same ‘from’ product and different ‘to’ products in the same round.</w:t>
      </w:r>
      <w:r w:rsidR="001B04F6" w:rsidRPr="00B35DA1">
        <w:rPr>
          <w:szCs w:val="22"/>
          <w:vertAlign w:val="superscript"/>
        </w:rPr>
        <w:t>1</w:t>
      </w:r>
    </w:p>
    <w:p w14:paraId="26D453DF" w14:textId="4DF2BAFA" w:rsidR="001B04F6" w:rsidRPr="00B35DA1" w:rsidRDefault="001B04F6" w:rsidP="004D5FF2">
      <w:pPr>
        <w:pStyle w:val="ParaNum"/>
        <w:widowControl/>
        <w:numPr>
          <w:ilvl w:val="0"/>
          <w:numId w:val="0"/>
        </w:numPr>
        <w:spacing w:after="220"/>
        <w:ind w:left="720"/>
        <w:rPr>
          <w:szCs w:val="22"/>
        </w:rPr>
      </w:pPr>
      <w:r w:rsidRPr="00452927">
        <w:rPr>
          <w:szCs w:val="22"/>
        </w:rPr>
        <w:t xml:space="preserve">A bidder may </w:t>
      </w:r>
      <w:r w:rsidRPr="00452927">
        <w:rPr>
          <w:i/>
          <w:szCs w:val="22"/>
        </w:rPr>
        <w:t>not</w:t>
      </w:r>
      <w:r w:rsidRPr="00452927">
        <w:rPr>
          <w:szCs w:val="22"/>
        </w:rPr>
        <w:t xml:space="preserve"> submit two different bids that involve the same product at the same price.  For example, the bidder cannot submit a simple bid for 2 block</w:t>
      </w:r>
      <w:r w:rsidRPr="00C47F99">
        <w:rPr>
          <w:szCs w:val="22"/>
        </w:rPr>
        <w:t>s of product A and a simple bid for 0 blocks of product A both at the same price.  Similarly, if A and B are products in the same PEA, the bidder cannot submit a bid to switch one block from A to B and another bid to switch two blocks from A to B both at the same price.</w:t>
      </w:r>
      <w:r w:rsidRPr="00C47F99">
        <w:rPr>
          <w:szCs w:val="22"/>
          <w:vertAlign w:val="superscript"/>
        </w:rPr>
        <w:t>2</w:t>
      </w:r>
      <w:r w:rsidR="009263E2" w:rsidRPr="00B35DA1">
        <w:rPr>
          <w:szCs w:val="22"/>
        </w:rPr>
        <w:t>”</w:t>
      </w:r>
    </w:p>
    <w:p w14:paraId="3AA25C6B" w14:textId="77777777" w:rsidR="001B04F6" w:rsidRPr="00B35DA1" w:rsidRDefault="004D5FF2" w:rsidP="003C1175">
      <w:pPr>
        <w:pStyle w:val="ParaNum"/>
        <w:widowControl/>
        <w:tabs>
          <w:tab w:val="num" w:pos="720"/>
        </w:tabs>
        <w:spacing w:after="220"/>
        <w:ind w:firstLine="360"/>
        <w:rPr>
          <w:szCs w:val="22"/>
        </w:rPr>
      </w:pPr>
      <w:r w:rsidRPr="00B35DA1">
        <w:rPr>
          <w:szCs w:val="22"/>
        </w:rPr>
        <w:lastRenderedPageBreak/>
        <w:t>In the newly added paragraph, at the end, a</w:t>
      </w:r>
      <w:r w:rsidR="00DE613A" w:rsidRPr="00B35DA1">
        <w:rPr>
          <w:szCs w:val="22"/>
        </w:rPr>
        <w:t xml:space="preserve"> </w:t>
      </w:r>
      <w:r w:rsidR="005B477C" w:rsidRPr="00B35DA1">
        <w:rPr>
          <w:szCs w:val="22"/>
        </w:rPr>
        <w:t xml:space="preserve">new </w:t>
      </w:r>
      <w:r w:rsidR="00F75D8E" w:rsidRPr="00B35DA1">
        <w:rPr>
          <w:szCs w:val="22"/>
        </w:rPr>
        <w:t xml:space="preserve">footnote </w:t>
      </w:r>
      <w:r w:rsidR="001B04F6" w:rsidRPr="00B35DA1">
        <w:rPr>
          <w:szCs w:val="22"/>
        </w:rPr>
        <w:t>number “</w:t>
      </w:r>
      <w:r w:rsidR="00F75D8E" w:rsidRPr="00B35DA1">
        <w:rPr>
          <w:szCs w:val="22"/>
        </w:rPr>
        <w:t>1</w:t>
      </w:r>
      <w:r w:rsidR="001B04F6" w:rsidRPr="00B35DA1">
        <w:rPr>
          <w:szCs w:val="22"/>
        </w:rPr>
        <w:t xml:space="preserve">” </w:t>
      </w:r>
      <w:r w:rsidRPr="00B35DA1">
        <w:rPr>
          <w:szCs w:val="22"/>
        </w:rPr>
        <w:t xml:space="preserve">is added </w:t>
      </w:r>
      <w:r w:rsidR="001B04F6" w:rsidRPr="00B35DA1">
        <w:rPr>
          <w:szCs w:val="22"/>
        </w:rPr>
        <w:t xml:space="preserve">and </w:t>
      </w:r>
      <w:r w:rsidRPr="00B35DA1">
        <w:rPr>
          <w:szCs w:val="22"/>
        </w:rPr>
        <w:t xml:space="preserve">the </w:t>
      </w:r>
      <w:r w:rsidR="005B477C" w:rsidRPr="00B35DA1">
        <w:rPr>
          <w:szCs w:val="22"/>
        </w:rPr>
        <w:t xml:space="preserve">remaining footnotes </w:t>
      </w:r>
      <w:r w:rsidRPr="00B35DA1">
        <w:rPr>
          <w:szCs w:val="22"/>
        </w:rPr>
        <w:t>are re</w:t>
      </w:r>
      <w:r w:rsidR="005B477C" w:rsidRPr="00B35DA1">
        <w:rPr>
          <w:szCs w:val="22"/>
        </w:rPr>
        <w:t>number</w:t>
      </w:r>
      <w:r w:rsidRPr="00B35DA1">
        <w:rPr>
          <w:szCs w:val="22"/>
        </w:rPr>
        <w:t>ed</w:t>
      </w:r>
      <w:r w:rsidR="005B477C" w:rsidRPr="00B35DA1">
        <w:rPr>
          <w:szCs w:val="22"/>
        </w:rPr>
        <w:t xml:space="preserve"> accordingly</w:t>
      </w:r>
      <w:r w:rsidR="001B04F6" w:rsidRPr="00B35DA1">
        <w:rPr>
          <w:szCs w:val="22"/>
        </w:rPr>
        <w:t>.</w:t>
      </w:r>
    </w:p>
    <w:p w14:paraId="01C044E6" w14:textId="77777777" w:rsidR="00F75D8E" w:rsidRPr="00B35DA1" w:rsidRDefault="001B04F6" w:rsidP="003C1175">
      <w:pPr>
        <w:pStyle w:val="ParaNum"/>
        <w:widowControl/>
        <w:tabs>
          <w:tab w:val="num" w:pos="720"/>
        </w:tabs>
        <w:spacing w:after="220"/>
        <w:ind w:firstLine="360"/>
        <w:rPr>
          <w:szCs w:val="22"/>
        </w:rPr>
      </w:pPr>
      <w:r w:rsidRPr="00B35DA1">
        <w:rPr>
          <w:szCs w:val="22"/>
        </w:rPr>
        <w:t>The text of the new footnote 1</w:t>
      </w:r>
      <w:r w:rsidR="00DE613A" w:rsidRPr="00B35DA1">
        <w:rPr>
          <w:szCs w:val="22"/>
        </w:rPr>
        <w:t xml:space="preserve"> </w:t>
      </w:r>
      <w:r w:rsidRPr="00B35DA1">
        <w:rPr>
          <w:szCs w:val="22"/>
        </w:rPr>
        <w:t>is added</w:t>
      </w:r>
      <w:r w:rsidR="00DE613A" w:rsidRPr="00B35DA1">
        <w:rPr>
          <w:szCs w:val="22"/>
        </w:rPr>
        <w:t xml:space="preserve"> </w:t>
      </w:r>
      <w:r w:rsidRPr="00B35DA1">
        <w:rPr>
          <w:szCs w:val="22"/>
        </w:rPr>
        <w:t xml:space="preserve">to read </w:t>
      </w:r>
      <w:r w:rsidR="004D5FF2" w:rsidRPr="00B35DA1">
        <w:rPr>
          <w:szCs w:val="22"/>
        </w:rPr>
        <w:t xml:space="preserve">as </w:t>
      </w:r>
      <w:r w:rsidRPr="00B35DA1">
        <w:rPr>
          <w:szCs w:val="22"/>
        </w:rPr>
        <w:t>follows:</w:t>
      </w:r>
    </w:p>
    <w:p w14:paraId="481FDEBB" w14:textId="77777777" w:rsidR="00F75D8E" w:rsidRPr="00B35DA1" w:rsidRDefault="00F75D8E" w:rsidP="004D5FF2">
      <w:pPr>
        <w:pStyle w:val="ParaNum"/>
        <w:widowControl/>
        <w:numPr>
          <w:ilvl w:val="0"/>
          <w:numId w:val="0"/>
        </w:numPr>
        <w:spacing w:after="220"/>
        <w:ind w:left="720"/>
        <w:rPr>
          <w:szCs w:val="22"/>
        </w:rPr>
      </w:pPr>
      <w:r w:rsidRPr="00B35DA1">
        <w:rPr>
          <w:szCs w:val="22"/>
        </w:rPr>
        <w:t>“</w:t>
      </w:r>
      <w:r w:rsidR="001B04F6" w:rsidRPr="00B35DA1">
        <w:rPr>
          <w:szCs w:val="22"/>
          <w:vertAlign w:val="superscript"/>
        </w:rPr>
        <w:t>1</w:t>
      </w:r>
      <w:r w:rsidRPr="00B35DA1">
        <w:rPr>
          <w:szCs w:val="22"/>
        </w:rPr>
        <w:t>However, a bidder may submit two switch bids with the same ‘to’ product and different ‘from’ products in the same round.”</w:t>
      </w:r>
    </w:p>
    <w:p w14:paraId="09B0881A" w14:textId="73FBE5CE" w:rsidR="00F75D8E" w:rsidRPr="00B35DA1" w:rsidRDefault="00F75D8E" w:rsidP="003C1175">
      <w:pPr>
        <w:pStyle w:val="ParaNum"/>
        <w:widowControl/>
        <w:tabs>
          <w:tab w:val="num" w:pos="720"/>
        </w:tabs>
        <w:spacing w:after="220"/>
        <w:ind w:firstLine="360"/>
        <w:rPr>
          <w:szCs w:val="22"/>
        </w:rPr>
      </w:pPr>
      <w:r w:rsidRPr="00B35DA1">
        <w:rPr>
          <w:szCs w:val="22"/>
        </w:rPr>
        <w:t xml:space="preserve">In </w:t>
      </w:r>
      <w:r w:rsidR="004D5FF2" w:rsidRPr="00B35DA1">
        <w:rPr>
          <w:szCs w:val="22"/>
        </w:rPr>
        <w:t xml:space="preserve">Section 4.1.1, in </w:t>
      </w:r>
      <w:r w:rsidRPr="00B35DA1">
        <w:rPr>
          <w:szCs w:val="22"/>
        </w:rPr>
        <w:t xml:space="preserve">the first bullet </w:t>
      </w:r>
      <w:r w:rsidR="003C1175" w:rsidRPr="00B35DA1">
        <w:rPr>
          <w:szCs w:val="22"/>
        </w:rPr>
        <w:t>below</w:t>
      </w:r>
      <w:r w:rsidRPr="00B35DA1">
        <w:rPr>
          <w:szCs w:val="22"/>
        </w:rPr>
        <w:t xml:space="preserve"> the second paragraph, </w:t>
      </w:r>
      <w:r w:rsidR="003C1175" w:rsidRPr="00B35DA1">
        <w:rPr>
          <w:szCs w:val="22"/>
        </w:rPr>
        <w:t>replace</w:t>
      </w:r>
      <w:r w:rsidRPr="00B35DA1">
        <w:rPr>
          <w:szCs w:val="22"/>
        </w:rPr>
        <w:t xml:space="preserve"> “to” </w:t>
      </w:r>
      <w:r w:rsidR="003C1175" w:rsidRPr="00B35DA1">
        <w:rPr>
          <w:szCs w:val="22"/>
        </w:rPr>
        <w:t>with</w:t>
      </w:r>
      <w:r w:rsidRPr="00B35DA1">
        <w:rPr>
          <w:szCs w:val="22"/>
        </w:rPr>
        <w:t xml:space="preserve"> “from”.</w:t>
      </w:r>
    </w:p>
    <w:p w14:paraId="54620198" w14:textId="21ABF9A3" w:rsidR="005B477C" w:rsidRPr="00B35DA1" w:rsidRDefault="004D5FF2" w:rsidP="00B6697C">
      <w:pPr>
        <w:pStyle w:val="ParaNum"/>
        <w:keepNext/>
        <w:widowControl/>
        <w:tabs>
          <w:tab w:val="num" w:pos="720"/>
        </w:tabs>
        <w:spacing w:after="220"/>
        <w:ind w:firstLine="360"/>
        <w:rPr>
          <w:szCs w:val="22"/>
        </w:rPr>
      </w:pPr>
      <w:r w:rsidRPr="00B35DA1">
        <w:rPr>
          <w:szCs w:val="22"/>
        </w:rPr>
        <w:t>In Section 9.1, t</w:t>
      </w:r>
      <w:r w:rsidR="003C1175" w:rsidRPr="00B35DA1">
        <w:rPr>
          <w:szCs w:val="22"/>
        </w:rPr>
        <w:t>he section heading</w:t>
      </w:r>
      <w:r w:rsidR="005B477C" w:rsidRPr="00B35DA1">
        <w:rPr>
          <w:szCs w:val="22"/>
        </w:rPr>
        <w:t xml:space="preserve"> is</w:t>
      </w:r>
      <w:r w:rsidR="00F75D8E" w:rsidRPr="00B35DA1">
        <w:rPr>
          <w:szCs w:val="22"/>
        </w:rPr>
        <w:t xml:space="preserve"> </w:t>
      </w:r>
      <w:r w:rsidR="005B477C" w:rsidRPr="00B35DA1">
        <w:rPr>
          <w:szCs w:val="22"/>
        </w:rPr>
        <w:t>corrected to read as follows:</w:t>
      </w:r>
    </w:p>
    <w:p w14:paraId="4EE40E3E" w14:textId="77777777" w:rsidR="00F75D8E" w:rsidRPr="00B35DA1" w:rsidRDefault="005B477C" w:rsidP="00B6697C">
      <w:pPr>
        <w:pStyle w:val="ParaNum"/>
        <w:keepNext/>
        <w:widowControl/>
        <w:numPr>
          <w:ilvl w:val="0"/>
          <w:numId w:val="0"/>
        </w:numPr>
        <w:spacing w:after="220"/>
        <w:ind w:left="1440" w:hanging="720"/>
        <w:rPr>
          <w:szCs w:val="22"/>
        </w:rPr>
      </w:pPr>
      <w:r w:rsidRPr="00B35DA1">
        <w:rPr>
          <w:szCs w:val="22"/>
        </w:rPr>
        <w:t>“</w:t>
      </w:r>
      <w:bookmarkStart w:id="1" w:name="_Ref430188689"/>
      <w:r w:rsidR="00F74C87" w:rsidRPr="00B35DA1">
        <w:rPr>
          <w:b/>
          <w:szCs w:val="22"/>
        </w:rPr>
        <w:t>9.1</w:t>
      </w:r>
      <w:r w:rsidR="00F74C87" w:rsidRPr="00B35DA1">
        <w:rPr>
          <w:b/>
          <w:szCs w:val="22"/>
        </w:rPr>
        <w:tab/>
      </w:r>
      <w:r w:rsidRPr="00452927">
        <w:rPr>
          <w:b/>
          <w:szCs w:val="22"/>
        </w:rPr>
        <w:t>Next Round Eligibility –</w:t>
      </w:r>
      <w:bookmarkEnd w:id="1"/>
      <w:r w:rsidR="00F74C87" w:rsidRPr="00452927">
        <w:rPr>
          <w:b/>
          <w:szCs w:val="22"/>
        </w:rPr>
        <w:t xml:space="preserve"> </w:t>
      </w:r>
      <w:r w:rsidRPr="00B35DA1">
        <w:rPr>
          <w:b/>
          <w:szCs w:val="22"/>
        </w:rPr>
        <w:t>After a Regular</w:t>
      </w:r>
      <w:r w:rsidRPr="00B35DA1">
        <w:rPr>
          <w:szCs w:val="22"/>
        </w:rPr>
        <w:t xml:space="preserve"> </w:t>
      </w:r>
      <w:r w:rsidRPr="00B35DA1">
        <w:rPr>
          <w:b/>
          <w:szCs w:val="22"/>
        </w:rPr>
        <w:t xml:space="preserve">Clock Round </w:t>
      </w:r>
      <w:r w:rsidR="00F75D8E" w:rsidRPr="00B35DA1">
        <w:rPr>
          <w:b/>
          <w:szCs w:val="22"/>
        </w:rPr>
        <w:t>and After an Extended Round in Which the Final Stage Rule Was Met</w:t>
      </w:r>
      <w:r w:rsidR="00F75D8E" w:rsidRPr="00B35DA1">
        <w:rPr>
          <w:szCs w:val="22"/>
        </w:rPr>
        <w:t xml:space="preserve">” </w:t>
      </w:r>
    </w:p>
    <w:p w14:paraId="1E033B30" w14:textId="77777777" w:rsidR="00F75D8E" w:rsidRPr="00B35DA1" w:rsidRDefault="00F74C87" w:rsidP="00EB6774">
      <w:pPr>
        <w:pStyle w:val="ParaNum"/>
        <w:widowControl/>
        <w:tabs>
          <w:tab w:val="num" w:pos="720"/>
        </w:tabs>
        <w:spacing w:after="220"/>
        <w:ind w:firstLine="360"/>
        <w:rPr>
          <w:rFonts w:eastAsia="MS Minngs"/>
          <w:szCs w:val="22"/>
          <w:lang w:eastAsia="ja-JP"/>
        </w:rPr>
      </w:pPr>
      <w:r w:rsidRPr="00B35DA1">
        <w:rPr>
          <w:szCs w:val="22"/>
        </w:rPr>
        <w:t xml:space="preserve">In the </w:t>
      </w:r>
      <w:r w:rsidR="00F75D8E" w:rsidRPr="00B35DA1">
        <w:rPr>
          <w:szCs w:val="22"/>
        </w:rPr>
        <w:t>first sentence</w:t>
      </w:r>
      <w:r w:rsidRPr="00B35DA1">
        <w:rPr>
          <w:szCs w:val="22"/>
        </w:rPr>
        <w:t>,</w:t>
      </w:r>
      <w:r w:rsidR="00F75D8E" w:rsidRPr="00B35DA1">
        <w:rPr>
          <w:szCs w:val="22"/>
        </w:rPr>
        <w:t xml:space="preserve"> </w:t>
      </w:r>
      <w:r w:rsidRPr="00B35DA1">
        <w:rPr>
          <w:szCs w:val="22"/>
        </w:rPr>
        <w:t xml:space="preserve">replace “After any regular clock round” with </w:t>
      </w:r>
      <w:r w:rsidR="00F75D8E" w:rsidRPr="00452927">
        <w:rPr>
          <w:rFonts w:eastAsia="MS Minngs"/>
          <w:szCs w:val="22"/>
          <w:lang w:eastAsia="ja-JP"/>
        </w:rPr>
        <w:t>“In most cases, after round”</w:t>
      </w:r>
      <w:r w:rsidRPr="00452927">
        <w:rPr>
          <w:rFonts w:eastAsia="MS Minngs"/>
          <w:szCs w:val="22"/>
          <w:lang w:eastAsia="ja-JP"/>
        </w:rPr>
        <w:t>.</w:t>
      </w:r>
    </w:p>
    <w:p w14:paraId="7D027208" w14:textId="5D94A7F9" w:rsidR="00F75D8E" w:rsidRPr="00B35DA1" w:rsidRDefault="0097554A" w:rsidP="00B6697C">
      <w:pPr>
        <w:pStyle w:val="ParaNum"/>
        <w:tabs>
          <w:tab w:val="clear" w:pos="1080"/>
          <w:tab w:val="num" w:pos="720"/>
        </w:tabs>
        <w:ind w:firstLine="360"/>
        <w:rPr>
          <w:szCs w:val="22"/>
        </w:rPr>
      </w:pPr>
      <w:r w:rsidRPr="00452927">
        <w:rPr>
          <w:szCs w:val="22"/>
        </w:rPr>
        <w:t xml:space="preserve">In </w:t>
      </w:r>
      <w:r w:rsidR="00F74C87" w:rsidRPr="00452927">
        <w:rPr>
          <w:szCs w:val="22"/>
        </w:rPr>
        <w:t xml:space="preserve">Section 9.2, </w:t>
      </w:r>
      <w:r w:rsidRPr="00B35DA1">
        <w:rPr>
          <w:szCs w:val="22"/>
        </w:rPr>
        <w:t>t</w:t>
      </w:r>
      <w:r w:rsidR="00F74C87" w:rsidRPr="00B35DA1">
        <w:rPr>
          <w:szCs w:val="22"/>
        </w:rPr>
        <w:t>he section heading is corrected to read as follows:</w:t>
      </w:r>
    </w:p>
    <w:p w14:paraId="61DD95B0" w14:textId="77777777" w:rsidR="00F74C87" w:rsidRPr="00B35DA1" w:rsidRDefault="004D5FF2" w:rsidP="004D5FF2">
      <w:pPr>
        <w:pStyle w:val="ParaNum"/>
        <w:widowControl/>
        <w:numPr>
          <w:ilvl w:val="0"/>
          <w:numId w:val="0"/>
        </w:numPr>
        <w:spacing w:after="220"/>
        <w:ind w:left="1530" w:hanging="810"/>
        <w:rPr>
          <w:szCs w:val="22"/>
        </w:rPr>
      </w:pPr>
      <w:r w:rsidRPr="00B35DA1">
        <w:rPr>
          <w:szCs w:val="22"/>
        </w:rPr>
        <w:t>“</w:t>
      </w:r>
      <w:r w:rsidR="00F74C87" w:rsidRPr="00B35DA1">
        <w:rPr>
          <w:b/>
          <w:szCs w:val="22"/>
        </w:rPr>
        <w:t>9.2</w:t>
      </w:r>
      <w:r w:rsidR="00F74C87" w:rsidRPr="00B35DA1">
        <w:rPr>
          <w:b/>
          <w:szCs w:val="22"/>
        </w:rPr>
        <w:tab/>
      </w:r>
      <w:r w:rsidR="00F74C87" w:rsidRPr="00452927">
        <w:rPr>
          <w:b/>
          <w:szCs w:val="22"/>
        </w:rPr>
        <w:t xml:space="preserve">Next Round Eligibility – </w:t>
      </w:r>
      <w:r w:rsidR="00F74C87" w:rsidRPr="00B35DA1">
        <w:rPr>
          <w:b/>
          <w:szCs w:val="22"/>
        </w:rPr>
        <w:t xml:space="preserve">After an </w:t>
      </w:r>
      <w:r w:rsidR="00F74C87" w:rsidRPr="00B35DA1">
        <w:rPr>
          <w:rFonts w:eastAsia="MS Gothic"/>
          <w:b/>
          <w:szCs w:val="22"/>
        </w:rPr>
        <w:t>Extended Round</w:t>
      </w:r>
      <w:r w:rsidR="00F74C87" w:rsidRPr="00B35DA1">
        <w:rPr>
          <w:rFonts w:eastAsia="MS Gothic"/>
          <w:b/>
          <w:bCs/>
          <w:szCs w:val="22"/>
        </w:rPr>
        <w:t xml:space="preserve"> in Which the Final Stage Rule Was Not Met</w:t>
      </w:r>
      <w:r w:rsidR="00F74C87" w:rsidRPr="00B35DA1">
        <w:rPr>
          <w:rFonts w:eastAsia="MS Gothic"/>
          <w:szCs w:val="22"/>
        </w:rPr>
        <w:t>”</w:t>
      </w:r>
    </w:p>
    <w:p w14:paraId="0CC479A7" w14:textId="77777777" w:rsidR="00F75D8E" w:rsidRPr="00B35DA1" w:rsidRDefault="004D5FF2" w:rsidP="003C1175">
      <w:pPr>
        <w:pStyle w:val="ParaNum"/>
        <w:widowControl/>
        <w:tabs>
          <w:tab w:val="num" w:pos="720"/>
        </w:tabs>
        <w:spacing w:after="220"/>
        <w:ind w:firstLine="360"/>
        <w:rPr>
          <w:szCs w:val="22"/>
        </w:rPr>
      </w:pPr>
      <w:r w:rsidRPr="00B35DA1">
        <w:rPr>
          <w:rFonts w:eastAsia="MS Gothic"/>
          <w:szCs w:val="22"/>
        </w:rPr>
        <w:t>Below the first paragraph</w:t>
      </w:r>
      <w:r w:rsidR="00F75D8E" w:rsidRPr="00B35DA1">
        <w:rPr>
          <w:rFonts w:eastAsia="MS Gothic"/>
          <w:szCs w:val="22"/>
        </w:rPr>
        <w:t>, correct the formula to read as follows:</w:t>
      </w:r>
    </w:p>
    <w:p w14:paraId="687BA0AE" w14:textId="77777777" w:rsidR="00F75D8E" w:rsidRPr="00B35DA1" w:rsidRDefault="00F75D8E" w:rsidP="003C1175">
      <w:pPr>
        <w:pStyle w:val="ParaNum"/>
        <w:numPr>
          <w:ilvl w:val="0"/>
          <w:numId w:val="0"/>
        </w:numPr>
        <w:tabs>
          <w:tab w:val="num" w:pos="720"/>
        </w:tabs>
        <w:spacing w:after="220"/>
        <w:ind w:left="720" w:firstLine="360"/>
        <w:rPr>
          <w:rFonts w:eastAsiaTheme="minorEastAsia"/>
          <w:iCs/>
          <w:szCs w:val="22"/>
        </w:rPr>
      </w:pPr>
      <w:r w:rsidRPr="00B35DA1">
        <w:rPr>
          <w:iCs/>
          <w:szCs w:val="22"/>
        </w:rPr>
        <w:t>“</w:t>
      </w:r>
      <m:oMath>
        <m:func>
          <m:funcPr>
            <m:ctrlPr>
              <w:rPr>
                <w:rFonts w:ascii="Cambria Math" w:eastAsia="Calibri" w:hAnsi="Cambria Math"/>
                <w:iCs/>
                <w:szCs w:val="22"/>
              </w:rPr>
            </m:ctrlPr>
          </m:funcPr>
          <m:fName>
            <m:r>
              <m:rPr>
                <m:sty m:val="p"/>
              </m:rPr>
              <w:rPr>
                <w:rFonts w:ascii="Cambria Math" w:eastAsia="Calibri" w:hAnsi="Cambria Math"/>
                <w:szCs w:val="22"/>
              </w:rPr>
              <m:t>min</m:t>
            </m:r>
          </m:fName>
          <m:e>
            <m:d>
              <m:dPr>
                <m:ctrlPr>
                  <w:rPr>
                    <w:rFonts w:ascii="Cambria Math" w:eastAsia="Calibri" w:hAnsi="Cambria Math"/>
                    <w:iCs/>
                    <w:szCs w:val="22"/>
                  </w:rPr>
                </m:ctrlPr>
              </m:dPr>
              <m:e>
                <m:r>
                  <w:rPr>
                    <w:rFonts w:ascii="Cambria Math" w:eastAsia="Calibri" w:hAnsi="Cambria Math"/>
                    <w:szCs w:val="22"/>
                  </w:rPr>
                  <m:t>Eligibility</m:t>
                </m:r>
                <m:d>
                  <m:dPr>
                    <m:ctrlPr>
                      <w:rPr>
                        <w:rFonts w:ascii="Cambria Math" w:eastAsia="Calibri" w:hAnsi="Cambria Math"/>
                        <w:iCs/>
                        <w:szCs w:val="22"/>
                      </w:rPr>
                    </m:ctrlPr>
                  </m:dPr>
                  <m:e>
                    <m:r>
                      <w:rPr>
                        <w:rFonts w:ascii="Cambria Math" w:eastAsia="Calibri" w:hAnsi="Cambria Math"/>
                        <w:szCs w:val="22"/>
                      </w:rPr>
                      <m:t>t</m:t>
                    </m:r>
                  </m:e>
                </m:d>
                <m:r>
                  <m:rPr>
                    <m:sty m:val="p"/>
                  </m:rPr>
                  <w:rPr>
                    <w:rFonts w:ascii="Cambria Math" w:eastAsia="Calibri" w:hAnsi="Cambria Math"/>
                    <w:szCs w:val="22"/>
                  </w:rPr>
                  <m:t>,</m:t>
                </m:r>
                <m:nary>
                  <m:naryPr>
                    <m:chr m:val="∑"/>
                    <m:supHide m:val="1"/>
                    <m:ctrlPr>
                      <w:rPr>
                        <w:rFonts w:ascii="Cambria Math" w:eastAsia="Calibri" w:hAnsi="Cambria Math"/>
                        <w:iCs/>
                        <w:szCs w:val="22"/>
                      </w:rPr>
                    </m:ctrlPr>
                  </m:naryPr>
                  <m:sub>
                    <m:r>
                      <w:rPr>
                        <w:rFonts w:ascii="Cambria Math" w:hAnsi="Cambria Math"/>
                        <w:szCs w:val="22"/>
                      </w:rPr>
                      <m:t>r</m:t>
                    </m:r>
                    <m:r>
                      <m:rPr>
                        <m:sty m:val="p"/>
                      </m:rPr>
                      <w:rPr>
                        <w:rFonts w:ascii="Cambria Math" w:hAnsi="Cambria Math"/>
                        <w:szCs w:val="22"/>
                      </w:rPr>
                      <m:t>∈</m:t>
                    </m:r>
                    <m:r>
                      <w:rPr>
                        <w:rFonts w:ascii="Cambria Math" w:hAnsi="Cambria Math"/>
                        <w:szCs w:val="22"/>
                      </w:rPr>
                      <m:t>ER</m:t>
                    </m:r>
                  </m:sub>
                  <m:sup/>
                  <m:e>
                    <m:sSub>
                      <m:sSubPr>
                        <m:ctrlPr>
                          <w:rPr>
                            <w:rFonts w:ascii="Cambria Math" w:eastAsia="Calibri" w:hAnsi="Cambria Math"/>
                            <w:iCs/>
                            <w:szCs w:val="22"/>
                          </w:rPr>
                        </m:ctrlPr>
                      </m:sSubPr>
                      <m:e>
                        <m:r>
                          <w:rPr>
                            <w:rFonts w:ascii="Cambria Math" w:hAnsi="Cambria Math"/>
                            <w:szCs w:val="22"/>
                          </w:rPr>
                          <m:t>d</m:t>
                        </m:r>
                      </m:e>
                      <m:sub>
                        <m:r>
                          <w:rPr>
                            <w:rFonts w:ascii="Cambria Math" w:hAnsi="Cambria Math"/>
                            <w:szCs w:val="22"/>
                          </w:rPr>
                          <m:t>i</m:t>
                        </m:r>
                        <m:r>
                          <m:rPr>
                            <m:sty m:val="p"/>
                          </m:rPr>
                          <w:rPr>
                            <w:rFonts w:ascii="Cambria Math" w:hAnsi="Cambria Math"/>
                            <w:szCs w:val="22"/>
                          </w:rPr>
                          <m:t>,</m:t>
                        </m:r>
                        <m:r>
                          <w:rPr>
                            <w:rFonts w:ascii="Cambria Math" w:hAnsi="Cambria Math"/>
                            <w:szCs w:val="22"/>
                          </w:rPr>
                          <m:t>r</m:t>
                        </m:r>
                      </m:sub>
                    </m:sSub>
                    <m:r>
                      <m:rPr>
                        <m:sty m:val="p"/>
                      </m:rPr>
                      <w:rPr>
                        <w:rFonts w:ascii="Cambria Math" w:hAnsi="Cambria Math"/>
                        <w:szCs w:val="22"/>
                      </w:rPr>
                      <m:t>⋅</m:t>
                    </m:r>
                    <m:sSub>
                      <m:sSubPr>
                        <m:ctrlPr>
                          <w:rPr>
                            <w:rFonts w:ascii="Cambria Math" w:eastAsia="Calibri" w:hAnsi="Cambria Math"/>
                            <w:iCs/>
                            <w:szCs w:val="22"/>
                          </w:rPr>
                        </m:ctrlPr>
                      </m:sSubPr>
                      <m:e>
                        <m:r>
                          <w:rPr>
                            <w:rFonts w:ascii="Cambria Math" w:hAnsi="Cambria Math"/>
                            <w:szCs w:val="22"/>
                          </w:rPr>
                          <m:t>b</m:t>
                        </m:r>
                      </m:e>
                      <m:sub>
                        <m:r>
                          <w:rPr>
                            <w:rFonts w:ascii="Cambria Math" w:hAnsi="Cambria Math"/>
                            <w:szCs w:val="22"/>
                          </w:rPr>
                          <m:t>r</m:t>
                        </m:r>
                      </m:sub>
                    </m:sSub>
                  </m:e>
                </m:nary>
                <m:r>
                  <m:rPr>
                    <m:sty m:val="p"/>
                  </m:rPr>
                  <w:rPr>
                    <w:rFonts w:ascii="Cambria Math" w:hAnsi="Cambria Math"/>
                    <w:szCs w:val="22"/>
                  </w:rPr>
                  <m:t>+</m:t>
                </m:r>
                <m:f>
                  <m:fPr>
                    <m:ctrlPr>
                      <w:rPr>
                        <w:rFonts w:ascii="Cambria Math" w:eastAsia="Calibri" w:hAnsi="Cambria Math"/>
                        <w:iCs/>
                        <w:szCs w:val="22"/>
                      </w:rPr>
                    </m:ctrlPr>
                  </m:fPr>
                  <m:num>
                    <m:r>
                      <m:rPr>
                        <m:sty m:val="p"/>
                      </m:rPr>
                      <w:rPr>
                        <w:rFonts w:ascii="Cambria Math" w:hAnsi="Cambria Math"/>
                        <w:szCs w:val="22"/>
                      </w:rPr>
                      <m:t>1</m:t>
                    </m:r>
                  </m:num>
                  <m:den>
                    <m:r>
                      <w:rPr>
                        <w:rFonts w:ascii="Cambria Math" w:hAnsi="Cambria Math"/>
                        <w:szCs w:val="22"/>
                      </w:rPr>
                      <m:t>Activity</m:t>
                    </m:r>
                    <m:r>
                      <m:rPr>
                        <m:sty m:val="p"/>
                      </m:rPr>
                      <w:rPr>
                        <w:rFonts w:ascii="Cambria Math" w:hAnsi="Cambria Math"/>
                        <w:szCs w:val="22"/>
                      </w:rPr>
                      <m:t xml:space="preserve"> </m:t>
                    </m:r>
                    <m:r>
                      <w:rPr>
                        <w:rFonts w:ascii="Cambria Math" w:hAnsi="Cambria Math"/>
                        <w:szCs w:val="22"/>
                      </w:rPr>
                      <m:t>Requirement</m:t>
                    </m:r>
                  </m:den>
                </m:f>
                <m:nary>
                  <m:naryPr>
                    <m:chr m:val="∑"/>
                    <m:supHide m:val="1"/>
                    <m:ctrlPr>
                      <w:rPr>
                        <w:rFonts w:ascii="Cambria Math" w:eastAsia="Calibri" w:hAnsi="Cambria Math"/>
                        <w:iCs/>
                        <w:szCs w:val="22"/>
                      </w:rPr>
                    </m:ctrlPr>
                  </m:naryPr>
                  <m:sub>
                    <m:r>
                      <w:rPr>
                        <w:rFonts w:ascii="Cambria Math" w:hAnsi="Cambria Math"/>
                        <w:szCs w:val="22"/>
                      </w:rPr>
                      <m:t>r</m:t>
                    </m:r>
                    <m:r>
                      <m:rPr>
                        <m:sty m:val="p"/>
                      </m:rPr>
                      <w:rPr>
                        <w:rFonts w:ascii="Cambria Math" w:hAnsi="Cambria Math"/>
                        <w:szCs w:val="22"/>
                      </w:rPr>
                      <m:t>∉</m:t>
                    </m:r>
                    <m:r>
                      <w:rPr>
                        <w:rFonts w:ascii="Cambria Math" w:hAnsi="Cambria Math"/>
                        <w:szCs w:val="22"/>
                      </w:rPr>
                      <m:t>ER</m:t>
                    </m:r>
                  </m:sub>
                  <m:sup/>
                  <m:e>
                    <m:sSub>
                      <m:sSubPr>
                        <m:ctrlPr>
                          <w:rPr>
                            <w:rFonts w:ascii="Cambria Math" w:eastAsia="Calibri" w:hAnsi="Cambria Math"/>
                            <w:iCs/>
                            <w:szCs w:val="22"/>
                          </w:rPr>
                        </m:ctrlPr>
                      </m:sSubPr>
                      <m:e>
                        <m:r>
                          <w:rPr>
                            <w:rFonts w:ascii="Cambria Math" w:hAnsi="Cambria Math"/>
                            <w:szCs w:val="22"/>
                          </w:rPr>
                          <m:t>d</m:t>
                        </m:r>
                      </m:e>
                      <m:sub>
                        <m:r>
                          <w:rPr>
                            <w:rFonts w:ascii="Cambria Math" w:hAnsi="Cambria Math"/>
                            <w:szCs w:val="22"/>
                          </w:rPr>
                          <m:t>i</m:t>
                        </m:r>
                        <m:r>
                          <m:rPr>
                            <m:sty m:val="p"/>
                          </m:rPr>
                          <w:rPr>
                            <w:rFonts w:ascii="Cambria Math" w:hAnsi="Cambria Math"/>
                            <w:szCs w:val="22"/>
                          </w:rPr>
                          <m:t>,</m:t>
                        </m:r>
                        <m:r>
                          <w:rPr>
                            <w:rFonts w:ascii="Cambria Math" w:hAnsi="Cambria Math"/>
                            <w:szCs w:val="22"/>
                          </w:rPr>
                          <m:t>r</m:t>
                        </m:r>
                      </m:sub>
                    </m:sSub>
                    <m:r>
                      <m:rPr>
                        <m:sty m:val="p"/>
                      </m:rPr>
                      <w:rPr>
                        <w:rFonts w:ascii="Cambria Math" w:hAnsi="Cambria Math"/>
                        <w:szCs w:val="22"/>
                      </w:rPr>
                      <m:t>⋅</m:t>
                    </m:r>
                    <m:sSub>
                      <m:sSubPr>
                        <m:ctrlPr>
                          <w:rPr>
                            <w:rFonts w:ascii="Cambria Math" w:eastAsia="Calibri" w:hAnsi="Cambria Math"/>
                            <w:iCs/>
                            <w:szCs w:val="22"/>
                          </w:rPr>
                        </m:ctrlPr>
                      </m:sSubPr>
                      <m:e>
                        <m:r>
                          <w:rPr>
                            <w:rFonts w:ascii="Cambria Math" w:hAnsi="Cambria Math"/>
                            <w:szCs w:val="22"/>
                          </w:rPr>
                          <m:t>b</m:t>
                        </m:r>
                      </m:e>
                      <m:sub>
                        <m:r>
                          <w:rPr>
                            <w:rFonts w:ascii="Cambria Math" w:hAnsi="Cambria Math"/>
                            <w:szCs w:val="22"/>
                          </w:rPr>
                          <m:t>r</m:t>
                        </m:r>
                      </m:sub>
                    </m:sSub>
                  </m:e>
                </m:nary>
              </m:e>
            </m:d>
          </m:e>
        </m:func>
      </m:oMath>
      <w:r w:rsidRPr="00B35DA1">
        <w:rPr>
          <w:rFonts w:eastAsiaTheme="minorEastAsia"/>
          <w:iCs/>
          <w:szCs w:val="22"/>
        </w:rPr>
        <w:t>”</w:t>
      </w:r>
    </w:p>
    <w:p w14:paraId="69D02912" w14:textId="2AFCD96B" w:rsidR="00F75D8E" w:rsidRPr="00B35DA1" w:rsidRDefault="00500FDB" w:rsidP="003C1175">
      <w:pPr>
        <w:pStyle w:val="ParaNum"/>
        <w:widowControl/>
        <w:tabs>
          <w:tab w:val="num" w:pos="720"/>
        </w:tabs>
        <w:spacing w:after="220"/>
        <w:ind w:firstLine="360"/>
        <w:rPr>
          <w:szCs w:val="22"/>
        </w:rPr>
      </w:pPr>
      <w:r w:rsidRPr="00B35DA1">
        <w:rPr>
          <w:rFonts w:eastAsia="MS Gothic"/>
          <w:szCs w:val="22"/>
        </w:rPr>
        <w:t>In t</w:t>
      </w:r>
      <w:r w:rsidR="00F75D8E" w:rsidRPr="00B35DA1">
        <w:rPr>
          <w:rFonts w:eastAsia="MS Gothic"/>
          <w:szCs w:val="22"/>
        </w:rPr>
        <w:t>he third bullet</w:t>
      </w:r>
      <w:r w:rsidRPr="00B35DA1">
        <w:rPr>
          <w:rFonts w:eastAsia="MS Gothic"/>
          <w:szCs w:val="22"/>
        </w:rPr>
        <w:t xml:space="preserve">, at the end, replace “(see Section 3.2)” with </w:t>
      </w:r>
      <w:r w:rsidR="00F75D8E" w:rsidRPr="00B35DA1">
        <w:rPr>
          <w:rFonts w:eastAsia="MS Gothic"/>
          <w:szCs w:val="22"/>
        </w:rPr>
        <w:t>“</w:t>
      </w:r>
      <w:r w:rsidRPr="00B35DA1">
        <w:rPr>
          <w:rFonts w:eastAsia="MS Gothic"/>
          <w:szCs w:val="22"/>
        </w:rPr>
        <w:t xml:space="preserve">(see Section 3.2 </w:t>
      </w:r>
      <w:r w:rsidR="00F75D8E" w:rsidRPr="00B35DA1">
        <w:rPr>
          <w:rFonts w:eastAsia="MS Gothic"/>
          <w:szCs w:val="22"/>
        </w:rPr>
        <w:t>of this Appendix</w:t>
      </w:r>
      <w:r w:rsidRPr="00B35DA1">
        <w:rPr>
          <w:rFonts w:eastAsia="MS Gothic"/>
          <w:szCs w:val="22"/>
        </w:rPr>
        <w:t>)</w:t>
      </w:r>
      <w:r w:rsidR="00F75D8E" w:rsidRPr="00B35DA1">
        <w:rPr>
          <w:rFonts w:eastAsia="MS Gothic"/>
          <w:szCs w:val="22"/>
        </w:rPr>
        <w:t>”.</w:t>
      </w:r>
    </w:p>
    <w:p w14:paraId="71C48D06" w14:textId="29B19C38" w:rsidR="00F75D8E" w:rsidRPr="00B35DA1" w:rsidRDefault="00317B41" w:rsidP="00F02AA0">
      <w:pPr>
        <w:pStyle w:val="ParaNum"/>
        <w:widowControl/>
        <w:tabs>
          <w:tab w:val="num" w:pos="720"/>
        </w:tabs>
        <w:spacing w:after="220"/>
        <w:ind w:firstLine="270"/>
        <w:rPr>
          <w:szCs w:val="22"/>
        </w:rPr>
      </w:pPr>
      <w:r w:rsidRPr="00B35DA1">
        <w:rPr>
          <w:rFonts w:eastAsia="MS Gothic"/>
          <w:szCs w:val="22"/>
        </w:rPr>
        <w:t>A</w:t>
      </w:r>
      <w:r w:rsidR="00F75D8E" w:rsidRPr="00B35DA1">
        <w:rPr>
          <w:rFonts w:eastAsia="MS Gothic"/>
          <w:szCs w:val="22"/>
        </w:rPr>
        <w:t xml:space="preserve"> fourth bullet</w:t>
      </w:r>
      <w:r w:rsidR="00500FDB" w:rsidRPr="00B35DA1">
        <w:rPr>
          <w:rFonts w:eastAsia="MS Gothic"/>
          <w:szCs w:val="22"/>
        </w:rPr>
        <w:t xml:space="preserve"> is added</w:t>
      </w:r>
      <w:r w:rsidR="00FC4C30" w:rsidRPr="00B35DA1">
        <w:rPr>
          <w:rFonts w:eastAsia="MS Gothic"/>
          <w:szCs w:val="22"/>
        </w:rPr>
        <w:t xml:space="preserve"> </w:t>
      </w:r>
      <w:r w:rsidR="00500FDB" w:rsidRPr="00B35DA1">
        <w:rPr>
          <w:rFonts w:eastAsia="MS Gothic"/>
          <w:szCs w:val="22"/>
        </w:rPr>
        <w:t>to read as follows</w:t>
      </w:r>
      <w:r w:rsidR="00F75D8E" w:rsidRPr="00B35DA1">
        <w:rPr>
          <w:rFonts w:eastAsia="MS Gothic"/>
          <w:szCs w:val="22"/>
        </w:rPr>
        <w:t>:</w:t>
      </w:r>
    </w:p>
    <w:p w14:paraId="1C631831" w14:textId="77777777" w:rsidR="00F75D8E" w:rsidRPr="00B35DA1" w:rsidRDefault="00F75D8E" w:rsidP="00500FDB">
      <w:pPr>
        <w:pStyle w:val="ParaNum"/>
        <w:numPr>
          <w:ilvl w:val="0"/>
          <w:numId w:val="0"/>
        </w:numPr>
        <w:spacing w:after="220"/>
        <w:ind w:left="1080" w:hanging="360"/>
        <w:rPr>
          <w:szCs w:val="22"/>
        </w:rPr>
      </w:pPr>
      <w:r w:rsidRPr="00B35DA1">
        <w:rPr>
          <w:szCs w:val="22"/>
        </w:rPr>
        <w:t>“-</w:t>
      </w:r>
      <w:r w:rsidRPr="00B35DA1">
        <w:rPr>
          <w:szCs w:val="22"/>
        </w:rPr>
        <w:tab/>
      </w:r>
      <m:oMath>
        <m:r>
          <w:rPr>
            <w:rFonts w:ascii="Cambria Math" w:hAnsi="Cambria Math"/>
            <w:szCs w:val="22"/>
          </w:rPr>
          <m:t>t</m:t>
        </m:r>
      </m:oMath>
      <w:r w:rsidRPr="00B35DA1">
        <w:rPr>
          <w:szCs w:val="22"/>
        </w:rPr>
        <w:t xml:space="preserve"> denotes the extended round and thus </w:t>
      </w:r>
      <m:oMath>
        <m:r>
          <w:rPr>
            <w:rFonts w:ascii="Cambria Math" w:hAnsi="Cambria Math"/>
            <w:szCs w:val="22"/>
          </w:rPr>
          <m:t>Eligibility</m:t>
        </m:r>
        <m:d>
          <m:dPr>
            <m:ctrlPr>
              <w:rPr>
                <w:rFonts w:ascii="Cambria Math" w:hAnsi="Cambria Math"/>
                <w:i/>
                <w:szCs w:val="22"/>
              </w:rPr>
            </m:ctrlPr>
          </m:dPr>
          <m:e>
            <m:r>
              <w:rPr>
                <w:rFonts w:ascii="Cambria Math" w:hAnsi="Cambria Math"/>
                <w:szCs w:val="22"/>
              </w:rPr>
              <m:t>t</m:t>
            </m:r>
          </m:e>
        </m:d>
      </m:oMath>
      <w:r w:rsidRPr="00B35DA1">
        <w:rPr>
          <w:szCs w:val="22"/>
        </w:rPr>
        <w:t xml:space="preserve"> is the bidder’s eligibility in the extended round.”</w:t>
      </w:r>
    </w:p>
    <w:p w14:paraId="20A3D0C4" w14:textId="0ED70A79" w:rsidR="00F75D8E" w:rsidRPr="00B35DA1" w:rsidRDefault="00F75D8E" w:rsidP="003C1175">
      <w:pPr>
        <w:spacing w:before="120" w:after="220"/>
        <w:rPr>
          <w:szCs w:val="22"/>
        </w:rPr>
      </w:pPr>
      <w:r w:rsidRPr="00B35DA1">
        <w:rPr>
          <w:szCs w:val="22"/>
        </w:rPr>
        <w:t xml:space="preserve">For further information, contact Melissa Dunford at (202) 418-0617 or </w:t>
      </w:r>
      <w:hyperlink r:id="rId11" w:history="1">
        <w:r w:rsidR="009473C3" w:rsidRPr="00B35DA1">
          <w:rPr>
            <w:rStyle w:val="Hyperlink"/>
            <w:szCs w:val="22"/>
          </w:rPr>
          <w:t>melissa.dunford@fcc.gov</w:t>
        </w:r>
      </w:hyperlink>
      <w:r w:rsidRPr="00B35DA1">
        <w:rPr>
          <w:szCs w:val="22"/>
        </w:rPr>
        <w:t xml:space="preserve">, or Martha Stancill at (202) 418-7015 or </w:t>
      </w:r>
      <w:hyperlink r:id="rId12" w:history="1">
        <w:r w:rsidR="00B6697C" w:rsidRPr="00B35DA1">
          <w:rPr>
            <w:rStyle w:val="Hyperlink"/>
            <w:szCs w:val="22"/>
          </w:rPr>
          <w:t>martha.stancill@fcc.gov</w:t>
        </w:r>
      </w:hyperlink>
      <w:r w:rsidRPr="00B35DA1">
        <w:rPr>
          <w:szCs w:val="22"/>
        </w:rPr>
        <w:t>.</w:t>
      </w:r>
    </w:p>
    <w:p w14:paraId="7C0FBEF0" w14:textId="77777777" w:rsidR="00500FDB" w:rsidRPr="00452927" w:rsidRDefault="00500FDB" w:rsidP="00F75D8E">
      <w:pPr>
        <w:spacing w:before="120" w:after="240"/>
        <w:jc w:val="center"/>
        <w:rPr>
          <w:szCs w:val="22"/>
        </w:rPr>
      </w:pPr>
    </w:p>
    <w:p w14:paraId="031CE87D" w14:textId="77777777" w:rsidR="00F75D8E" w:rsidRPr="00C47F99" w:rsidRDefault="00F75D8E" w:rsidP="00F75D8E">
      <w:pPr>
        <w:spacing w:before="120" w:after="240"/>
        <w:jc w:val="center"/>
        <w:rPr>
          <w:szCs w:val="22"/>
        </w:rPr>
      </w:pPr>
      <w:r w:rsidRPr="00C47F99">
        <w:rPr>
          <w:szCs w:val="22"/>
        </w:rPr>
        <w:t xml:space="preserve">- </w:t>
      </w:r>
      <w:r w:rsidRPr="00C47F99">
        <w:rPr>
          <w:b/>
          <w:szCs w:val="22"/>
        </w:rPr>
        <w:t>FCC</w:t>
      </w:r>
      <w:r w:rsidRPr="00C47F99">
        <w:rPr>
          <w:szCs w:val="22"/>
        </w:rPr>
        <w:t xml:space="preserve"> -</w:t>
      </w:r>
    </w:p>
    <w:p w14:paraId="070FBB16" w14:textId="77777777" w:rsidR="006A1F49" w:rsidRPr="003A7FB0" w:rsidRDefault="006A1F49" w:rsidP="00D47505">
      <w:pPr>
        <w:spacing w:before="120" w:after="240"/>
        <w:rPr>
          <w:szCs w:val="22"/>
        </w:rPr>
      </w:pPr>
    </w:p>
    <w:sectPr w:rsidR="006A1F49" w:rsidRPr="003A7FB0" w:rsidSect="00DF081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D13EB" w14:textId="77777777" w:rsidR="00175158" w:rsidRDefault="00175158">
      <w:pPr>
        <w:spacing w:line="20" w:lineRule="exact"/>
      </w:pPr>
    </w:p>
  </w:endnote>
  <w:endnote w:type="continuationSeparator" w:id="0">
    <w:p w14:paraId="02253E64" w14:textId="77777777" w:rsidR="00175158" w:rsidRDefault="00175158">
      <w:r>
        <w:t xml:space="preserve"> </w:t>
      </w:r>
    </w:p>
  </w:endnote>
  <w:endnote w:type="continuationNotice" w:id="1">
    <w:p w14:paraId="0120C70A" w14:textId="77777777" w:rsidR="00175158" w:rsidRDefault="001751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DD6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A53F8BB" w14:textId="77777777" w:rsidR="00D25FB5" w:rsidRDefault="00D25FB5">
    <w:pPr>
      <w:pStyle w:val="Footer"/>
    </w:pPr>
  </w:p>
  <w:p w14:paraId="2279E8A4"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02318"/>
      <w:docPartObj>
        <w:docPartGallery w:val="Page Numbers (Bottom of Page)"/>
        <w:docPartUnique/>
      </w:docPartObj>
    </w:sdtPr>
    <w:sdtEndPr>
      <w:rPr>
        <w:noProof/>
      </w:rPr>
    </w:sdtEndPr>
    <w:sdtContent>
      <w:p w14:paraId="2C68F392" w14:textId="77777777" w:rsidR="003660ED" w:rsidRPr="00500FDB" w:rsidRDefault="00500FDB" w:rsidP="00500FDB">
        <w:pPr>
          <w:pStyle w:val="Footer"/>
          <w:jc w:val="center"/>
        </w:pPr>
        <w:r>
          <w:fldChar w:fldCharType="begin"/>
        </w:r>
        <w:r>
          <w:instrText xml:space="preserve"> PAGE   \* MERGEFORMAT </w:instrText>
        </w:r>
        <w:r>
          <w:fldChar w:fldCharType="separate"/>
        </w:r>
        <w:r w:rsidR="00DB363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CB94"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2043A" w14:textId="77777777" w:rsidR="00175158" w:rsidRDefault="00175158">
      <w:r>
        <w:separator/>
      </w:r>
    </w:p>
  </w:footnote>
  <w:footnote w:type="continuationSeparator" w:id="0">
    <w:p w14:paraId="5AD68707" w14:textId="77777777" w:rsidR="00175158" w:rsidRDefault="00175158" w:rsidP="00C721AC">
      <w:pPr>
        <w:spacing w:before="120"/>
        <w:rPr>
          <w:sz w:val="20"/>
        </w:rPr>
      </w:pPr>
      <w:r>
        <w:rPr>
          <w:sz w:val="20"/>
        </w:rPr>
        <w:t xml:space="preserve">(Continued from previous page)  </w:t>
      </w:r>
      <w:r>
        <w:rPr>
          <w:sz w:val="20"/>
        </w:rPr>
        <w:separator/>
      </w:r>
    </w:p>
  </w:footnote>
  <w:footnote w:type="continuationNotice" w:id="1">
    <w:p w14:paraId="6E4158EF" w14:textId="77777777" w:rsidR="00175158" w:rsidRDefault="00175158"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E1A23" w14:textId="77777777" w:rsidR="00FA2EC5" w:rsidRDefault="00FA2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2A1F8" w14:textId="77777777" w:rsidR="00FA2EC5" w:rsidRDefault="00FA2E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1D7DF" w14:textId="0B7B6E08" w:rsidR="00F75D8E" w:rsidRPr="00B338A9" w:rsidRDefault="00F75D8E" w:rsidP="00F75D8E">
    <w:pPr>
      <w:pStyle w:val="Header"/>
    </w:pPr>
    <w:r>
      <w:rPr>
        <w:b w:val="0"/>
        <w:noProof/>
      </w:rPr>
      <mc:AlternateContent>
        <mc:Choice Requires="wps">
          <w:drawing>
            <wp:anchor distT="0" distB="0" distL="114300" distR="114300" simplePos="0" relativeHeight="251659264" behindDoc="0" locked="0" layoutInCell="0" allowOverlap="1" wp14:anchorId="25B9A1A2" wp14:editId="5D7A8364">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AA3EB" w14:textId="77777777" w:rsidR="00F75D8E" w:rsidRDefault="00F75D8E" w:rsidP="00F75D8E">
                          <w:pPr>
                            <w:rPr>
                              <w:rFonts w:ascii="Arial" w:hAnsi="Arial"/>
                              <w:b/>
                            </w:rPr>
                          </w:pPr>
                          <w:r>
                            <w:rPr>
                              <w:rFonts w:ascii="Arial" w:hAnsi="Arial"/>
                              <w:b/>
                            </w:rPr>
                            <w:t>Federal Communications Commission</w:t>
                          </w:r>
                        </w:p>
                        <w:p w14:paraId="075F35B5" w14:textId="77777777" w:rsidR="00F75D8E" w:rsidRDefault="00F75D8E" w:rsidP="00F75D8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A9C113B" w14:textId="77777777" w:rsidR="00F75D8E" w:rsidRDefault="00F75D8E" w:rsidP="00F75D8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B9A1A2"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22AAA3EB" w14:textId="77777777" w:rsidR="00F75D8E" w:rsidRDefault="00F75D8E" w:rsidP="00F75D8E">
                    <w:pPr>
                      <w:rPr>
                        <w:rFonts w:ascii="Arial" w:hAnsi="Arial"/>
                        <w:b/>
                      </w:rPr>
                    </w:pPr>
                    <w:r>
                      <w:rPr>
                        <w:rFonts w:ascii="Arial" w:hAnsi="Arial"/>
                        <w:b/>
                      </w:rPr>
                      <w:t>Federal Communications Commission</w:t>
                    </w:r>
                  </w:p>
                  <w:p w14:paraId="075F35B5" w14:textId="77777777" w:rsidR="00F75D8E" w:rsidRDefault="00F75D8E" w:rsidP="00F75D8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A9C113B" w14:textId="77777777" w:rsidR="00F75D8E" w:rsidRDefault="00F75D8E" w:rsidP="00F75D8E">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inline distT="0" distB="0" distL="0" distR="0" wp14:anchorId="6D4ABF06" wp14:editId="428F26BF">
          <wp:extent cx="530225" cy="530225"/>
          <wp:effectExtent l="0" t="0" r="3175" b="3175"/>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085DD4">
      <w:t xml:space="preserve"> </w:t>
    </w:r>
    <w:r w:rsidRPr="00B338A9">
      <w:t>PUBLIC NOTICE</w:t>
    </w:r>
  </w:p>
  <w:p w14:paraId="18B34C4C" w14:textId="77777777" w:rsidR="00D47505" w:rsidRPr="00F75D8E" w:rsidRDefault="00F75D8E" w:rsidP="00F75D8E">
    <w:pPr>
      <w:pStyle w:val="Header"/>
    </w:pPr>
    <w:r>
      <w:rPr>
        <w:b w:val="0"/>
        <w:noProof/>
      </w:rPr>
      <mc:AlternateContent>
        <mc:Choice Requires="wps">
          <w:drawing>
            <wp:anchor distT="0" distB="0" distL="114300" distR="114300" simplePos="0" relativeHeight="251660288" behindDoc="0" locked="0" layoutInCell="0" allowOverlap="1" wp14:anchorId="3405A0E3" wp14:editId="56F9F8A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6DB921" id="Line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61312" behindDoc="0" locked="0" layoutInCell="0" allowOverlap="1" wp14:anchorId="4EC631B5" wp14:editId="246DC85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47292" w14:textId="4B14ED33" w:rsidR="00F75D8E" w:rsidRDefault="00F75D8E" w:rsidP="00F75D8E">
                          <w:pPr>
                            <w:spacing w:before="40"/>
                            <w:jc w:val="right"/>
                            <w:rPr>
                              <w:rFonts w:ascii="Arial" w:hAnsi="Arial"/>
                              <w:b/>
                              <w:sz w:val="16"/>
                            </w:rPr>
                          </w:pPr>
                          <w:r>
                            <w:rPr>
                              <w:rFonts w:ascii="Arial" w:hAnsi="Arial"/>
                              <w:b/>
                              <w:sz w:val="16"/>
                            </w:rPr>
                            <w:t>News Media Information</w:t>
                          </w:r>
                          <w:r w:rsidR="00085DD4">
                            <w:rPr>
                              <w:rFonts w:ascii="Arial" w:hAnsi="Arial"/>
                              <w:b/>
                              <w:sz w:val="16"/>
                            </w:rPr>
                            <w:t>:</w:t>
                          </w:r>
                          <w:r>
                            <w:rPr>
                              <w:rFonts w:ascii="Arial" w:hAnsi="Arial"/>
                              <w:b/>
                              <w:sz w:val="16"/>
                            </w:rPr>
                            <w:t xml:space="preserve"> 202</w:t>
                          </w:r>
                          <w:r w:rsidR="00085DD4">
                            <w:rPr>
                              <w:rFonts w:ascii="Arial" w:hAnsi="Arial"/>
                              <w:b/>
                              <w:sz w:val="16"/>
                            </w:rPr>
                            <w:t>-</w:t>
                          </w:r>
                          <w:r>
                            <w:rPr>
                              <w:rFonts w:ascii="Arial" w:hAnsi="Arial"/>
                              <w:b/>
                              <w:sz w:val="16"/>
                            </w:rPr>
                            <w:t>418-0500</w:t>
                          </w:r>
                        </w:p>
                        <w:p w14:paraId="47BC30A5" w14:textId="66286664" w:rsidR="00F75D8E" w:rsidRDefault="00F75D8E" w:rsidP="00F75D8E">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DB3635">
                            <w:rPr>
                              <w:rFonts w:ascii="Arial" w:hAnsi="Arial"/>
                              <w:b/>
                              <w:sz w:val="16"/>
                            </w:rPr>
                            <w:instrText>HYPERLINK "https://www.fcc.gov/"</w:instrText>
                          </w:r>
                          <w:r w:rsidR="00DB3635">
                            <w:rPr>
                              <w:rFonts w:ascii="Arial" w:hAnsi="Arial"/>
                              <w:b/>
                              <w:sz w:val="16"/>
                            </w:rPr>
                          </w:r>
                          <w:r>
                            <w:rPr>
                              <w:rFonts w:ascii="Arial" w:hAnsi="Arial"/>
                              <w:b/>
                              <w:sz w:val="16"/>
                            </w:rPr>
                            <w:fldChar w:fldCharType="separate"/>
                          </w:r>
                          <w:bookmarkEnd w:id="2"/>
                          <w:r w:rsidR="00085DD4">
                            <w:rPr>
                              <w:rStyle w:val="Hyperlink"/>
                              <w:rFonts w:ascii="Arial" w:hAnsi="Arial"/>
                              <w:b/>
                              <w:sz w:val="16"/>
                            </w:rPr>
                            <w:t>www.fcc.gov</w:t>
                          </w:r>
                          <w:r>
                            <w:rPr>
                              <w:rFonts w:ascii="Arial" w:hAnsi="Arial"/>
                              <w:b/>
                              <w:sz w:val="16"/>
                            </w:rPr>
                            <w:fldChar w:fldCharType="end"/>
                          </w:r>
                        </w:p>
                        <w:p w14:paraId="19A2F77F" w14:textId="3ACC9953" w:rsidR="00F75D8E" w:rsidRDefault="00085DD4" w:rsidP="00F75D8E">
                          <w:pPr>
                            <w:jc w:val="right"/>
                          </w:pPr>
                          <w:r>
                            <w:rPr>
                              <w:rFonts w:ascii="Arial" w:hAnsi="Arial"/>
                              <w:b/>
                              <w:sz w:val="16"/>
                            </w:rPr>
                            <w:t xml:space="preserve">TTY: </w:t>
                          </w:r>
                          <w:r w:rsidR="00F75D8E">
                            <w:rPr>
                              <w:rFonts w:ascii="Arial" w:hAnsi="Arial"/>
                              <w:b/>
                              <w:sz w:val="16"/>
                            </w:rPr>
                            <w:t>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49547292" w14:textId="4B14ED33" w:rsidR="00F75D8E" w:rsidRDefault="00F75D8E" w:rsidP="00F75D8E">
                    <w:pPr>
                      <w:spacing w:before="40"/>
                      <w:jc w:val="right"/>
                      <w:rPr>
                        <w:rFonts w:ascii="Arial" w:hAnsi="Arial"/>
                        <w:b/>
                        <w:sz w:val="16"/>
                      </w:rPr>
                    </w:pPr>
                    <w:r>
                      <w:rPr>
                        <w:rFonts w:ascii="Arial" w:hAnsi="Arial"/>
                        <w:b/>
                        <w:sz w:val="16"/>
                      </w:rPr>
                      <w:t>News Media Information</w:t>
                    </w:r>
                    <w:r w:rsidR="00085DD4">
                      <w:rPr>
                        <w:rFonts w:ascii="Arial" w:hAnsi="Arial"/>
                        <w:b/>
                        <w:sz w:val="16"/>
                      </w:rPr>
                      <w:t>:</w:t>
                    </w:r>
                    <w:r>
                      <w:rPr>
                        <w:rFonts w:ascii="Arial" w:hAnsi="Arial"/>
                        <w:b/>
                        <w:sz w:val="16"/>
                      </w:rPr>
                      <w:t xml:space="preserve"> 202</w:t>
                    </w:r>
                    <w:r w:rsidR="00085DD4">
                      <w:rPr>
                        <w:rFonts w:ascii="Arial" w:hAnsi="Arial"/>
                        <w:b/>
                        <w:sz w:val="16"/>
                      </w:rPr>
                      <w:t>-</w:t>
                    </w:r>
                    <w:r>
                      <w:rPr>
                        <w:rFonts w:ascii="Arial" w:hAnsi="Arial"/>
                        <w:b/>
                        <w:sz w:val="16"/>
                      </w:rPr>
                      <w:t>418-0500</w:t>
                    </w:r>
                  </w:p>
                  <w:p w14:paraId="47BC30A5" w14:textId="66286664" w:rsidR="00F75D8E" w:rsidRDefault="00F75D8E" w:rsidP="00F75D8E">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sidR="00DB3635">
                      <w:rPr>
                        <w:rFonts w:ascii="Arial" w:hAnsi="Arial"/>
                        <w:b/>
                        <w:sz w:val="16"/>
                      </w:rPr>
                      <w:instrText>HYPERLINK "https://www.fcc.gov/"</w:instrText>
                    </w:r>
                    <w:r w:rsidR="00DB3635">
                      <w:rPr>
                        <w:rFonts w:ascii="Arial" w:hAnsi="Arial"/>
                        <w:b/>
                        <w:sz w:val="16"/>
                      </w:rPr>
                    </w:r>
                    <w:r>
                      <w:rPr>
                        <w:rFonts w:ascii="Arial" w:hAnsi="Arial"/>
                        <w:b/>
                        <w:sz w:val="16"/>
                      </w:rPr>
                      <w:fldChar w:fldCharType="separate"/>
                    </w:r>
                    <w:bookmarkEnd w:id="3"/>
                    <w:r w:rsidR="00085DD4">
                      <w:rPr>
                        <w:rStyle w:val="Hyperlink"/>
                        <w:rFonts w:ascii="Arial" w:hAnsi="Arial"/>
                        <w:b/>
                        <w:sz w:val="16"/>
                      </w:rPr>
                      <w:t>www.fcc.gov</w:t>
                    </w:r>
                    <w:r>
                      <w:rPr>
                        <w:rFonts w:ascii="Arial" w:hAnsi="Arial"/>
                        <w:b/>
                        <w:sz w:val="16"/>
                      </w:rPr>
                      <w:fldChar w:fldCharType="end"/>
                    </w:r>
                  </w:p>
                  <w:p w14:paraId="19A2F77F" w14:textId="3ACC9953" w:rsidR="00F75D8E" w:rsidRDefault="00085DD4" w:rsidP="00F75D8E">
                    <w:pPr>
                      <w:jc w:val="right"/>
                    </w:pPr>
                    <w:r>
                      <w:rPr>
                        <w:rFonts w:ascii="Arial" w:hAnsi="Arial"/>
                        <w:b/>
                        <w:sz w:val="16"/>
                      </w:rPr>
                      <w:t xml:space="preserve">TTY: </w:t>
                    </w:r>
                    <w:r w:rsidR="00F75D8E">
                      <w:rPr>
                        <w:rFonts w:ascii="Arial" w:hAnsi="Arial"/>
                        <w:b/>
                        <w:sz w:val="16"/>
                      </w:rPr>
                      <w:t>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6"/>
    <w:lvlOverride w:ilvl="0">
      <w:startOverride w:val="1"/>
    </w:lvlOverride>
  </w:num>
  <w:num w:numId="9">
    <w:abstractNumId w:val="6"/>
  </w:num>
  <w:num w:numId="10">
    <w:abstractNumId w:val="6"/>
    <w:lvlOverride w:ilvl="0">
      <w:startOverride w:val="1"/>
    </w:lvlOverride>
  </w:num>
  <w:num w:numId="11">
    <w:abstractNumId w:val="6"/>
  </w:num>
  <w:num w:numId="12">
    <w:abstractNumId w:val="6"/>
    <w:lvlOverride w:ilvl="0">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14A4C"/>
    <w:rsid w:val="0001673F"/>
    <w:rsid w:val="00036039"/>
    <w:rsid w:val="00037F90"/>
    <w:rsid w:val="00085DD4"/>
    <w:rsid w:val="000875BF"/>
    <w:rsid w:val="00096D8C"/>
    <w:rsid w:val="000A6606"/>
    <w:rsid w:val="000C0B65"/>
    <w:rsid w:val="000E05FE"/>
    <w:rsid w:val="000E3D42"/>
    <w:rsid w:val="00122BD5"/>
    <w:rsid w:val="00133F79"/>
    <w:rsid w:val="00162F00"/>
    <w:rsid w:val="00172013"/>
    <w:rsid w:val="00175158"/>
    <w:rsid w:val="00194A66"/>
    <w:rsid w:val="001B04F6"/>
    <w:rsid w:val="001C115A"/>
    <w:rsid w:val="001D6BCF"/>
    <w:rsid w:val="001E01CA"/>
    <w:rsid w:val="0021633E"/>
    <w:rsid w:val="00275CF5"/>
    <w:rsid w:val="0028301F"/>
    <w:rsid w:val="00285017"/>
    <w:rsid w:val="00287828"/>
    <w:rsid w:val="002A2D2E"/>
    <w:rsid w:val="002A40BE"/>
    <w:rsid w:val="002B7C2E"/>
    <w:rsid w:val="002C00E8"/>
    <w:rsid w:val="002C4E60"/>
    <w:rsid w:val="00307804"/>
    <w:rsid w:val="00317B41"/>
    <w:rsid w:val="003266A6"/>
    <w:rsid w:val="00343749"/>
    <w:rsid w:val="003464CD"/>
    <w:rsid w:val="003660ED"/>
    <w:rsid w:val="003A7FB0"/>
    <w:rsid w:val="003B0550"/>
    <w:rsid w:val="003B694F"/>
    <w:rsid w:val="003C1175"/>
    <w:rsid w:val="003F171C"/>
    <w:rsid w:val="00412FC5"/>
    <w:rsid w:val="00422276"/>
    <w:rsid w:val="004242F1"/>
    <w:rsid w:val="00445805"/>
    <w:rsid w:val="00445A00"/>
    <w:rsid w:val="00451B0F"/>
    <w:rsid w:val="00452927"/>
    <w:rsid w:val="004C2EE3"/>
    <w:rsid w:val="004D5FF2"/>
    <w:rsid w:val="004E4A22"/>
    <w:rsid w:val="00500FDB"/>
    <w:rsid w:val="00511968"/>
    <w:rsid w:val="0055614C"/>
    <w:rsid w:val="005B477C"/>
    <w:rsid w:val="005C2B1C"/>
    <w:rsid w:val="005E14C2"/>
    <w:rsid w:val="00605E24"/>
    <w:rsid w:val="00607BA5"/>
    <w:rsid w:val="0061180A"/>
    <w:rsid w:val="00626EB6"/>
    <w:rsid w:val="00655D03"/>
    <w:rsid w:val="00683388"/>
    <w:rsid w:val="00683F84"/>
    <w:rsid w:val="006A1F49"/>
    <w:rsid w:val="006A6A81"/>
    <w:rsid w:val="006B1456"/>
    <w:rsid w:val="006F7393"/>
    <w:rsid w:val="007015F7"/>
    <w:rsid w:val="0070224F"/>
    <w:rsid w:val="00707C1F"/>
    <w:rsid w:val="007115F7"/>
    <w:rsid w:val="00785689"/>
    <w:rsid w:val="0079754B"/>
    <w:rsid w:val="007A1E6D"/>
    <w:rsid w:val="007B0EB2"/>
    <w:rsid w:val="007C1A92"/>
    <w:rsid w:val="007D2A86"/>
    <w:rsid w:val="007F31C4"/>
    <w:rsid w:val="007F413A"/>
    <w:rsid w:val="00803B5D"/>
    <w:rsid w:val="00810B6F"/>
    <w:rsid w:val="00822CE0"/>
    <w:rsid w:val="0083234D"/>
    <w:rsid w:val="00841AB1"/>
    <w:rsid w:val="00887D5B"/>
    <w:rsid w:val="008C68F1"/>
    <w:rsid w:val="008E497F"/>
    <w:rsid w:val="00921803"/>
    <w:rsid w:val="009263E2"/>
    <w:rsid w:val="00926503"/>
    <w:rsid w:val="00930D84"/>
    <w:rsid w:val="009436EE"/>
    <w:rsid w:val="009473C3"/>
    <w:rsid w:val="009726D8"/>
    <w:rsid w:val="0097554A"/>
    <w:rsid w:val="009873F5"/>
    <w:rsid w:val="0099295B"/>
    <w:rsid w:val="009C1B6E"/>
    <w:rsid w:val="009F76DB"/>
    <w:rsid w:val="00A32C3B"/>
    <w:rsid w:val="00A45F4F"/>
    <w:rsid w:val="00A550A5"/>
    <w:rsid w:val="00A600A9"/>
    <w:rsid w:val="00A60F14"/>
    <w:rsid w:val="00A764EC"/>
    <w:rsid w:val="00AA55B7"/>
    <w:rsid w:val="00AA5B9E"/>
    <w:rsid w:val="00AB2407"/>
    <w:rsid w:val="00AB53DF"/>
    <w:rsid w:val="00AC424B"/>
    <w:rsid w:val="00AD76B0"/>
    <w:rsid w:val="00AF46DC"/>
    <w:rsid w:val="00B07E5C"/>
    <w:rsid w:val="00B20363"/>
    <w:rsid w:val="00B338A9"/>
    <w:rsid w:val="00B35DA1"/>
    <w:rsid w:val="00B57243"/>
    <w:rsid w:val="00B6697C"/>
    <w:rsid w:val="00B679AB"/>
    <w:rsid w:val="00B72F86"/>
    <w:rsid w:val="00B76DB8"/>
    <w:rsid w:val="00B811F7"/>
    <w:rsid w:val="00B840E6"/>
    <w:rsid w:val="00BA5DC6"/>
    <w:rsid w:val="00BA6196"/>
    <w:rsid w:val="00BC6D8C"/>
    <w:rsid w:val="00BF4A51"/>
    <w:rsid w:val="00C34006"/>
    <w:rsid w:val="00C426B1"/>
    <w:rsid w:val="00C47F99"/>
    <w:rsid w:val="00C66160"/>
    <w:rsid w:val="00C67D54"/>
    <w:rsid w:val="00C721AC"/>
    <w:rsid w:val="00C90D6A"/>
    <w:rsid w:val="00CA247E"/>
    <w:rsid w:val="00CA3032"/>
    <w:rsid w:val="00CC72B6"/>
    <w:rsid w:val="00CC776F"/>
    <w:rsid w:val="00D0218D"/>
    <w:rsid w:val="00D258B3"/>
    <w:rsid w:val="00D25FB5"/>
    <w:rsid w:val="00D44223"/>
    <w:rsid w:val="00D47505"/>
    <w:rsid w:val="00DA2529"/>
    <w:rsid w:val="00DB130A"/>
    <w:rsid w:val="00DB2EBB"/>
    <w:rsid w:val="00DB3635"/>
    <w:rsid w:val="00DB4B64"/>
    <w:rsid w:val="00DC10A1"/>
    <w:rsid w:val="00DC52A4"/>
    <w:rsid w:val="00DC655F"/>
    <w:rsid w:val="00DD0B59"/>
    <w:rsid w:val="00DD7EBD"/>
    <w:rsid w:val="00DE4C8D"/>
    <w:rsid w:val="00DE613A"/>
    <w:rsid w:val="00DF0810"/>
    <w:rsid w:val="00DF62B6"/>
    <w:rsid w:val="00E07225"/>
    <w:rsid w:val="00E27FE4"/>
    <w:rsid w:val="00E428B9"/>
    <w:rsid w:val="00E5409F"/>
    <w:rsid w:val="00E6026B"/>
    <w:rsid w:val="00EB4ACC"/>
    <w:rsid w:val="00EB6774"/>
    <w:rsid w:val="00EE6488"/>
    <w:rsid w:val="00F011F1"/>
    <w:rsid w:val="00F021FA"/>
    <w:rsid w:val="00F02AA0"/>
    <w:rsid w:val="00F62E97"/>
    <w:rsid w:val="00F64209"/>
    <w:rsid w:val="00F74C87"/>
    <w:rsid w:val="00F75D8E"/>
    <w:rsid w:val="00F8591E"/>
    <w:rsid w:val="00F93BF5"/>
    <w:rsid w:val="00FA2EC5"/>
    <w:rsid w:val="00FB5EB2"/>
    <w:rsid w:val="00FC4C30"/>
    <w:rsid w:val="00FE2C64"/>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2E5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F75D8E"/>
  </w:style>
  <w:style w:type="character" w:customStyle="1" w:styleId="ParaNumChar">
    <w:name w:val="ParaNum Char"/>
    <w:link w:val="ParaNum"/>
    <w:locked/>
    <w:rsid w:val="00F75D8E"/>
    <w:rPr>
      <w:snapToGrid w:val="0"/>
      <w:kern w:val="28"/>
      <w:sz w:val="22"/>
    </w:rPr>
  </w:style>
  <w:style w:type="character" w:customStyle="1" w:styleId="HeaderChar">
    <w:name w:val="Header Char"/>
    <w:basedOn w:val="DefaultParagraphFont"/>
    <w:link w:val="Header"/>
    <w:rsid w:val="00F75D8E"/>
    <w:rPr>
      <w:rFonts w:ascii="Arial" w:hAnsi="Arial" w:cs="Arial"/>
      <w:b/>
      <w:snapToGrid w:val="0"/>
      <w:kern w:val="28"/>
      <w:sz w:val="96"/>
    </w:rPr>
  </w:style>
  <w:style w:type="character" w:styleId="CommentReference">
    <w:name w:val="annotation reference"/>
    <w:basedOn w:val="DefaultParagraphFont"/>
    <w:rsid w:val="00B6697C"/>
    <w:rPr>
      <w:sz w:val="16"/>
      <w:szCs w:val="16"/>
    </w:rPr>
  </w:style>
  <w:style w:type="paragraph" w:styleId="CommentText">
    <w:name w:val="annotation text"/>
    <w:basedOn w:val="Normal"/>
    <w:link w:val="CommentTextChar"/>
    <w:rsid w:val="00B6697C"/>
    <w:rPr>
      <w:sz w:val="20"/>
    </w:rPr>
  </w:style>
  <w:style w:type="character" w:customStyle="1" w:styleId="CommentTextChar">
    <w:name w:val="Comment Text Char"/>
    <w:basedOn w:val="DefaultParagraphFont"/>
    <w:link w:val="CommentText"/>
    <w:rsid w:val="00B6697C"/>
    <w:rPr>
      <w:snapToGrid w:val="0"/>
      <w:kern w:val="28"/>
    </w:rPr>
  </w:style>
  <w:style w:type="paragraph" w:styleId="CommentSubject">
    <w:name w:val="annotation subject"/>
    <w:basedOn w:val="CommentText"/>
    <w:next w:val="CommentText"/>
    <w:link w:val="CommentSubjectChar"/>
    <w:rsid w:val="00B6697C"/>
    <w:rPr>
      <w:b/>
      <w:bCs/>
    </w:rPr>
  </w:style>
  <w:style w:type="character" w:customStyle="1" w:styleId="CommentSubjectChar">
    <w:name w:val="Comment Subject Char"/>
    <w:basedOn w:val="CommentTextChar"/>
    <w:link w:val="CommentSubject"/>
    <w:rsid w:val="00B6697C"/>
    <w:rPr>
      <w:b/>
      <w:bCs/>
      <w:snapToGrid w:val="0"/>
      <w:kern w:val="28"/>
    </w:rPr>
  </w:style>
  <w:style w:type="character" w:styleId="FollowedHyperlink">
    <w:name w:val="FollowedHyperlink"/>
    <w:basedOn w:val="DefaultParagraphFont"/>
    <w:rsid w:val="00162F0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F75D8E"/>
  </w:style>
  <w:style w:type="character" w:customStyle="1" w:styleId="ParaNumChar">
    <w:name w:val="ParaNum Char"/>
    <w:link w:val="ParaNum"/>
    <w:locked/>
    <w:rsid w:val="00F75D8E"/>
    <w:rPr>
      <w:snapToGrid w:val="0"/>
      <w:kern w:val="28"/>
      <w:sz w:val="22"/>
    </w:rPr>
  </w:style>
  <w:style w:type="character" w:customStyle="1" w:styleId="HeaderChar">
    <w:name w:val="Header Char"/>
    <w:basedOn w:val="DefaultParagraphFont"/>
    <w:link w:val="Header"/>
    <w:rsid w:val="00F75D8E"/>
    <w:rPr>
      <w:rFonts w:ascii="Arial" w:hAnsi="Arial" w:cs="Arial"/>
      <w:b/>
      <w:snapToGrid w:val="0"/>
      <w:kern w:val="28"/>
      <w:sz w:val="96"/>
    </w:rPr>
  </w:style>
  <w:style w:type="character" w:styleId="CommentReference">
    <w:name w:val="annotation reference"/>
    <w:basedOn w:val="DefaultParagraphFont"/>
    <w:rsid w:val="00B6697C"/>
    <w:rPr>
      <w:sz w:val="16"/>
      <w:szCs w:val="16"/>
    </w:rPr>
  </w:style>
  <w:style w:type="paragraph" w:styleId="CommentText">
    <w:name w:val="annotation text"/>
    <w:basedOn w:val="Normal"/>
    <w:link w:val="CommentTextChar"/>
    <w:rsid w:val="00B6697C"/>
    <w:rPr>
      <w:sz w:val="20"/>
    </w:rPr>
  </w:style>
  <w:style w:type="character" w:customStyle="1" w:styleId="CommentTextChar">
    <w:name w:val="Comment Text Char"/>
    <w:basedOn w:val="DefaultParagraphFont"/>
    <w:link w:val="CommentText"/>
    <w:rsid w:val="00B6697C"/>
    <w:rPr>
      <w:snapToGrid w:val="0"/>
      <w:kern w:val="28"/>
    </w:rPr>
  </w:style>
  <w:style w:type="paragraph" w:styleId="CommentSubject">
    <w:name w:val="annotation subject"/>
    <w:basedOn w:val="CommentText"/>
    <w:next w:val="CommentText"/>
    <w:link w:val="CommentSubjectChar"/>
    <w:rsid w:val="00B6697C"/>
    <w:rPr>
      <w:b/>
      <w:bCs/>
    </w:rPr>
  </w:style>
  <w:style w:type="character" w:customStyle="1" w:styleId="CommentSubjectChar">
    <w:name w:val="Comment Subject Char"/>
    <w:basedOn w:val="CommentTextChar"/>
    <w:link w:val="CommentSubject"/>
    <w:rsid w:val="00B6697C"/>
    <w:rPr>
      <w:b/>
      <w:bCs/>
      <w:snapToGrid w:val="0"/>
      <w:kern w:val="28"/>
    </w:rPr>
  </w:style>
  <w:style w:type="character" w:styleId="FollowedHyperlink">
    <w:name w:val="FollowedHyperlink"/>
    <w:basedOn w:val="DefaultParagraphFont"/>
    <w:rsid w:val="00162F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tha.stancill@fcc.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elissa.dunford@fcc.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cc.gov/auctions/100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cc.gov/auctions/1001"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2939</Characters>
  <Application>Microsoft Office Word</Application>
  <DocSecurity>0</DocSecurity>
  <Lines>59</Lines>
  <Paragraphs>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2016-03-04T18:08:00Z</dcterms:created>
  <dcterms:modified xsi:type="dcterms:W3CDTF">2016-03-04T18:08:00Z</dcterms:modified>
  <cp:category> </cp:category>
  <cp:contentStatus> </cp:contentStatus>
</cp:coreProperties>
</file>