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704B1" w:rsidRDefault="00E704B1" w:rsidP="00E704B1">
            <w:pPr>
              <w:tabs>
                <w:tab w:val="center" w:pos="4680"/>
              </w:tabs>
              <w:suppressAutoHyphens/>
              <w:rPr>
                <w:spacing w:val="-2"/>
              </w:rPr>
            </w:pPr>
            <w:r>
              <w:rPr>
                <w:spacing w:val="-2"/>
              </w:rPr>
              <w:t>Closed Captioning of Video Programming</w:t>
            </w:r>
          </w:p>
          <w:p w:rsidR="00E704B1" w:rsidRDefault="00E704B1" w:rsidP="00E704B1">
            <w:pPr>
              <w:tabs>
                <w:tab w:val="center" w:pos="4680"/>
              </w:tabs>
              <w:suppressAutoHyphens/>
              <w:rPr>
                <w:spacing w:val="-2"/>
              </w:rPr>
            </w:pPr>
          </w:p>
          <w:p w:rsidR="00E704B1" w:rsidRDefault="00E704B1" w:rsidP="00E704B1">
            <w:pPr>
              <w:tabs>
                <w:tab w:val="center" w:pos="4680"/>
              </w:tabs>
              <w:suppressAutoHyphens/>
              <w:rPr>
                <w:spacing w:val="-2"/>
              </w:rPr>
            </w:pPr>
            <w:r>
              <w:rPr>
                <w:spacing w:val="-2"/>
              </w:rPr>
              <w:t>Telecommunications for the Deaf and Hard of Hearing, Inc.</w:t>
            </w:r>
          </w:p>
          <w:p w:rsidR="004C2EE3" w:rsidRPr="007115F7" w:rsidRDefault="00E704B1" w:rsidP="00E704B1">
            <w:pPr>
              <w:tabs>
                <w:tab w:val="center" w:pos="4680"/>
              </w:tabs>
              <w:suppressAutoHyphens/>
              <w:rPr>
                <w:spacing w:val="-2"/>
              </w:rPr>
            </w:pPr>
            <w:r>
              <w:rPr>
                <w:spacing w:val="-2"/>
              </w:rPr>
              <w:t>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E704B1">
            <w:pPr>
              <w:tabs>
                <w:tab w:val="center" w:pos="4680"/>
              </w:tabs>
              <w:suppressAutoHyphens/>
              <w:rPr>
                <w:spacing w:val="-2"/>
              </w:rPr>
            </w:pPr>
            <w:r>
              <w:rPr>
                <w:spacing w:val="-2"/>
              </w:rPr>
              <w:t>CG Docket No. 05-231</w:t>
            </w:r>
          </w:p>
        </w:tc>
      </w:tr>
    </w:tbl>
    <w:p w:rsidR="004C2EE3" w:rsidRDefault="004C2EE3" w:rsidP="0070224F"/>
    <w:p w:rsidR="00E704B1" w:rsidRDefault="00E704B1" w:rsidP="00E704B1">
      <w:pPr>
        <w:pStyle w:val="StyleBoldCentered"/>
      </w:pPr>
      <w:r>
        <w:t>ERRATUM</w:t>
      </w:r>
    </w:p>
    <w:p w:rsidR="004C2EE3" w:rsidRDefault="004C2EE3">
      <w:pPr>
        <w:tabs>
          <w:tab w:val="left" w:pos="-720"/>
        </w:tabs>
        <w:suppressAutoHyphens/>
        <w:spacing w:line="227" w:lineRule="auto"/>
        <w:rPr>
          <w:spacing w:val="-2"/>
        </w:rPr>
      </w:pPr>
    </w:p>
    <w:p w:rsidR="004C2EE3" w:rsidRDefault="00822CE0" w:rsidP="00BF0AB8">
      <w:pPr>
        <w:suppressAutoHyphens/>
        <w:spacing w:line="227" w:lineRule="auto"/>
        <w:jc w:val="right"/>
        <w:rPr>
          <w:spacing w:val="-2"/>
        </w:rPr>
      </w:pPr>
      <w:r>
        <w:rPr>
          <w:b/>
          <w:spacing w:val="-2"/>
        </w:rPr>
        <w:t>Released</w:t>
      </w:r>
      <w:r w:rsidR="004C2EE3">
        <w:rPr>
          <w:b/>
          <w:spacing w:val="-2"/>
        </w:rPr>
        <w:t>:</w:t>
      </w:r>
      <w:r>
        <w:rPr>
          <w:b/>
          <w:spacing w:val="-2"/>
        </w:rPr>
        <w:t xml:space="preserve"> </w:t>
      </w:r>
      <w:r w:rsidR="004C2EE3">
        <w:rPr>
          <w:b/>
          <w:spacing w:val="-2"/>
        </w:rPr>
        <w:t xml:space="preserve"> </w:t>
      </w:r>
      <w:r w:rsidR="00346BBF">
        <w:rPr>
          <w:b/>
          <w:spacing w:val="-2"/>
        </w:rPr>
        <w:t>March 2, 2016</w:t>
      </w:r>
    </w:p>
    <w:p w:rsidR="00822CE0" w:rsidRDefault="00822CE0"/>
    <w:p w:rsidR="00E704B1" w:rsidRDefault="004C2EE3" w:rsidP="00E704B1">
      <w:pPr>
        <w:rPr>
          <w:spacing w:val="-2"/>
        </w:rPr>
      </w:pPr>
      <w:r>
        <w:t xml:space="preserve">By </w:t>
      </w:r>
      <w:r w:rsidR="004E4A22">
        <w:t>the</w:t>
      </w:r>
      <w:r w:rsidR="002A2D2E">
        <w:t xml:space="preserve"> </w:t>
      </w:r>
      <w:r w:rsidR="003B3A21">
        <w:rPr>
          <w:szCs w:val="22"/>
        </w:rPr>
        <w:t>Deputy</w:t>
      </w:r>
      <w:r w:rsidR="00E704B1">
        <w:rPr>
          <w:szCs w:val="22"/>
        </w:rPr>
        <w:t xml:space="preserve"> Chief, Consumer and Governmental Affairs Bureau</w:t>
      </w:r>
      <w:r w:rsidR="00E704B1">
        <w:rPr>
          <w:spacing w:val="-2"/>
        </w:rPr>
        <w:t>:</w:t>
      </w:r>
    </w:p>
    <w:p w:rsidR="004C2EE3" w:rsidRDefault="004C2EE3">
      <w:pPr>
        <w:rPr>
          <w:spacing w:val="-2"/>
        </w:rPr>
      </w:pPr>
    </w:p>
    <w:p w:rsidR="00E704B1" w:rsidRDefault="00E704B1" w:rsidP="00E704B1">
      <w:pPr>
        <w:ind w:firstLine="720"/>
        <w:rPr>
          <w:szCs w:val="22"/>
        </w:rPr>
      </w:pPr>
      <w:r>
        <w:rPr>
          <w:szCs w:val="22"/>
        </w:rPr>
        <w:t xml:space="preserve">On February 19, 2016, the Commission released a </w:t>
      </w:r>
      <w:r>
        <w:rPr>
          <w:i/>
          <w:szCs w:val="22"/>
        </w:rPr>
        <w:t>Second Report and Order</w:t>
      </w:r>
      <w:r w:rsidR="00BF0AB8">
        <w:rPr>
          <w:i/>
          <w:szCs w:val="22"/>
        </w:rPr>
        <w:t xml:space="preserve"> (Second R&amp;O)</w:t>
      </w:r>
      <w:r>
        <w:rPr>
          <w:szCs w:val="22"/>
        </w:rPr>
        <w:t>, FCC 1</w:t>
      </w:r>
      <w:r w:rsidR="006C3A7D">
        <w:rPr>
          <w:szCs w:val="22"/>
        </w:rPr>
        <w:t>6-17</w:t>
      </w:r>
      <w:r>
        <w:rPr>
          <w:szCs w:val="22"/>
        </w:rPr>
        <w:t xml:space="preserve">, in the above-captioned proceeding.  This Erratum </w:t>
      </w:r>
      <w:r w:rsidR="0010289E">
        <w:t>correct</w:t>
      </w:r>
      <w:r>
        <w:rPr>
          <w:szCs w:val="22"/>
        </w:rPr>
        <w:t xml:space="preserve">s </w:t>
      </w:r>
      <w:r w:rsidR="0010289E">
        <w:rPr>
          <w:szCs w:val="22"/>
        </w:rPr>
        <w:t>p</w:t>
      </w:r>
      <w:r w:rsidR="0010289E">
        <w:t xml:space="preserve">aragraph 86 in </w:t>
      </w:r>
      <w:r>
        <w:rPr>
          <w:szCs w:val="22"/>
        </w:rPr>
        <w:t xml:space="preserve">the </w:t>
      </w:r>
      <w:r w:rsidR="00BF0AB8">
        <w:rPr>
          <w:i/>
          <w:szCs w:val="22"/>
        </w:rPr>
        <w:t>Second R&amp;O</w:t>
      </w:r>
      <w:r>
        <w:rPr>
          <w:i/>
          <w:szCs w:val="22"/>
        </w:rPr>
        <w:t xml:space="preserve"> </w:t>
      </w:r>
      <w:r w:rsidR="0010289E">
        <w:t xml:space="preserve">to read </w:t>
      </w:r>
      <w:r>
        <w:rPr>
          <w:szCs w:val="22"/>
        </w:rPr>
        <w:t>as follows:</w:t>
      </w:r>
    </w:p>
    <w:p w:rsidR="00E704B1" w:rsidRDefault="00E704B1" w:rsidP="00E704B1">
      <w:pPr>
        <w:ind w:firstLine="720"/>
        <w:rPr>
          <w:szCs w:val="22"/>
        </w:rPr>
      </w:pPr>
    </w:p>
    <w:p w:rsidR="00E704B1" w:rsidRDefault="00BF0AB8" w:rsidP="00BF0AB8">
      <w:pPr>
        <w:spacing w:after="120"/>
        <w:ind w:left="810" w:hanging="90"/>
        <w:rPr>
          <w:szCs w:val="22"/>
        </w:rPr>
      </w:pPr>
      <w:r>
        <w:t>“</w:t>
      </w:r>
      <w:r w:rsidR="006C3A7D">
        <w:t>86</w:t>
      </w:r>
      <w:r w:rsidR="00E704B1">
        <w:t>.</w:t>
      </w:r>
      <w:r w:rsidR="00E704B1">
        <w:tab/>
      </w:r>
      <w:r w:rsidR="006C3A7D">
        <w:rPr>
          <w:i/>
        </w:rPr>
        <w:t xml:space="preserve">Final </w:t>
      </w:r>
      <w:r w:rsidR="006C3A7D">
        <w:rPr>
          <w:i/>
          <w:szCs w:val="22"/>
        </w:rPr>
        <w:t xml:space="preserve">Regulatory Flexibility Analysis.  </w:t>
      </w:r>
      <w:r w:rsidR="006C3A7D">
        <w:rPr>
          <w:szCs w:val="22"/>
        </w:rPr>
        <w:t xml:space="preserve">With respect to this Second Report and Order, a Final Regulatory Flexibility Analysis (FRFA) is contained </w:t>
      </w:r>
      <w:r w:rsidR="006C3A7D" w:rsidRPr="00DA62FE">
        <w:rPr>
          <w:szCs w:val="22"/>
        </w:rPr>
        <w:t xml:space="preserve">in Appendix </w:t>
      </w:r>
      <w:r w:rsidR="006C3A7D">
        <w:rPr>
          <w:szCs w:val="22"/>
        </w:rPr>
        <w:t>C</w:t>
      </w:r>
      <w:r w:rsidR="006C3A7D" w:rsidRPr="00DA62FE">
        <w:rPr>
          <w:szCs w:val="22"/>
        </w:rPr>
        <w:t>.  As</w:t>
      </w:r>
      <w:r w:rsidR="006C3A7D">
        <w:rPr>
          <w:szCs w:val="22"/>
        </w:rPr>
        <w:t xml:space="preserve"> required by Section 603 of the Regulatory Flexibility Act, the Commission has prepared a</w:t>
      </w:r>
      <w:r w:rsidR="00EC6877">
        <w:rPr>
          <w:szCs w:val="22"/>
        </w:rPr>
        <w:t>n</w:t>
      </w:r>
      <w:r w:rsidR="006C3A7D">
        <w:rPr>
          <w:szCs w:val="22"/>
        </w:rPr>
        <w:t xml:space="preserve"> FRFA of the expected impact on small entities of the requirements adopted in this Second Report and Order.  The Commission will send a copy of the Second Report and Order, including the FRFA, to the Chief Counsel for Advocacy of the Small Business Administration.</w:t>
      </w:r>
      <w:r>
        <w:rPr>
          <w:szCs w:val="22"/>
        </w:rPr>
        <w:t>”</w:t>
      </w:r>
    </w:p>
    <w:p w:rsidR="00BF0AB8" w:rsidRDefault="00BF0AB8" w:rsidP="0010289E">
      <w:pPr>
        <w:spacing w:after="120"/>
        <w:ind w:firstLine="720"/>
      </w:pPr>
      <w:r>
        <w:rPr>
          <w:szCs w:val="22"/>
        </w:rPr>
        <w:t xml:space="preserve">This Erratum also </w:t>
      </w:r>
      <w:r w:rsidR="0010289E">
        <w:t>correct</w:t>
      </w:r>
      <w:r>
        <w:rPr>
          <w:szCs w:val="22"/>
        </w:rPr>
        <w:t xml:space="preserve">s </w:t>
      </w:r>
      <w:r w:rsidR="0010289E">
        <w:t xml:space="preserve">paragraph (3), under Section 79.1(m), in </w:t>
      </w:r>
      <w:r w:rsidRPr="0010289E">
        <w:rPr>
          <w:b/>
          <w:szCs w:val="22"/>
        </w:rPr>
        <w:t>A</w:t>
      </w:r>
      <w:r w:rsidR="0010289E" w:rsidRPr="0010289E">
        <w:rPr>
          <w:b/>
          <w:szCs w:val="22"/>
        </w:rPr>
        <w:t>PPENDIX</w:t>
      </w:r>
      <w:r w:rsidRPr="0010289E">
        <w:rPr>
          <w:b/>
          <w:szCs w:val="22"/>
        </w:rPr>
        <w:t xml:space="preserve"> B</w:t>
      </w:r>
      <w:r>
        <w:rPr>
          <w:szCs w:val="22"/>
        </w:rPr>
        <w:t xml:space="preserve"> of the </w:t>
      </w:r>
      <w:r w:rsidRPr="00BF0AB8">
        <w:rPr>
          <w:i/>
          <w:szCs w:val="22"/>
        </w:rPr>
        <w:t>Second R&amp;O</w:t>
      </w:r>
      <w:r>
        <w:rPr>
          <w:szCs w:val="22"/>
        </w:rPr>
        <w:t xml:space="preserve"> </w:t>
      </w:r>
      <w:r w:rsidR="0010289E">
        <w:t xml:space="preserve">to read </w:t>
      </w:r>
      <w:r>
        <w:rPr>
          <w:szCs w:val="22"/>
        </w:rPr>
        <w:t>as follows:</w:t>
      </w:r>
    </w:p>
    <w:p w:rsidR="00E704B1" w:rsidRDefault="00BF0AB8" w:rsidP="00BF0AB8">
      <w:pPr>
        <w:spacing w:after="120"/>
        <w:ind w:left="810" w:hanging="90"/>
      </w:pPr>
      <w:r>
        <w:t>“</w:t>
      </w:r>
      <w:r w:rsidR="00E704B1" w:rsidRPr="00891774">
        <w:t>(</w:t>
      </w:r>
      <w:r w:rsidR="006C3A7D">
        <w:t>3</w:t>
      </w:r>
      <w:r w:rsidR="00E704B1" w:rsidRPr="00891774">
        <w:t xml:space="preserve">) </w:t>
      </w:r>
      <w:r w:rsidR="00230D21" w:rsidRPr="001D320A">
        <w:t>A television broadcast station licensed pursuant to part 73 of this chapter</w:t>
      </w:r>
      <w:r w:rsidR="00230D21">
        <w:t xml:space="preserve"> or a low power television</w:t>
      </w:r>
      <w:r w:rsidR="00C8729A">
        <w:t xml:space="preserve"> broadcast</w:t>
      </w:r>
      <w:r w:rsidR="00230D21">
        <w:t xml:space="preserve"> station licensed pursuant to part 74 subpart G of this chapter</w:t>
      </w:r>
      <w:r w:rsidR="00230D21" w:rsidRPr="001D320A">
        <w:t>, or the owner of</w:t>
      </w:r>
      <w:r w:rsidR="00230D21">
        <w:t xml:space="preserve"> either</w:t>
      </w:r>
      <w:r w:rsidR="00230D21" w:rsidRPr="001D320A">
        <w:t xml:space="preserve"> such station, is not required to provide a certification for video programming that is broadcast by the television broadcast station.</w:t>
      </w:r>
      <w:r>
        <w:t>”</w:t>
      </w:r>
    </w:p>
    <w:p w:rsidR="00E704B1" w:rsidRDefault="00E704B1" w:rsidP="00E704B1">
      <w:pPr>
        <w:pStyle w:val="ParaNum"/>
        <w:numPr>
          <w:ilvl w:val="0"/>
          <w:numId w:val="0"/>
        </w:numPr>
        <w:tabs>
          <w:tab w:val="left" w:pos="720"/>
        </w:tabs>
        <w:ind w:firstLine="720"/>
      </w:pPr>
    </w:p>
    <w:p w:rsidR="00E704B1" w:rsidRDefault="00E704B1" w:rsidP="00E704B1">
      <w:pPr>
        <w:pStyle w:val="ParaNum"/>
        <w:keepNext/>
        <w:widowControl/>
        <w:numPr>
          <w:ilvl w:val="0"/>
          <w:numId w:val="0"/>
        </w:numPr>
        <w:ind w:left="-9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FEDERAL COMMUNICATIONS COMMISSION</w:t>
      </w:r>
    </w:p>
    <w:p w:rsidR="00E704B1" w:rsidRDefault="00E704B1" w:rsidP="00E704B1">
      <w:pPr>
        <w:pStyle w:val="ParaNum"/>
        <w:keepNext/>
        <w:widowControl/>
        <w:numPr>
          <w:ilvl w:val="0"/>
          <w:numId w:val="0"/>
        </w:numPr>
        <w:ind w:left="-90"/>
        <w:rPr>
          <w:color w:val="000000"/>
          <w:szCs w:val="22"/>
        </w:rPr>
      </w:pPr>
    </w:p>
    <w:p w:rsidR="00E704B1" w:rsidRDefault="00E704B1" w:rsidP="00E704B1">
      <w:pPr>
        <w:pStyle w:val="ParaNum"/>
        <w:keepNext/>
        <w:widowControl/>
        <w:numPr>
          <w:ilvl w:val="0"/>
          <w:numId w:val="0"/>
        </w:numPr>
        <w:ind w:left="-90"/>
        <w:rPr>
          <w:color w:val="000000"/>
          <w:szCs w:val="22"/>
        </w:rPr>
      </w:pPr>
    </w:p>
    <w:p w:rsidR="00E704B1" w:rsidRDefault="00E704B1" w:rsidP="00E704B1">
      <w:pPr>
        <w:pStyle w:val="ParaNum"/>
        <w:keepNext/>
        <w:widowControl/>
        <w:numPr>
          <w:ilvl w:val="0"/>
          <w:numId w:val="0"/>
        </w:numPr>
        <w:ind w:left="-90"/>
        <w:rPr>
          <w:color w:val="000000"/>
          <w:szCs w:val="22"/>
        </w:rPr>
      </w:pPr>
    </w:p>
    <w:p w:rsidR="00E704B1" w:rsidRDefault="00E704B1" w:rsidP="00E704B1">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B008D9">
        <w:t>Karen Peltz Strauss</w:t>
      </w:r>
    </w:p>
    <w:p w:rsidR="00E704B1" w:rsidRDefault="00B008D9" w:rsidP="00E704B1">
      <w:pPr>
        <w:ind w:left="3600" w:firstLine="720"/>
      </w:pPr>
      <w:r>
        <w:t>Deputy</w:t>
      </w:r>
      <w:r w:rsidR="00E704B1">
        <w:t xml:space="preserve"> Chief</w:t>
      </w:r>
    </w:p>
    <w:p w:rsidR="00E704B1" w:rsidRDefault="00E704B1" w:rsidP="00E704B1">
      <w:pPr>
        <w:pStyle w:val="ParaNum"/>
        <w:keepNext/>
        <w:widowControl/>
        <w:numPr>
          <w:ilvl w:val="0"/>
          <w:numId w:val="0"/>
        </w:numPr>
        <w:spacing w:after="0"/>
        <w:ind w:left="3600" w:firstLine="720"/>
      </w:pPr>
      <w:r>
        <w:t>Consumer and Governmental Affairs Bureau</w:t>
      </w:r>
    </w:p>
    <w:p w:rsidR="002C00E8" w:rsidRPr="002C00E8" w:rsidRDefault="002C00E8" w:rsidP="00E704B1">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72" w:rsidRDefault="00F87772">
      <w:pPr>
        <w:spacing w:line="20" w:lineRule="exact"/>
      </w:pPr>
    </w:p>
  </w:endnote>
  <w:endnote w:type="continuationSeparator" w:id="0">
    <w:p w:rsidR="00F87772" w:rsidRDefault="00F87772">
      <w:r>
        <w:t xml:space="preserve"> </w:t>
      </w:r>
    </w:p>
  </w:endnote>
  <w:endnote w:type="continuationNotice" w:id="1">
    <w:p w:rsidR="00F87772" w:rsidRDefault="00F877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C3A7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72" w:rsidRDefault="00F87772">
      <w:r>
        <w:separator/>
      </w:r>
    </w:p>
  </w:footnote>
  <w:footnote w:type="continuationSeparator" w:id="0">
    <w:p w:rsidR="00F87772" w:rsidRDefault="00F87772" w:rsidP="00C721AC">
      <w:pPr>
        <w:spacing w:before="120"/>
        <w:rPr>
          <w:sz w:val="20"/>
        </w:rPr>
      </w:pPr>
      <w:r>
        <w:rPr>
          <w:sz w:val="20"/>
        </w:rPr>
        <w:t xml:space="preserve">(Continued from previous page)  </w:t>
      </w:r>
      <w:r>
        <w:rPr>
          <w:sz w:val="20"/>
        </w:rPr>
        <w:separator/>
      </w:r>
    </w:p>
  </w:footnote>
  <w:footnote w:type="continuationNotice" w:id="1">
    <w:p w:rsidR="00F87772" w:rsidRDefault="00F8777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D2" w:rsidRDefault="00887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568C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7357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568C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E530D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B1"/>
    <w:rsid w:val="00036039"/>
    <w:rsid w:val="00037F90"/>
    <w:rsid w:val="000875BF"/>
    <w:rsid w:val="00096D8C"/>
    <w:rsid w:val="000C0B65"/>
    <w:rsid w:val="000E05FE"/>
    <w:rsid w:val="000E3D42"/>
    <w:rsid w:val="0010289E"/>
    <w:rsid w:val="00122BD5"/>
    <w:rsid w:val="00133F79"/>
    <w:rsid w:val="0014157D"/>
    <w:rsid w:val="00194A66"/>
    <w:rsid w:val="001D6BCF"/>
    <w:rsid w:val="001E01CA"/>
    <w:rsid w:val="001E3E2E"/>
    <w:rsid w:val="00230D21"/>
    <w:rsid w:val="00275CF5"/>
    <w:rsid w:val="0028301F"/>
    <w:rsid w:val="00285017"/>
    <w:rsid w:val="00291CBE"/>
    <w:rsid w:val="002A2D2E"/>
    <w:rsid w:val="002C00E8"/>
    <w:rsid w:val="00343749"/>
    <w:rsid w:val="00346BBF"/>
    <w:rsid w:val="003660ED"/>
    <w:rsid w:val="003B0550"/>
    <w:rsid w:val="003B3A21"/>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C3A7D"/>
    <w:rsid w:val="006F38F8"/>
    <w:rsid w:val="006F7393"/>
    <w:rsid w:val="0070224F"/>
    <w:rsid w:val="007115F7"/>
    <w:rsid w:val="00785689"/>
    <w:rsid w:val="0079754B"/>
    <w:rsid w:val="007A1E6D"/>
    <w:rsid w:val="007B0EB2"/>
    <w:rsid w:val="00810B6F"/>
    <w:rsid w:val="00822CE0"/>
    <w:rsid w:val="00841AB1"/>
    <w:rsid w:val="008875D2"/>
    <w:rsid w:val="008C68F1"/>
    <w:rsid w:val="00921803"/>
    <w:rsid w:val="00926503"/>
    <w:rsid w:val="009726D8"/>
    <w:rsid w:val="009F76DB"/>
    <w:rsid w:val="00A32C3B"/>
    <w:rsid w:val="00A45F4F"/>
    <w:rsid w:val="00A600A9"/>
    <w:rsid w:val="00A64BCC"/>
    <w:rsid w:val="00AA55B7"/>
    <w:rsid w:val="00AA5B9E"/>
    <w:rsid w:val="00AB2407"/>
    <w:rsid w:val="00AB53DF"/>
    <w:rsid w:val="00B008D9"/>
    <w:rsid w:val="00B07E5C"/>
    <w:rsid w:val="00B811F7"/>
    <w:rsid w:val="00BA5DC6"/>
    <w:rsid w:val="00BA6196"/>
    <w:rsid w:val="00BC6D8C"/>
    <w:rsid w:val="00BF0AB8"/>
    <w:rsid w:val="00C34006"/>
    <w:rsid w:val="00C426B1"/>
    <w:rsid w:val="00C66160"/>
    <w:rsid w:val="00C721AC"/>
    <w:rsid w:val="00C8729A"/>
    <w:rsid w:val="00C90D6A"/>
    <w:rsid w:val="00CA247E"/>
    <w:rsid w:val="00CC72B6"/>
    <w:rsid w:val="00D0218D"/>
    <w:rsid w:val="00D25FB5"/>
    <w:rsid w:val="00D44223"/>
    <w:rsid w:val="00DA2529"/>
    <w:rsid w:val="00DB130A"/>
    <w:rsid w:val="00DB2EBB"/>
    <w:rsid w:val="00DB69A7"/>
    <w:rsid w:val="00DC10A1"/>
    <w:rsid w:val="00DC655F"/>
    <w:rsid w:val="00DD0B59"/>
    <w:rsid w:val="00DD7EBD"/>
    <w:rsid w:val="00DF62B6"/>
    <w:rsid w:val="00E07225"/>
    <w:rsid w:val="00E5409F"/>
    <w:rsid w:val="00E568C2"/>
    <w:rsid w:val="00E704B1"/>
    <w:rsid w:val="00E7790C"/>
    <w:rsid w:val="00EC6877"/>
    <w:rsid w:val="00EE6488"/>
    <w:rsid w:val="00F021FA"/>
    <w:rsid w:val="00F62E97"/>
    <w:rsid w:val="00F64209"/>
    <w:rsid w:val="00F8777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E704B1"/>
  </w:style>
  <w:style w:type="character" w:customStyle="1" w:styleId="ParaNumChar1">
    <w:name w:val="ParaNum Char1"/>
    <w:link w:val="ParaNum"/>
    <w:rsid w:val="00E704B1"/>
    <w:rPr>
      <w:snapToGrid w:val="0"/>
      <w:kern w:val="28"/>
      <w:sz w:val="22"/>
    </w:rPr>
  </w:style>
  <w:style w:type="paragraph" w:styleId="BalloonText">
    <w:name w:val="Balloon Text"/>
    <w:basedOn w:val="Normal"/>
    <w:link w:val="BalloonTextChar"/>
    <w:rsid w:val="0010289E"/>
    <w:rPr>
      <w:rFonts w:ascii="Segoe UI" w:hAnsi="Segoe UI" w:cs="Segoe UI"/>
      <w:sz w:val="18"/>
      <w:szCs w:val="18"/>
    </w:rPr>
  </w:style>
  <w:style w:type="character" w:customStyle="1" w:styleId="BalloonTextChar">
    <w:name w:val="Balloon Text Char"/>
    <w:basedOn w:val="DefaultParagraphFont"/>
    <w:link w:val="BalloonText"/>
    <w:rsid w:val="0010289E"/>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E704B1"/>
  </w:style>
  <w:style w:type="character" w:customStyle="1" w:styleId="ParaNumChar1">
    <w:name w:val="ParaNum Char1"/>
    <w:link w:val="ParaNum"/>
    <w:rsid w:val="00E704B1"/>
    <w:rPr>
      <w:snapToGrid w:val="0"/>
      <w:kern w:val="28"/>
      <w:sz w:val="22"/>
    </w:rPr>
  </w:style>
  <w:style w:type="paragraph" w:styleId="BalloonText">
    <w:name w:val="Balloon Text"/>
    <w:basedOn w:val="Normal"/>
    <w:link w:val="BalloonTextChar"/>
    <w:rsid w:val="0010289E"/>
    <w:rPr>
      <w:rFonts w:ascii="Segoe UI" w:hAnsi="Segoe UI" w:cs="Segoe UI"/>
      <w:sz w:val="18"/>
      <w:szCs w:val="18"/>
    </w:rPr>
  </w:style>
  <w:style w:type="character" w:customStyle="1" w:styleId="BalloonTextChar">
    <w:name w:val="Balloon Text Char"/>
    <w:basedOn w:val="DefaultParagraphFont"/>
    <w:link w:val="BalloonText"/>
    <w:rsid w:val="0010289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260</Words>
  <Characters>1371</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2016-03-02T20:02:00Z</cp:lastPrinted>
  <dcterms:created xsi:type="dcterms:W3CDTF">2016-03-02T20:09:00Z</dcterms:created>
  <dcterms:modified xsi:type="dcterms:W3CDTF">2016-03-02T20:09:00Z</dcterms:modified>
  <cp:category> </cp:category>
  <cp:contentStatus> </cp:contentStatus>
</cp:coreProperties>
</file>