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1" w:rsidRPr="008A3ADE" w:rsidRDefault="00956971" w:rsidP="00956971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1095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2700"/>
        <w:gridCol w:w="1350"/>
        <w:gridCol w:w="360"/>
        <w:gridCol w:w="450"/>
        <w:gridCol w:w="360"/>
        <w:gridCol w:w="1710"/>
        <w:gridCol w:w="270"/>
      </w:tblGrid>
      <w:tr w:rsidR="00956971" w:rsidRPr="00DD2C00" w:rsidTr="006035EE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7"/>
            <w:tcBorders>
              <w:top w:val="single" w:sz="24" w:space="0" w:color="auto"/>
              <w:bottom w:val="nil"/>
            </w:tcBorders>
          </w:tcPr>
          <w:p w:rsidR="002034FE" w:rsidRPr="00C43612" w:rsidRDefault="00A5314C" w:rsidP="00956971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</w:pPr>
            <w:r w:rsidRPr="00C43612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Banda ancha: datos</w:t>
            </w:r>
          </w:p>
          <w:p w:rsidR="002034FE" w:rsidRPr="00C43612" w:rsidRDefault="00C43612" w:rsidP="00863F5B">
            <w:pPr>
              <w:pStyle w:val="Header"/>
              <w:rPr>
                <w:rFonts w:ascii="Arial" w:eastAsia="Meiryo UI" w:hAnsi="Arial" w:cs="Arial"/>
                <w:sz w:val="22"/>
                <w:lang w:val="es-CL"/>
              </w:rPr>
            </w:pPr>
            <w:r w:rsidRPr="00C43612">
              <w:rPr>
                <w:rFonts w:ascii="Arial" w:eastAsia="Meiryo UI" w:hAnsi="Arial" w:cs="Arial"/>
                <w:sz w:val="22"/>
                <w:lang w:val="es-CL"/>
              </w:rPr>
              <w:t xml:space="preserve">Banda ancha fija </w:t>
            </w:r>
            <w:r>
              <w:rPr>
                <w:rFonts w:ascii="Arial" w:eastAsia="Meiryo UI" w:hAnsi="Arial" w:cs="Arial"/>
                <w:sz w:val="22"/>
                <w:lang w:val="es-CL"/>
              </w:rPr>
              <w:t>–</w:t>
            </w:r>
            <w:r w:rsidRPr="00C43612">
              <w:rPr>
                <w:rFonts w:ascii="Arial" w:eastAsia="Meiryo UI" w:hAnsi="Arial" w:cs="Arial"/>
                <w:sz w:val="22"/>
                <w:lang w:val="es-CL"/>
              </w:rPr>
              <w:t xml:space="preserve"> Informaci</w:t>
            </w:r>
            <w:r>
              <w:rPr>
                <w:rFonts w:ascii="Arial" w:eastAsia="Meiryo UI" w:hAnsi="Arial" w:cs="Arial"/>
                <w:sz w:val="22"/>
                <w:lang w:val="es-CL"/>
              </w:rPr>
              <w:t>ón de transparencia para el consumidor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956971" w:rsidRPr="00C43612" w:rsidRDefault="00956971" w:rsidP="00956971">
            <w:pPr>
              <w:pStyle w:val="Header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956971" w:rsidRPr="00DD2C00" w:rsidTr="006035EE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956971" w:rsidRPr="00C43612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734" w:type="dxa"/>
            <w:gridSpan w:val="6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C43612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C43612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956971" w:rsidRPr="00C43612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58436C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58436C" w:rsidRPr="00C43612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10444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8436C" w:rsidRPr="00C43612" w:rsidRDefault="00C43612" w:rsidP="00E87BF8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  <w:lang w:val="es-CL"/>
              </w:rPr>
            </w:pPr>
            <w:r w:rsidRPr="00C43612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 xml:space="preserve">Elija su plan de servicios para el nivel de </w:t>
            </w:r>
            <w:r w:rsidR="001C7568" w:rsidRPr="00C43612">
              <w:rPr>
                <w:rFonts w:ascii="Arial Black" w:eastAsia="Meiryo UI" w:hAnsi="Arial Black" w:cs="Arial"/>
                <w:b/>
                <w:color w:val="FF0000"/>
                <w:sz w:val="22"/>
                <w:szCs w:val="22"/>
                <w:lang w:val="es-CL"/>
              </w:rPr>
              <w:t>[</w:t>
            </w:r>
            <w:r w:rsidR="006506E7">
              <w:rPr>
                <w:rFonts w:ascii="Arial Black" w:eastAsia="Meiryo UI" w:hAnsi="Arial Black" w:cs="Arial"/>
                <w:b/>
                <w:i/>
                <w:color w:val="FF0000"/>
                <w:sz w:val="22"/>
                <w:szCs w:val="22"/>
                <w:lang w:val="es-CL"/>
              </w:rPr>
              <w:t>indique el nivel de</w:t>
            </w:r>
            <w:r>
              <w:rPr>
                <w:rFonts w:ascii="Arial Black" w:eastAsia="Meiryo UI" w:hAnsi="Arial Black" w:cs="Arial"/>
                <w:b/>
                <w:i/>
                <w:color w:val="FF0000"/>
                <w:sz w:val="22"/>
                <w:szCs w:val="22"/>
                <w:lang w:val="es-CL"/>
              </w:rPr>
              <w:t xml:space="preserve"> velocidad</w:t>
            </w:r>
            <w:r w:rsidR="001C7568" w:rsidRPr="00C43612">
              <w:rPr>
                <w:rFonts w:ascii="Arial Black" w:eastAsia="Meiryo UI" w:hAnsi="Arial Black" w:cs="Arial"/>
                <w:b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58436C" w:rsidRPr="00C43612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950964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C43612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0712" w:rsidRPr="006506E7" w:rsidRDefault="006506E7" w:rsidP="00D81A0C">
            <w:pPr>
              <w:pStyle w:val="TableParagraph"/>
              <w:tabs>
                <w:tab w:val="left" w:pos="3252"/>
              </w:tabs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6506E7">
              <w:rPr>
                <w:rFonts w:ascii="Arial" w:eastAsia="Calibri" w:hAnsi="Arial" w:cs="Arial"/>
                <w:sz w:val="22"/>
                <w:szCs w:val="22"/>
                <w:lang w:val="es-CL"/>
              </w:rPr>
              <w:t>Pago mensual para plan mes a mes</w:t>
            </w:r>
          </w:p>
          <w:p w:rsidR="00DE1BF4" w:rsidRPr="006506E7" w:rsidRDefault="006506E7" w:rsidP="006506E7">
            <w:pPr>
              <w:pStyle w:val="TableParagraph"/>
              <w:tabs>
                <w:tab w:val="left" w:pos="3252"/>
              </w:tabs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6506E7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[I</w:t>
            </w:r>
            <w:r w:rsidR="009A458A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ndique el precio normal (no promocional) del</w:t>
            </w:r>
            <w:r w:rsidRPr="006506E7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 </w:t>
            </w:r>
            <w:r w:rsidR="00DA1D0B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servicio de banda ancha p</w:t>
            </w:r>
            <w:r w:rsidR="00055C97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or sí</w:t>
            </w:r>
            <w:r w:rsidR="00DA1D0B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 s</w:t>
            </w:r>
            <w:r w:rsidRPr="006506E7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olo (sin agregar ning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ún otro servicio) otorgado mes a mes</w:t>
            </w:r>
            <w:r w:rsidR="00DE1BF4" w:rsidRPr="006506E7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DE1BF4" w:rsidRDefault="00642245" w:rsidP="001C7568">
            <w:pPr>
              <w:pStyle w:val="Header"/>
              <w:spacing w:before="60" w:after="60"/>
              <w:ind w:left="-14"/>
              <w:jc w:val="right"/>
              <w:rPr>
                <w:rFonts w:ascii="Arial Black" w:eastAsia="Meiryo UI" w:hAnsi="Arial Black" w:cs="Arial"/>
                <w:b/>
                <w:i/>
                <w:color w:val="FF0000"/>
                <w:sz w:val="22"/>
                <w:szCs w:val="22"/>
              </w:rPr>
            </w:pPr>
            <w:r w:rsidRPr="00DE1BF4">
              <w:rPr>
                <w:rFonts w:ascii="Arial Black" w:eastAsia="Calibri" w:hAnsi="Arial Black" w:cs="Arial"/>
                <w:b/>
                <w:i/>
                <w:color w:val="FF0000"/>
                <w:sz w:val="22"/>
                <w:szCs w:val="22"/>
              </w:rPr>
              <w:t>$</w:t>
            </w:r>
            <w:r w:rsidR="001C7568" w:rsidRPr="00DE1BF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DE1BF4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4B1183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631C98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74C6" w:rsidRPr="00E87BF8" w:rsidRDefault="00A863D9" w:rsidP="00D81A0C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E87BF8">
              <w:rPr>
                <w:rFonts w:ascii="Arial" w:eastAsia="Calibri" w:hAnsi="Arial" w:cs="Arial"/>
                <w:sz w:val="22"/>
                <w:szCs w:val="22"/>
                <w:lang w:val="es-CL"/>
              </w:rPr>
              <w:t>Pago mensual --</w:t>
            </w:r>
            <w:r w:rsidR="00D32832" w:rsidRPr="00E87BF8">
              <w:rPr>
                <w:rFonts w:ascii="Arial" w:eastAsia="Calibri" w:hAnsi="Arial" w:cs="Arial"/>
                <w:sz w:val="22"/>
                <w:szCs w:val="22"/>
                <w:lang w:val="es-CL"/>
              </w:rPr>
              <w:t xml:space="preserve"> </w:t>
            </w:r>
            <w:r w:rsidR="001C7568" w:rsidRPr="00E87BF8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[ ]</w:t>
            </w:r>
            <w:r w:rsidR="001C7568" w:rsidRPr="00E87BF8"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  <w:t xml:space="preserve"> </w:t>
            </w:r>
            <w:r w:rsidRPr="00E87BF8">
              <w:rPr>
                <w:rFonts w:ascii="Arial" w:eastAsia="Calibri" w:hAnsi="Arial" w:cs="Arial"/>
                <w:sz w:val="22"/>
                <w:szCs w:val="22"/>
                <w:lang w:val="es-CL"/>
              </w:rPr>
              <w:t>plan en base a un contrato</w:t>
            </w:r>
            <w:r w:rsidR="00863F5B" w:rsidRPr="00E87BF8">
              <w:rPr>
                <w:rFonts w:ascii="Arial" w:eastAsia="Calibri" w:hAnsi="Arial" w:cs="Arial"/>
                <w:sz w:val="22"/>
                <w:szCs w:val="22"/>
                <w:lang w:val="es-CL"/>
              </w:rPr>
              <w:t xml:space="preserve"> </w:t>
            </w:r>
          </w:p>
          <w:p w:rsidR="00DE1BF4" w:rsidRPr="0025099C" w:rsidRDefault="00E87BF8" w:rsidP="0025099C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E87BF8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[Identifique la extensión de los contratos de largo plazo disponibles – indique el </w:t>
            </w:r>
            <w:r w:rsidR="0025099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precio de cada plan de servicio</w:t>
            </w:r>
            <w:r w:rsidRPr="00E87BF8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 de largo plazo para banda ancha, sin </w:t>
            </w:r>
            <w:r w:rsidR="0025099C" w:rsidRPr="00E87BF8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agregar</w:t>
            </w:r>
            <w:r w:rsidRPr="00E87BF8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 ningún otro servicio. </w:t>
            </w:r>
            <w:r w:rsidRPr="0025099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Describa cada opción de contrato</w:t>
            </w:r>
            <w:r w:rsidR="00DE1BF4" w:rsidRPr="0025099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 </w:t>
            </w:r>
            <w:r w:rsidR="0025099C" w:rsidRPr="0025099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para banda ancha en una línea separada.</w:t>
            </w:r>
            <w:r w:rsidR="00DE1BF4" w:rsidRPr="0025099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7DB2" w:rsidRPr="00FB7DB2" w:rsidRDefault="00642245" w:rsidP="00FB7DB2">
            <w:pPr>
              <w:pStyle w:val="Header"/>
              <w:spacing w:before="60" w:after="60"/>
              <w:ind w:left="-14"/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B7DB2">
              <w:rPr>
                <w:rFonts w:ascii="Arial Black" w:eastAsia="Calibri" w:hAnsi="Arial Black" w:cs="Arial"/>
                <w:b/>
                <w:i/>
                <w:color w:val="FF0000"/>
                <w:sz w:val="22"/>
                <w:szCs w:val="22"/>
              </w:rPr>
              <w:t>$</w:t>
            </w:r>
            <w:r w:rsidR="001C7568"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FB7DB2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8708A1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708A1" w:rsidRPr="00631C98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10444" w:type="dxa"/>
            <w:gridSpan w:val="7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8708A1" w:rsidRPr="00161DFE" w:rsidRDefault="00161DFE" w:rsidP="00161DFE">
            <w:pPr>
              <w:pStyle w:val="Header"/>
              <w:spacing w:before="60" w:after="60"/>
              <w:rPr>
                <w:rFonts w:ascii="Arial Black" w:eastAsia="Calibri" w:hAnsi="Arial Black" w:cs="Arial"/>
                <w:b/>
                <w:sz w:val="22"/>
                <w:szCs w:val="22"/>
                <w:lang w:val="es-CL"/>
              </w:rPr>
            </w:pPr>
            <w:r w:rsidRPr="00161DFE">
              <w:rPr>
                <w:rFonts w:ascii="Arial" w:hAnsi="Arial" w:cs="Arial"/>
                <w:sz w:val="22"/>
                <w:szCs w:val="22"/>
                <w:lang w:val="es-CL"/>
              </w:rPr>
              <w:t xml:space="preserve">Pulse aquí para ver </w:t>
            </w:r>
            <w:r w:rsidRPr="00161DFE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otras opciones de precios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, i</w:t>
            </w:r>
            <w:r w:rsidRPr="00161DFE">
              <w:rPr>
                <w:rFonts w:ascii="Arial" w:hAnsi="Arial" w:cs="Arial"/>
                <w:sz w:val="22"/>
                <w:szCs w:val="22"/>
                <w:lang w:val="es-CL"/>
              </w:rPr>
              <w:t>ncluyendo p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romociones y opciones de paquetes con otros servicios, como TV por cable y servicios móviles.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708A1" w:rsidRPr="00161DFE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D32832" w:rsidRPr="008A3ADE" w:rsidTr="006035EE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161DF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734" w:type="dxa"/>
            <w:gridSpan w:val="6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1B391C" w:rsidRPr="005E56A3" w:rsidRDefault="00F47533" w:rsidP="00D81A0C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Otros pagos y términos</w:t>
            </w:r>
          </w:p>
        </w:tc>
        <w:tc>
          <w:tcPr>
            <w:tcW w:w="1710" w:type="dxa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D32832" w:rsidRPr="005E56A3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F47533" w:rsidRDefault="00394172" w:rsidP="00D81A0C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/>
              </w:rPr>
              <w:t xml:space="preserve">Límite </w:t>
            </w:r>
            <w:r w:rsidR="0030506C">
              <w:rPr>
                <w:rFonts w:ascii="Arial" w:eastAsia="Calibri" w:hAnsi="Arial" w:cs="Arial"/>
                <w:sz w:val="22"/>
                <w:szCs w:val="22"/>
                <w:lang w:val="es-CL"/>
              </w:rPr>
              <w:t>de uso de datos para</w:t>
            </w:r>
            <w:r w:rsidR="00F47533" w:rsidRPr="00F47533">
              <w:rPr>
                <w:rFonts w:ascii="Arial" w:eastAsia="Calibri" w:hAnsi="Arial" w:cs="Arial"/>
                <w:sz w:val="22"/>
                <w:szCs w:val="22"/>
                <w:lang w:val="es-CL"/>
              </w:rPr>
              <w:t xml:space="preserve"> </w:t>
            </w:r>
            <w:r w:rsidR="00710AD6">
              <w:rPr>
                <w:rFonts w:ascii="Arial" w:eastAsia="Calibri" w:hAnsi="Arial" w:cs="Arial"/>
                <w:sz w:val="22"/>
                <w:szCs w:val="22"/>
                <w:lang w:val="es-CL"/>
              </w:rPr>
              <w:t>su</w:t>
            </w:r>
            <w:r w:rsidR="00F47533" w:rsidRPr="00F47533">
              <w:rPr>
                <w:rFonts w:ascii="Arial" w:eastAsia="Calibri" w:hAnsi="Arial" w:cs="Arial"/>
                <w:sz w:val="22"/>
                <w:szCs w:val="22"/>
                <w:lang w:val="es-CL"/>
              </w:rPr>
              <w:t xml:space="preserve"> </w:t>
            </w:r>
            <w:r w:rsidR="00710AD6">
              <w:rPr>
                <w:rFonts w:ascii="Arial" w:eastAsia="Calibri" w:hAnsi="Arial" w:cs="Arial"/>
                <w:sz w:val="22"/>
                <w:szCs w:val="22"/>
                <w:lang w:val="es-CL"/>
              </w:rPr>
              <w:t>p</w:t>
            </w:r>
            <w:r w:rsidR="00F47533" w:rsidRPr="00F47533">
              <w:rPr>
                <w:rFonts w:ascii="Arial" w:eastAsia="Calibri" w:hAnsi="Arial" w:cs="Arial"/>
                <w:sz w:val="22"/>
                <w:szCs w:val="22"/>
                <w:lang w:val="es-CL"/>
              </w:rPr>
              <w:t>ago mensual</w:t>
            </w:r>
          </w:p>
          <w:p w:rsidR="00FB7DB2" w:rsidRPr="00710AD6" w:rsidRDefault="00710AD6" w:rsidP="00EE5AE6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710AD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[Si corresponde, identifique la cantidad máxima de uso </w:t>
            </w:r>
            <w:r w:rsidR="00EE5AE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mensual, </w:t>
            </w:r>
            <w:r w:rsidRPr="00710AD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para carga y descarga de datos, asociada con este plan</w:t>
            </w:r>
            <w:r w:rsidR="00EE5AE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.</w:t>
            </w:r>
            <w:r w:rsidR="00FB7DB2" w:rsidRPr="00710AD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FB7DB2" w:rsidRDefault="00FB7DB2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i/>
                <w:color w:val="000000"/>
                <w:sz w:val="22"/>
                <w:szCs w:val="22"/>
              </w:rPr>
            </w:pPr>
            <w:r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  <w:r w:rsidR="00D32832" w:rsidRPr="00FB7DB2"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  <w:t>GB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B391C" w:rsidRPr="00A9308E" w:rsidRDefault="00A9308E" w:rsidP="00A9308E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A9308E">
              <w:rPr>
                <w:rFonts w:ascii="Arial" w:hAnsi="Arial" w:cs="Arial"/>
                <w:sz w:val="22"/>
                <w:szCs w:val="22"/>
                <w:lang w:val="es-CL"/>
              </w:rPr>
              <w:t xml:space="preserve">Cargos por uso adicional de datos -- </w:t>
            </w:r>
            <w:r w:rsidRPr="00A930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s-CL"/>
              </w:rPr>
              <w:t xml:space="preserve">[Proporcione el precio para uso adicional de datos, en incrementos. Por ejemplo, “cada 50GB adicionales”; si corresponde, identifique los costos adicionales cuando el uso 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s-CL"/>
              </w:rPr>
              <w:t>de carga y descarga de datos exceda la cantidad mensual incluida en este nivel de pago.</w:t>
            </w:r>
            <w:r w:rsidR="00FB7DB2" w:rsidRPr="00A9308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  <w:r w:rsidR="00FB7DB2" w:rsidRPr="00A930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FB7DB2" w:rsidRDefault="005B42B6" w:rsidP="001C7568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i/>
                <w:sz w:val="22"/>
                <w:szCs w:val="22"/>
              </w:rPr>
            </w:pPr>
            <w:r w:rsidRPr="00FB7DB2"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Pr="00FB7DB2">
              <w:rPr>
                <w:rFonts w:ascii="Arial Black" w:eastAsia="Calibri" w:hAnsi="Arial Black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E56A3" w:rsidRPr="004460A7" w:rsidRDefault="004460A7" w:rsidP="004D51B5">
            <w:pPr>
              <w:spacing w:before="60" w:after="60"/>
              <w:ind w:left="-14"/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</w:pPr>
            <w:r w:rsidRPr="004460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Arriendo opcion</w:t>
            </w:r>
            <w:r w:rsidR="00D87F6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al de mó</w:t>
            </w:r>
            <w:r w:rsidRPr="004460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dem o de portal – Los c</w:t>
            </w:r>
            <w:r w:rsidR="00D87F6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lientes pueden usar su propio mó</w:t>
            </w:r>
            <w:r w:rsidRPr="004460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dem o portal; pulse aquí para conocer</w:t>
            </w:r>
            <w:r w:rsidR="005E56A3" w:rsidRPr="004460A7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4460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nuestras pol</w:t>
            </w:r>
            <w:r w:rsidR="00D87F6A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íticas para arriendo de mó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dem y/o portal.</w:t>
            </w:r>
          </w:p>
          <w:p w:rsidR="00FB7DB2" w:rsidRPr="00366C62" w:rsidRDefault="00366C62" w:rsidP="00366C62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366C62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[Conecte la frase subrayada con un enlace a una explicación de las políticas de la compañía respect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o </w:t>
            </w:r>
            <w:r w:rsidRPr="00366C62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al uso que sus clientes den a sus propios equipos; 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proporcione la tarifa mensual de todos los equipos que la compañía ofrezca en arriendo.</w:t>
            </w:r>
            <w:r w:rsidR="00FB7DB2" w:rsidRPr="00366C62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FB7DB2" w:rsidRDefault="00002253" w:rsidP="00FB7DB2">
            <w:pPr>
              <w:spacing w:before="60" w:after="60"/>
              <w:ind w:left="-14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B7DB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$</w:t>
            </w:r>
            <w:r w:rsidR="00FB7DB2"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</w:t>
            </w:r>
            <w:r w:rsidR="001C7568"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>]</w:t>
            </w:r>
            <w:r w:rsidR="005E56A3" w:rsidRPr="00FB7DB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/</w:t>
            </w:r>
            <w:r w:rsidR="00FB7DB2" w:rsidRPr="00FB7DB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 xml:space="preserve"> </w:t>
            </w:r>
            <w:r w:rsidR="00185F5F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mes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863F5B" w:rsidRPr="00A51F3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63F5B" w:rsidRPr="008A3ADE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4827B4" w:rsidRDefault="0079545F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Otros cargos</w:t>
            </w:r>
            <w:r w:rsidR="00FA6293" w:rsidRP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mensuales</w:t>
            </w:r>
          </w:p>
          <w:p w:rsidR="0093641E" w:rsidRPr="00A51F30" w:rsidRDefault="0093641E" w:rsidP="00A51F30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</w:t>
            </w:r>
            <w:r w:rsidR="00BA3F84"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Identifique cualquier otra tarifa</w:t>
            </w:r>
            <w:r w:rsidR="0079533F"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</w:t>
            </w:r>
            <w:r w:rsidR="00A51F30"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mensual </w:t>
            </w:r>
            <w:r w:rsidR="0079533F"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que la compañía </w:t>
            </w:r>
            <w:r w:rsidR="00A51F30"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cobre en relación con la obtención del servicio de banda ancha. Por ejemplo, tarifas de recuperación por disposiciones normativas.</w:t>
            </w:r>
            <w:r w:rsidRPr="00A51F30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A51F30" w:rsidRDefault="00863F5B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63F5B" w:rsidRPr="00A51F30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42690E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2690E" w:rsidRPr="00A51F30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4827B4" w:rsidRDefault="006459C1" w:rsidP="006459C1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Pagos por una sola vez</w:t>
            </w:r>
          </w:p>
          <w:p w:rsidR="0093641E" w:rsidRPr="006459C1" w:rsidRDefault="006459C1" w:rsidP="006459C1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827B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[Identifique toda tarifa que la compañía cobre por una sola vez, en relación con la obtención del servicio de banda ancha. Por ejemplo, tarifas de instalación y de activación. </w:t>
            </w:r>
            <w:r w:rsidRPr="006459C1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Si corresponde, identifique toda tarifa a cobrar si el cliente suspende su servicio de banda ancha antes del fin de su contrato, y proporcione un enlace a una página que explique en amplitud y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detalle en qué casos se cobraría dicha tarifa; si corresponde, incluya lenguaje indicando si en algunos casos podría exigirse un depósito, dependiendo de la calificación de crédito del cliente y de otros factores.</w:t>
            </w:r>
            <w:r w:rsidR="0093641E" w:rsidRPr="006459C1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6459C1" w:rsidRDefault="0042690E" w:rsidP="00D81A0C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2690E" w:rsidRPr="006459C1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116A73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116A73" w:rsidRPr="006459C1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2C723C" w:rsidRDefault="001C7568" w:rsidP="00D81A0C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C723C"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  <w:t>[</w:t>
            </w:r>
            <w:r w:rsidR="002C723C" w:rsidRPr="002C723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Proporcione la denominación y la cantidad de cada pago cobrado por una sola vez, en l</w:t>
            </w:r>
            <w:r w:rsidR="002C723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íneas separadas.</w:t>
            </w:r>
            <w:r w:rsidRPr="002C723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A73" w:rsidRPr="00FB7DB2" w:rsidRDefault="00116A73" w:rsidP="001C7568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000000"/>
                <w:sz w:val="22"/>
                <w:szCs w:val="22"/>
              </w:rPr>
            </w:pPr>
            <w:r w:rsidRPr="00FB7DB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FB7DB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Pr="00FB7DB2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116A73" w:rsidRPr="008A3ADE" w:rsidRDefault="00116A7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81A0C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D829EF" w:rsidRDefault="00D829EF" w:rsidP="0093641E">
            <w:pPr>
              <w:pStyle w:val="TableParagraph"/>
              <w:spacing w:before="60" w:after="60"/>
              <w:ind w:right="72"/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</w:pPr>
            <w:r w:rsidRPr="00D829EF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>Podría corresponder la aplicación de impuestos y de otras tarifas gubernamentales:</w:t>
            </w:r>
            <w:r w:rsidR="00D81A0C" w:rsidRPr="00D829EF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D829EF"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Esto var</w:t>
            </w:r>
            <w:r w:rsidR="002415E4"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ía según la localidad</w:t>
            </w:r>
          </w:p>
          <w:p w:rsidR="0093641E" w:rsidRPr="002415E4" w:rsidRDefault="002415E4" w:rsidP="00460BFE">
            <w:pPr>
              <w:pStyle w:val="TableParagraph"/>
              <w:spacing w:before="60" w:after="60"/>
              <w:ind w:right="72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  <w:r w:rsidRPr="002415E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[Proporcione esta información de transparencia usando este lenguaje para avisarle a los consumidores que se agregarán impuestos y tarifas obligatorias por </w:t>
            </w:r>
            <w:r w:rsidR="00460BF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exigencia</w:t>
            </w:r>
            <w:r w:rsidRPr="002415E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s gubernamentales o atribuibles a programas gubernamentales – No es necesario especificar </w:t>
            </w:r>
            <w:r w:rsidR="00460BF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de qué impuestos o tarifas se trata.</w:t>
            </w:r>
            <w:r w:rsidR="0093641E" w:rsidRPr="002415E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2415E4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D81A0C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2415E4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4827B4" w:rsidRDefault="00446C51" w:rsidP="00D81A0C">
            <w:pPr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</w:pPr>
            <w:r w:rsidRPr="004827B4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Otros servicios en la red</w:t>
            </w:r>
          </w:p>
          <w:p w:rsidR="0093641E" w:rsidRPr="00B61D48" w:rsidRDefault="00224F4D" w:rsidP="00B61D4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CL"/>
              </w:rPr>
            </w:pPr>
            <w:r w:rsidRP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>[Si corresponde, proporcione en esta sección una breve descripción de todos los servicios regidos por el principio de imparcialidad (non-BIAS, en inglés)</w:t>
            </w:r>
            <w:r w:rsidR="00B61D48" w:rsidRP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 xml:space="preserve"> ofrecidos por la compañía y que podrían incidir en una reducción de la calidad final de su servicio de banda ancha; conecte la frase subrayada a una página web que explique en amplitud</w:t>
            </w:r>
            <w:r w:rsid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 xml:space="preserve"> </w:t>
            </w:r>
            <w:r w:rsidR="00B61D48" w:rsidRP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 xml:space="preserve">y detalle en qué casos podría </w:t>
            </w:r>
            <w:r w:rsid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>darse</w:t>
            </w:r>
            <w:r w:rsidR="00B61D48" w:rsidRP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 xml:space="preserve"> dicha situaci</w:t>
            </w:r>
            <w:r w:rsid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>ón, anticipando el efecto que tendría en la calidad del servicio de banda ancha.</w:t>
            </w:r>
            <w:r w:rsidR="0093641E" w:rsidRPr="00B61D48">
              <w:rPr>
                <w:rFonts w:ascii="Arial" w:hAnsi="Arial" w:cs="Arial"/>
                <w:i/>
                <w:color w:val="FF0000"/>
                <w:sz w:val="22"/>
                <w:szCs w:val="22"/>
                <w:shd w:val="clear" w:color="auto" w:fill="FFFFFF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B61D48" w:rsidRDefault="00D81A0C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B61D48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B61D48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B61D48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B61D48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B61D48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B61D48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10444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53A6" w:rsidRPr="00CD4A3D" w:rsidRDefault="00311EFA" w:rsidP="007F53A6">
            <w:pPr>
              <w:pStyle w:val="Header"/>
              <w:spacing w:before="60" w:after="60"/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</w:pPr>
            <w:r w:rsidRPr="00CD4A3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>Desempeño</w:t>
            </w:r>
            <w:r w:rsidR="007F53A6" w:rsidRPr="00CD4A3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="00CD4A3D" w:rsidRPr="00CD4A3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>–</w:t>
            </w:r>
            <w:r w:rsidR="007F53A6" w:rsidRPr="00CD4A3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="003A080E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P</w:t>
            </w:r>
            <w:r w:rsidR="00CD4A3D" w:rsidRPr="00CD4A3D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uede variar seg</w:t>
            </w:r>
            <w:r w:rsidR="00CD4A3D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ún cada caso individual</w:t>
            </w:r>
          </w:p>
          <w:p w:rsidR="0093641E" w:rsidRPr="00EF6234" w:rsidRDefault="0093641E" w:rsidP="00EF6234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  <w:lang w:val="es-CL"/>
              </w:rPr>
              <w:t>[</w:t>
            </w:r>
            <w:r w:rsidR="00EF6234" w:rsidRP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Conecte la</w:t>
            </w:r>
            <w:r w:rsid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frase subrayada con un enlace a</w:t>
            </w:r>
            <w:r w:rsidR="00EF6234" w:rsidRP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una amplia explicaci</w:t>
            </w:r>
            <w:r w:rsid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ón de los parámetros usados para medir la calidad de desempeño de las redes</w:t>
            </w:r>
            <w:r w:rsidR="00FE4DA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.</w:t>
            </w:r>
            <w:r w:rsidRPr="00EF62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  <w:lang w:val="es-CL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EF6234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A75D46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EF6234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A75D46" w:rsidRDefault="00A75D4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75D46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Velocidad típica de descarga de datos</w:t>
            </w:r>
          </w:p>
          <w:p w:rsidR="0093641E" w:rsidRPr="00A75D46" w:rsidRDefault="00A75D46" w:rsidP="00A75D4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75D4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[Identifique las velocidades típicas de descarga de datos para este ni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vel de servicio en periodos de máximo tráfico, de conformidad con las órdenes y guía de la FCC sobre Internet Abierta (</w:t>
            </w:r>
            <w:r w:rsidR="0093641E" w:rsidRPr="00A75D4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Open Internet Orders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).</w:t>
            </w:r>
            <w:r w:rsidR="0093641E" w:rsidRPr="00A75D4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A75D46" w:rsidRDefault="001C7568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</w:pPr>
            <w:r w:rsidRPr="00A75D46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[ ] </w:t>
            </w:r>
            <w:r w:rsidR="007F53A6" w:rsidRPr="00A75D46"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  <w:t>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75D46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0715AF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75D46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A75D46" w:rsidRDefault="00391619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Velocidad típica de carga de datos</w:t>
            </w:r>
          </w:p>
          <w:p w:rsidR="0093641E" w:rsidRPr="000715AF" w:rsidRDefault="000715AF" w:rsidP="000715A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[Identifique las velocidades de carga de datos para este nivel de servicio en periodos de máximo tráfico, de conformidad con las órdenes y guía de la FCC sobre Internet Abierta (</w:t>
            </w:r>
            <w:r w:rsidR="0093641E" w:rsidRPr="000715AF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Open Internet Orders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).</w:t>
            </w:r>
            <w:r w:rsidR="0093641E" w:rsidRPr="000715AF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0715AF" w:rsidRDefault="001C7568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</w:pPr>
            <w:r w:rsidRPr="000715AF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 xml:space="preserve">[ ] </w:t>
            </w:r>
            <w:r w:rsidR="007F53A6" w:rsidRPr="000715AF"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  <w:t>Mbps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0715AF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0715AF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5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4827B4" w:rsidRDefault="007F7739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Latencia típica</w:t>
            </w:r>
          </w:p>
          <w:p w:rsidR="0093641E" w:rsidRPr="001A26C4" w:rsidRDefault="001A26C4" w:rsidP="001A26C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A26C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[Identifique la latencia típica para este nivel 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de servicio en periodos de máximo </w:t>
            </w:r>
            <w:r w:rsidRPr="001A26C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tráfico, de conformidad con las 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órdenes y guía de la FCC sobre Internet Abierta (</w:t>
            </w:r>
            <w:r w:rsidR="0093641E" w:rsidRPr="001A26C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Open Internet Orders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).</w:t>
            </w:r>
            <w:r w:rsidR="0093641E" w:rsidRPr="001A26C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A24434" w:rsidRDefault="0093641E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2044BC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milisegundos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EC28DC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4827B4" w:rsidRDefault="00321097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Pérdida típica por paquete</w:t>
            </w:r>
          </w:p>
          <w:p w:rsidR="0093641E" w:rsidRPr="00EC28DC" w:rsidRDefault="00EC28DC" w:rsidP="00EC28DC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EC28DC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[Identif</w:t>
            </w:r>
            <w:r w:rsidR="00E2491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i</w:t>
            </w:r>
            <w:r w:rsidRPr="00EC28DC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que la pérdida típica por paquete para este nivel de servicio en periodos de máximo tráfico, de conformidad con las 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órdenes y guía de la FCC sobre Internet Abierta</w:t>
            </w:r>
            <w:r w:rsidR="0093641E" w:rsidRPr="00EC28DC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(</w:t>
            </w:r>
            <w:r w:rsidR="0093641E" w:rsidRPr="00EC28DC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Open Internet Orders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).</w:t>
            </w:r>
            <w:r w:rsidR="0093641E" w:rsidRPr="00EC28DC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EC28DC" w:rsidRDefault="00FB7DB2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</w:pPr>
            <w:r w:rsidRPr="00EC28DC">
              <w:rPr>
                <w:rFonts w:ascii="Arial" w:hAnsi="Arial" w:cs="Arial"/>
                <w:i/>
                <w:color w:val="FF0000"/>
                <w:sz w:val="22"/>
                <w:szCs w:val="22"/>
                <w:lang w:val="es-CL"/>
              </w:rPr>
              <w:t>[ ]</w:t>
            </w:r>
            <w:r w:rsidR="007F53A6" w:rsidRPr="00EC28DC">
              <w:rPr>
                <w:rFonts w:ascii="Arial Black" w:hAnsi="Arial Black" w:cs="Arial"/>
                <w:i/>
                <w:color w:val="FF0000"/>
                <w:sz w:val="22"/>
                <w:szCs w:val="22"/>
                <w:lang w:val="es-CL"/>
              </w:rPr>
              <w:t>%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EC28DC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EC28DC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EC28DC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EC28DC" w:rsidRDefault="00373873" w:rsidP="007F53A6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  <w:t>Administración de redes</w:t>
            </w:r>
          </w:p>
        </w:tc>
        <w:tc>
          <w:tcPr>
            <w:tcW w:w="2520" w:type="dxa"/>
            <w:gridSpan w:val="3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EC28DC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EC28DC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516A7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EC28DC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EC28DC" w:rsidRDefault="00EA3596" w:rsidP="007516A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¿Prácticas de administración de redes para aplicaciones específicas</w:t>
            </w:r>
            <w:r w:rsidR="007516A7" w:rsidRPr="00EC28DC"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?</w:t>
            </w:r>
          </w:p>
          <w:p w:rsidR="007516A7" w:rsidRPr="00EA3596" w:rsidRDefault="00DD2C00" w:rsidP="00EA359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[Responda “sí” o “no</w:t>
            </w:r>
            <w:r w:rsidR="00EA3596" w:rsidRPr="004827B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”. </w:t>
            </w:r>
            <w:r w:rsidR="00EA3596" w:rsidRPr="00EA359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Si responde “sí”, describa brevemente y proporcione un enlace a una extensa explicación que identifique las prácticas de administración de redes de aplicación específica; en qué caso</w:t>
            </w:r>
            <w:r w:rsidR="00AC6628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s</w:t>
            </w:r>
            <w:r w:rsidR="00EA3596" w:rsidRPr="00EA359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 se generan dichas prácticas y el efecto que las mismas podrían tener en la calidad del servicio.</w:t>
            </w:r>
            <w:r w:rsidR="0093641E" w:rsidRPr="00EA3596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A24434" w:rsidRDefault="002044BC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Sí</w:t>
            </w:r>
            <w:r w:rsidR="001C7568"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/</w:t>
            </w:r>
            <w:r w:rsidR="00FB7DB2"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 xml:space="preserve"> </w:t>
            </w:r>
            <w:r w:rsidR="00DD2C00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No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516A7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2C09" w:rsidRPr="008E73FE" w:rsidRDefault="008E73FE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¿Prácti</w:t>
            </w:r>
            <w:r w:rsidRPr="008E73FE"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>cas de administración de redes generadas por los suscriptores</w:t>
            </w:r>
            <w:r w:rsidR="00822C09" w:rsidRPr="008E73FE"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  <w:t xml:space="preserve">? </w:t>
            </w:r>
          </w:p>
          <w:p w:rsidR="007516A7" w:rsidRPr="008E73FE" w:rsidRDefault="00DD2C00" w:rsidP="008E73FE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[Responda “sí” o “no</w:t>
            </w:r>
            <w:r w:rsidR="008E73FE" w:rsidRPr="004827B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”. </w:t>
            </w:r>
            <w:r w:rsidR="008E73FE" w:rsidRPr="008E73F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Si responde “sí”, describa brevemente y proporcione un enlace a una extensa explicación que identifique las prácticas de administración de redes generadas por los suscriptores; en qué casos se generan dichas prácticas y el efecto que las mismas podrían tener en la calidad del servicio.</w:t>
            </w:r>
            <w:r w:rsidR="0093641E" w:rsidRPr="008E73FE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A24434" w:rsidRDefault="002044BC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Sí</w:t>
            </w:r>
            <w:r w:rsidR="001C7568"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/</w:t>
            </w:r>
            <w:r w:rsidR="00FB7DB2"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 xml:space="preserve"> </w:t>
            </w:r>
            <w:r w:rsidR="00DD2C00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No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872EF2" w:rsidRDefault="00872EF2" w:rsidP="00814120">
            <w:pPr>
              <w:pStyle w:val="Header"/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</w:pPr>
            <w:r w:rsidRPr="00872EF2">
              <w:rPr>
                <w:rFonts w:ascii="Arial" w:hAnsi="Arial" w:cs="Arial"/>
                <w:sz w:val="22"/>
                <w:szCs w:val="22"/>
                <w:lang w:val="es-CL"/>
              </w:rPr>
              <w:t>Más</w:t>
            </w:r>
            <w:r w:rsidR="007F53A6" w:rsidRPr="00872EF2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872EF2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detalles sobre administración de redes</w:t>
            </w:r>
            <w:r w:rsidR="00814120" w:rsidRPr="00872EF2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.</w:t>
            </w:r>
          </w:p>
          <w:p w:rsidR="0093641E" w:rsidRPr="00872EF2" w:rsidRDefault="00872EF2" w:rsidP="00872EF2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CL"/>
              </w:rPr>
            </w:pPr>
            <w:r w:rsidRPr="00872EF2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[Conecte la frase subrayada con un enlace a una amplia explicación sobre las prácticas de administraci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ón de redes de la empresa.</w:t>
            </w:r>
            <w:r w:rsidR="0093641E" w:rsidRPr="00872EF2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872EF2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72EF2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72EF2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79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AB3A59" w:rsidRDefault="006847D5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  <w:lang w:val="es-CL"/>
              </w:rPr>
            </w:pPr>
            <w:r w:rsidRPr="00AB3A59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  <w:lang w:val="es-CL"/>
              </w:rPr>
              <w:t>Privacidad</w:t>
            </w:r>
          </w:p>
          <w:p w:rsidR="0093641E" w:rsidRPr="00AB3A59" w:rsidRDefault="0093641E" w:rsidP="00AB3A59">
            <w:pPr>
              <w:spacing w:before="60" w:after="60"/>
              <w:rPr>
                <w:rFonts w:ascii="Arial Black" w:eastAsia="Meiryo UI" w:hAnsi="Arial Black" w:cs="Arial"/>
                <w:i/>
                <w:color w:val="000000" w:themeColor="text1"/>
                <w:sz w:val="22"/>
                <w:szCs w:val="22"/>
                <w:lang w:val="es-CL"/>
              </w:rPr>
            </w:pPr>
            <w:r w:rsidRPr="00AB3A59">
              <w:rPr>
                <w:rFonts w:ascii="Arial" w:eastAsia="Meiryo UI" w:hAnsi="Arial" w:cs="Arial"/>
                <w:i/>
                <w:color w:val="FF0000"/>
                <w:sz w:val="22"/>
                <w:szCs w:val="22"/>
                <w:lang w:val="es-CL"/>
              </w:rPr>
              <w:t>[</w:t>
            </w:r>
            <w:r w:rsidR="00AB3A59" w:rsidRPr="00AB3A59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Proporcione un enlace a una explicación sobre las pr</w:t>
            </w:r>
            <w:r w:rsidR="00AB3A59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ácticas de privacidad </w:t>
            </w:r>
            <w:r w:rsidR="00055C97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de la compañía </w:t>
            </w:r>
            <w:r w:rsidR="00AB3A59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para los servicios de banda ancha.</w:t>
            </w:r>
            <w:r w:rsidRPr="00AB3A59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85" w:rsidRPr="00AB3A59" w:rsidRDefault="00FB5B85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F53A6" w:rsidRPr="00AB3A59" w:rsidRDefault="00AB3A59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B3A59">
              <w:rPr>
                <w:rFonts w:ascii="Arial" w:hAnsi="Arial" w:cs="Arial"/>
                <w:sz w:val="22"/>
                <w:szCs w:val="22"/>
                <w:lang w:val="es-CL"/>
              </w:rPr>
              <w:t>Conozca nuestra</w:t>
            </w:r>
            <w:r w:rsidR="007F53A6" w:rsidRPr="00AB3A59"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 xml:space="preserve"> </w:t>
            </w:r>
            <w:r w:rsidRPr="00AB3A5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política de privacidad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B3A59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B3A59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62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4827B4" w:rsidRDefault="0009006D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  <w:lang w:val="es-CL"/>
              </w:rPr>
            </w:pPr>
            <w:r w:rsidRPr="004827B4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  <w:lang w:val="es-CL"/>
              </w:rPr>
              <w:t>Quejas o consultas</w:t>
            </w:r>
          </w:p>
          <w:p w:rsidR="006035EE" w:rsidRPr="0037769D" w:rsidRDefault="006035EE" w:rsidP="007F53A6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</w:pPr>
            <w:r w:rsidRP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[</w:t>
            </w:r>
            <w:r w:rsidR="0037769D" w:rsidRP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Conecte la frase subrayada con un enlace a la principal página web de servicio al cliente: proporcione el número telefónico </w:t>
            </w:r>
            <w:r w:rsid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de la compañía para </w:t>
            </w:r>
            <w:r w:rsidR="0037769D" w:rsidRP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el centro de atenci</w:t>
            </w:r>
            <w:r w:rsid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ón al cliente.</w:t>
            </w:r>
            <w:r w:rsidRPr="0037769D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  <w:p w:rsidR="0093641E" w:rsidRPr="00E37DF4" w:rsidRDefault="00E37DF4" w:rsidP="00E37DF4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  <w:lang w:val="es-CL"/>
              </w:rPr>
            </w:pPr>
            <w:r w:rsidRPr="00E37DF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[Conecte la frase subrayada con un enlace a la página </w:t>
            </w:r>
            <w:r w:rsidR="00D47723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 xml:space="preserve">web </w:t>
            </w:r>
            <w:r w:rsidRPr="00E37DF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del centro de quejas de la FCC; proporcione el n</w:t>
            </w:r>
            <w:r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úmero telefónico del centro de quejas de la FCC.</w:t>
            </w:r>
            <w:r w:rsidR="00BF004A" w:rsidRPr="00E37DF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val="es-CL"/>
              </w:rPr>
              <w:t>]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641E" w:rsidRPr="00E37DF4" w:rsidRDefault="0093641E" w:rsidP="007F53A6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7F53A6" w:rsidRPr="0037769D" w:rsidRDefault="0009006D" w:rsidP="007F53A6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37769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Para contactarnos</w:t>
            </w:r>
            <w:r w:rsidR="007F53A6" w:rsidRPr="0037769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: </w:t>
            </w:r>
            <w:r w:rsidRPr="0037769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en línea</w:t>
            </w:r>
            <w:r w:rsidR="004827B4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/(123)456-7890</w:t>
            </w:r>
            <w:r w:rsidR="007F53A6" w:rsidRPr="0037769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</w:p>
          <w:p w:rsidR="006035EE" w:rsidRPr="0037769D" w:rsidRDefault="006035EE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7F53A6" w:rsidRPr="0037769D" w:rsidRDefault="0009006D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37769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Para enviar quejas a la</w:t>
            </w:r>
            <w:r w:rsidR="007F53A6" w:rsidRPr="0037769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FCC: </w:t>
            </w:r>
            <w:r w:rsidRPr="0037769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en línea</w:t>
            </w:r>
            <w:r w:rsidR="00BF004A" w:rsidRPr="0037769D">
              <w:rPr>
                <w:rFonts w:ascii="Arial" w:hAnsi="Arial" w:cs="Arial"/>
                <w:sz w:val="22"/>
                <w:szCs w:val="22"/>
                <w:lang w:val="es-CL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37769D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37769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37769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37769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37769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DD2C00" w:rsidTr="006035EE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F53A6" w:rsidRPr="0037769D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10444" w:type="dxa"/>
            <w:gridSpan w:val="7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7F53A6" w:rsidRPr="00BF7F10" w:rsidRDefault="00BF7F10" w:rsidP="00BF7F10">
            <w:pPr>
              <w:spacing w:before="60" w:after="60"/>
              <w:rPr>
                <w:rFonts w:ascii="Arial" w:hAnsi="Arial" w:cs="Arial"/>
                <w:color w:val="5B9BD5"/>
                <w:sz w:val="22"/>
                <w:szCs w:val="22"/>
                <w:u w:val="single"/>
                <w:lang w:val="es-CL"/>
              </w:rPr>
            </w:pPr>
            <w:r w:rsidRPr="00BF7F10">
              <w:rPr>
                <w:rFonts w:ascii="Arial" w:hAnsi="Arial" w:cs="Arial"/>
                <w:sz w:val="22"/>
                <w:szCs w:val="22"/>
                <w:lang w:val="es-CL"/>
              </w:rPr>
              <w:t>Averigüe más sobre los</w:t>
            </w:r>
            <w:r w:rsidR="00814120" w:rsidRPr="00BF7F10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BF7F1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términos usados en este formulario e informaci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  <w:lang w:val="es-CL"/>
              </w:rPr>
              <w:t>ón adicional de relevancia</w:t>
            </w:r>
            <w:r w:rsidR="00814120" w:rsidRPr="00BF7F10">
              <w:rPr>
                <w:rFonts w:ascii="Arial" w:hAnsi="Arial" w:cs="Arial"/>
                <w:color w:val="1F497D" w:themeColor="text2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en el sitio web de la FCC</w:t>
            </w:r>
            <w:r w:rsidR="00814120" w:rsidRPr="00BF7F10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7F53A6" w:rsidRPr="00BF7F10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</w:tbl>
    <w:p w:rsidR="00956971" w:rsidRPr="00BF7F10" w:rsidRDefault="00956971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F753DA" w:rsidRPr="00BF7F10" w:rsidRDefault="00F753DA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F753DA" w:rsidRPr="00BF7F10" w:rsidRDefault="00F753DA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F753DA" w:rsidRPr="00BF7F10" w:rsidRDefault="00F753DA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p w:rsidR="006035EE" w:rsidRPr="00BF7F10" w:rsidRDefault="006035EE" w:rsidP="00956971">
      <w:pPr>
        <w:pStyle w:val="Header"/>
        <w:rPr>
          <w:rFonts w:ascii="Arial" w:eastAsia="Meiryo UI" w:hAnsi="Arial" w:cs="Arial"/>
          <w:b/>
          <w:lang w:val="es-CL"/>
        </w:rPr>
      </w:pPr>
    </w:p>
    <w:sectPr w:rsidR="006035EE" w:rsidRPr="00BF7F10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19" w:rsidRDefault="00E82D19" w:rsidP="00E82D19">
      <w:pPr>
        <w:spacing w:after="0" w:line="240" w:lineRule="auto"/>
      </w:pPr>
      <w:r>
        <w:separator/>
      </w:r>
    </w:p>
  </w:endnote>
  <w:endnote w:type="continuationSeparator" w:id="0">
    <w:p w:rsidR="00E82D19" w:rsidRDefault="00E82D19" w:rsidP="00E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19" w:rsidRDefault="00E82D19" w:rsidP="00E82D19">
      <w:pPr>
        <w:spacing w:after="0" w:line="240" w:lineRule="auto"/>
      </w:pPr>
      <w:r>
        <w:separator/>
      </w:r>
    </w:p>
  </w:footnote>
  <w:footnote w:type="continuationSeparator" w:id="0">
    <w:p w:rsidR="00E82D19" w:rsidRDefault="00E82D19" w:rsidP="00E8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19" w:rsidRDefault="00E82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55C97"/>
    <w:rsid w:val="00061A16"/>
    <w:rsid w:val="000715AF"/>
    <w:rsid w:val="000839CD"/>
    <w:rsid w:val="0009006D"/>
    <w:rsid w:val="000E6175"/>
    <w:rsid w:val="00116A73"/>
    <w:rsid w:val="00161DFE"/>
    <w:rsid w:val="0017245B"/>
    <w:rsid w:val="00172E38"/>
    <w:rsid w:val="00177B9D"/>
    <w:rsid w:val="001845E2"/>
    <w:rsid w:val="00185F5F"/>
    <w:rsid w:val="0018613C"/>
    <w:rsid w:val="00197748"/>
    <w:rsid w:val="001A26C4"/>
    <w:rsid w:val="001B3766"/>
    <w:rsid w:val="001B391C"/>
    <w:rsid w:val="001C7568"/>
    <w:rsid w:val="001D52B8"/>
    <w:rsid w:val="002034FE"/>
    <w:rsid w:val="002044BC"/>
    <w:rsid w:val="002139C3"/>
    <w:rsid w:val="00224F4D"/>
    <w:rsid w:val="00232CDE"/>
    <w:rsid w:val="002334C7"/>
    <w:rsid w:val="002415E4"/>
    <w:rsid w:val="0025099C"/>
    <w:rsid w:val="00252C19"/>
    <w:rsid w:val="002607EE"/>
    <w:rsid w:val="002868BE"/>
    <w:rsid w:val="002B6FD7"/>
    <w:rsid w:val="002C723C"/>
    <w:rsid w:val="00300E03"/>
    <w:rsid w:val="0030506C"/>
    <w:rsid w:val="003052A6"/>
    <w:rsid w:val="00305F90"/>
    <w:rsid w:val="0030744D"/>
    <w:rsid w:val="00311EFA"/>
    <w:rsid w:val="003129D1"/>
    <w:rsid w:val="00320712"/>
    <w:rsid w:val="00321097"/>
    <w:rsid w:val="003351FE"/>
    <w:rsid w:val="00345B12"/>
    <w:rsid w:val="00354017"/>
    <w:rsid w:val="003661AA"/>
    <w:rsid w:val="00366C62"/>
    <w:rsid w:val="00373873"/>
    <w:rsid w:val="0037769D"/>
    <w:rsid w:val="00391619"/>
    <w:rsid w:val="00394172"/>
    <w:rsid w:val="003953AF"/>
    <w:rsid w:val="003A080E"/>
    <w:rsid w:val="003E541D"/>
    <w:rsid w:val="003E684F"/>
    <w:rsid w:val="003F2C10"/>
    <w:rsid w:val="00401ED3"/>
    <w:rsid w:val="004075E9"/>
    <w:rsid w:val="0042690E"/>
    <w:rsid w:val="004460A7"/>
    <w:rsid w:val="00446C51"/>
    <w:rsid w:val="004474C6"/>
    <w:rsid w:val="00457730"/>
    <w:rsid w:val="00460BFE"/>
    <w:rsid w:val="00461BF9"/>
    <w:rsid w:val="00467656"/>
    <w:rsid w:val="004827B4"/>
    <w:rsid w:val="00491390"/>
    <w:rsid w:val="00493014"/>
    <w:rsid w:val="004B1183"/>
    <w:rsid w:val="004C7305"/>
    <w:rsid w:val="004D3293"/>
    <w:rsid w:val="004D51B5"/>
    <w:rsid w:val="004D63E5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B42B6"/>
    <w:rsid w:val="005E3BA9"/>
    <w:rsid w:val="005E55C7"/>
    <w:rsid w:val="005E56A3"/>
    <w:rsid w:val="005E5E20"/>
    <w:rsid w:val="006035EE"/>
    <w:rsid w:val="0061152A"/>
    <w:rsid w:val="00612BAA"/>
    <w:rsid w:val="00620E1A"/>
    <w:rsid w:val="00631C98"/>
    <w:rsid w:val="00642245"/>
    <w:rsid w:val="006459C1"/>
    <w:rsid w:val="006506E7"/>
    <w:rsid w:val="00663F27"/>
    <w:rsid w:val="00676BF1"/>
    <w:rsid w:val="006847D5"/>
    <w:rsid w:val="006A145F"/>
    <w:rsid w:val="006D7079"/>
    <w:rsid w:val="006E350B"/>
    <w:rsid w:val="006F19FF"/>
    <w:rsid w:val="006F2D92"/>
    <w:rsid w:val="00706D25"/>
    <w:rsid w:val="00710AD6"/>
    <w:rsid w:val="007133F5"/>
    <w:rsid w:val="00723CD1"/>
    <w:rsid w:val="00732720"/>
    <w:rsid w:val="007332FA"/>
    <w:rsid w:val="007516A7"/>
    <w:rsid w:val="007552FC"/>
    <w:rsid w:val="00756766"/>
    <w:rsid w:val="0075687B"/>
    <w:rsid w:val="00777148"/>
    <w:rsid w:val="007773A0"/>
    <w:rsid w:val="0079533F"/>
    <w:rsid w:val="0079545F"/>
    <w:rsid w:val="007B1B64"/>
    <w:rsid w:val="007F533E"/>
    <w:rsid w:val="007F53A6"/>
    <w:rsid w:val="007F7739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57453"/>
    <w:rsid w:val="008622A9"/>
    <w:rsid w:val="0086395C"/>
    <w:rsid w:val="00863F5B"/>
    <w:rsid w:val="008708A1"/>
    <w:rsid w:val="00872EF2"/>
    <w:rsid w:val="008A2D4F"/>
    <w:rsid w:val="008A3ADE"/>
    <w:rsid w:val="008B56EB"/>
    <w:rsid w:val="008B5C5D"/>
    <w:rsid w:val="008B670D"/>
    <w:rsid w:val="008B6ECE"/>
    <w:rsid w:val="008C107E"/>
    <w:rsid w:val="008C546D"/>
    <w:rsid w:val="008E73FE"/>
    <w:rsid w:val="00906909"/>
    <w:rsid w:val="009077AE"/>
    <w:rsid w:val="0093641E"/>
    <w:rsid w:val="00950964"/>
    <w:rsid w:val="00956971"/>
    <w:rsid w:val="00975FB7"/>
    <w:rsid w:val="00987CCF"/>
    <w:rsid w:val="009A458A"/>
    <w:rsid w:val="009C256A"/>
    <w:rsid w:val="00A24434"/>
    <w:rsid w:val="00A322AE"/>
    <w:rsid w:val="00A47F1C"/>
    <w:rsid w:val="00A51F30"/>
    <w:rsid w:val="00A5314C"/>
    <w:rsid w:val="00A701A2"/>
    <w:rsid w:val="00A75D46"/>
    <w:rsid w:val="00A863D9"/>
    <w:rsid w:val="00A86BE3"/>
    <w:rsid w:val="00A86D5B"/>
    <w:rsid w:val="00A9308E"/>
    <w:rsid w:val="00AA0556"/>
    <w:rsid w:val="00AA70ED"/>
    <w:rsid w:val="00AB3A59"/>
    <w:rsid w:val="00AC6628"/>
    <w:rsid w:val="00AE243E"/>
    <w:rsid w:val="00B36DED"/>
    <w:rsid w:val="00B44B96"/>
    <w:rsid w:val="00B51B91"/>
    <w:rsid w:val="00B5257A"/>
    <w:rsid w:val="00B57C05"/>
    <w:rsid w:val="00B61D48"/>
    <w:rsid w:val="00B94F3A"/>
    <w:rsid w:val="00B95CD0"/>
    <w:rsid w:val="00BA3F84"/>
    <w:rsid w:val="00BD0486"/>
    <w:rsid w:val="00BE3972"/>
    <w:rsid w:val="00BF004A"/>
    <w:rsid w:val="00BF5C21"/>
    <w:rsid w:val="00BF7F10"/>
    <w:rsid w:val="00C1091D"/>
    <w:rsid w:val="00C43612"/>
    <w:rsid w:val="00C44C3F"/>
    <w:rsid w:val="00C4501C"/>
    <w:rsid w:val="00C5661D"/>
    <w:rsid w:val="00C72E45"/>
    <w:rsid w:val="00C7552A"/>
    <w:rsid w:val="00CC31B6"/>
    <w:rsid w:val="00CD4A3D"/>
    <w:rsid w:val="00D32832"/>
    <w:rsid w:val="00D47723"/>
    <w:rsid w:val="00D607F8"/>
    <w:rsid w:val="00D65EB3"/>
    <w:rsid w:val="00D70982"/>
    <w:rsid w:val="00D81A0C"/>
    <w:rsid w:val="00D829EF"/>
    <w:rsid w:val="00D87F6A"/>
    <w:rsid w:val="00D94D72"/>
    <w:rsid w:val="00DA1D0B"/>
    <w:rsid w:val="00DA41FE"/>
    <w:rsid w:val="00DA597E"/>
    <w:rsid w:val="00DD2C00"/>
    <w:rsid w:val="00DD57FC"/>
    <w:rsid w:val="00DE1BF4"/>
    <w:rsid w:val="00DE3887"/>
    <w:rsid w:val="00DE55F4"/>
    <w:rsid w:val="00E16871"/>
    <w:rsid w:val="00E2491E"/>
    <w:rsid w:val="00E37755"/>
    <w:rsid w:val="00E37DF4"/>
    <w:rsid w:val="00E42E32"/>
    <w:rsid w:val="00E458A1"/>
    <w:rsid w:val="00E53D86"/>
    <w:rsid w:val="00E546E5"/>
    <w:rsid w:val="00E54F91"/>
    <w:rsid w:val="00E82D19"/>
    <w:rsid w:val="00E87BF8"/>
    <w:rsid w:val="00E964E0"/>
    <w:rsid w:val="00E96D06"/>
    <w:rsid w:val="00EA3596"/>
    <w:rsid w:val="00EA5F77"/>
    <w:rsid w:val="00EB3BF5"/>
    <w:rsid w:val="00EC28DC"/>
    <w:rsid w:val="00ED6DCD"/>
    <w:rsid w:val="00EE466E"/>
    <w:rsid w:val="00EE5AE6"/>
    <w:rsid w:val="00EF6234"/>
    <w:rsid w:val="00F24483"/>
    <w:rsid w:val="00F25840"/>
    <w:rsid w:val="00F47533"/>
    <w:rsid w:val="00F55AE7"/>
    <w:rsid w:val="00F72607"/>
    <w:rsid w:val="00F753DA"/>
    <w:rsid w:val="00F9013A"/>
    <w:rsid w:val="00F91F4B"/>
    <w:rsid w:val="00F96991"/>
    <w:rsid w:val="00FA6293"/>
    <w:rsid w:val="00FA75D6"/>
    <w:rsid w:val="00FB5B85"/>
    <w:rsid w:val="00FB7DB2"/>
    <w:rsid w:val="00FC3776"/>
    <w:rsid w:val="00FE4DAE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5371</Characters>
  <Application>Microsoft Office Word</Application>
  <DocSecurity>0</DocSecurity>
  <Lines>230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2016-04-15T19:12:00Z</cp:lastPrinted>
  <dcterms:created xsi:type="dcterms:W3CDTF">2016-04-21T19:28:00Z</dcterms:created>
  <dcterms:modified xsi:type="dcterms:W3CDTF">2016-04-21T19:28:00Z</dcterms:modified>
  <cp:category> </cp:category>
  <cp:contentStatus> </cp:contentStatus>
</cp:coreProperties>
</file>