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BF7D17"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rsidR="00FF232D" w:rsidRDefault="000C1B87" w:rsidP="00BB4E29">
            <w:pPr>
              <w:rPr>
                <w:bCs/>
                <w:sz w:val="22"/>
                <w:szCs w:val="22"/>
              </w:rPr>
            </w:pPr>
            <w:hyperlink r:id="rId9" w:history="1">
              <w:r w:rsidR="00BF7D17" w:rsidRPr="00CD4269">
                <w:rPr>
                  <w:rStyle w:val="Hyperlink"/>
                  <w:bCs/>
                  <w:sz w:val="22"/>
                  <w:szCs w:val="22"/>
                </w:rPr>
                <w:t>mark.wigfield@fcc.gov</w:t>
              </w:r>
            </w:hyperlink>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5A581E" w:rsidRDefault="005A581E" w:rsidP="00040127">
            <w:pPr>
              <w:tabs>
                <w:tab w:val="left" w:pos="8625"/>
              </w:tabs>
              <w:jc w:val="center"/>
              <w:rPr>
                <w:b/>
                <w:bCs/>
                <w:sz w:val="26"/>
                <w:szCs w:val="26"/>
              </w:rPr>
            </w:pPr>
            <w:r>
              <w:rPr>
                <w:b/>
                <w:bCs/>
                <w:sz w:val="26"/>
                <w:szCs w:val="26"/>
              </w:rPr>
              <w:t xml:space="preserve">FCC SEEKS COMMENT ON FRAMEWORK TO ADVANCE COMPETITION IN THE BUSINESS DATA SERVICES MARKET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7A5A26" w:rsidRPr="00B86032" w:rsidRDefault="00FF1C0B" w:rsidP="00040127">
            <w:pPr>
              <w:tabs>
                <w:tab w:val="left" w:pos="8640"/>
              </w:tabs>
              <w:rPr>
                <w:sz w:val="22"/>
                <w:szCs w:val="22"/>
              </w:rPr>
            </w:pPr>
            <w:r w:rsidRPr="00B86032">
              <w:rPr>
                <w:sz w:val="22"/>
                <w:szCs w:val="22"/>
              </w:rPr>
              <w:t xml:space="preserve">WASHINGTON, </w:t>
            </w:r>
            <w:r w:rsidR="007A5A26" w:rsidRPr="00B86032">
              <w:rPr>
                <w:sz w:val="22"/>
                <w:szCs w:val="22"/>
              </w:rPr>
              <w:t>April 28, 2016</w:t>
            </w:r>
            <w:r w:rsidR="002B1013" w:rsidRPr="00B86032">
              <w:rPr>
                <w:sz w:val="22"/>
                <w:szCs w:val="22"/>
              </w:rPr>
              <w:t xml:space="preserve"> – </w:t>
            </w:r>
            <w:r w:rsidR="007A5A26" w:rsidRPr="00B86032">
              <w:rPr>
                <w:sz w:val="22"/>
                <w:szCs w:val="22"/>
              </w:rPr>
              <w:t xml:space="preserve">Today, the Federal Communications Commission </w:t>
            </w:r>
            <w:r w:rsidR="00AB6301">
              <w:rPr>
                <w:sz w:val="22"/>
                <w:szCs w:val="22"/>
              </w:rPr>
              <w:t>jumpstarted the process of</w:t>
            </w:r>
            <w:r w:rsidR="007A5A26" w:rsidRPr="00B86032">
              <w:rPr>
                <w:sz w:val="22"/>
                <w:szCs w:val="22"/>
              </w:rPr>
              <w:t xml:space="preserve"> protecting and advancing competition in the $45 billion market for business data services, also known as special access.</w:t>
            </w:r>
          </w:p>
          <w:p w:rsidR="007A5A26" w:rsidRPr="00B86032" w:rsidRDefault="007A5A26" w:rsidP="00040127">
            <w:pPr>
              <w:tabs>
                <w:tab w:val="left" w:pos="8640"/>
              </w:tabs>
              <w:rPr>
                <w:sz w:val="22"/>
                <w:szCs w:val="22"/>
              </w:rPr>
            </w:pPr>
          </w:p>
          <w:p w:rsidR="000E3BCA" w:rsidRDefault="007A5A26" w:rsidP="007A5A26">
            <w:pPr>
              <w:rPr>
                <w:sz w:val="22"/>
                <w:szCs w:val="22"/>
              </w:rPr>
            </w:pPr>
            <w:r w:rsidRPr="00B86032">
              <w:rPr>
                <w:sz w:val="22"/>
                <w:szCs w:val="22"/>
              </w:rPr>
              <w:t>Business data services are critical in the day-to-day life of consumers, business and industry, and are integral to the competitiveness of the U.S. economy as</w:t>
            </w:r>
            <w:r w:rsidR="003921AD">
              <w:rPr>
                <w:sz w:val="22"/>
                <w:szCs w:val="22"/>
              </w:rPr>
              <w:t xml:space="preserve"> a</w:t>
            </w:r>
            <w:r w:rsidRPr="00B86032">
              <w:rPr>
                <w:sz w:val="22"/>
                <w:szCs w:val="22"/>
              </w:rPr>
              <w:t xml:space="preserve"> whole</w:t>
            </w:r>
            <w:r w:rsidR="000E3BCA">
              <w:rPr>
                <w:sz w:val="22"/>
                <w:szCs w:val="22"/>
              </w:rPr>
              <w:t xml:space="preserve"> in the information age</w:t>
            </w:r>
            <w:r w:rsidRPr="00B86032">
              <w:rPr>
                <w:sz w:val="22"/>
                <w:szCs w:val="22"/>
              </w:rPr>
              <w:t xml:space="preserve">. </w:t>
            </w:r>
            <w:r w:rsidR="00DF12DE" w:rsidRPr="00B86032">
              <w:rPr>
                <w:sz w:val="22"/>
                <w:szCs w:val="22"/>
              </w:rPr>
              <w:t xml:space="preserve">Users include banks and retailers connecting ATM machines and credit card readers, government </w:t>
            </w:r>
            <w:r w:rsidR="00AA4DEE" w:rsidRPr="00B86032">
              <w:rPr>
                <w:sz w:val="22"/>
                <w:szCs w:val="22"/>
              </w:rPr>
              <w:t xml:space="preserve">and corporate users </w:t>
            </w:r>
            <w:r w:rsidR="00DF12DE" w:rsidRPr="00B86032">
              <w:rPr>
                <w:sz w:val="22"/>
                <w:szCs w:val="22"/>
              </w:rPr>
              <w:t>connecting branch offices</w:t>
            </w:r>
            <w:r w:rsidR="00AA4DEE" w:rsidRPr="00B86032">
              <w:rPr>
                <w:sz w:val="22"/>
                <w:szCs w:val="22"/>
              </w:rPr>
              <w:t xml:space="preserve"> and data centers</w:t>
            </w:r>
            <w:r w:rsidR="00DF12DE" w:rsidRPr="00B86032">
              <w:rPr>
                <w:sz w:val="22"/>
                <w:szCs w:val="22"/>
              </w:rPr>
              <w:t>, and mobile phone providers offload</w:t>
            </w:r>
            <w:r w:rsidR="00AA4DEE" w:rsidRPr="00B86032">
              <w:rPr>
                <w:sz w:val="22"/>
                <w:szCs w:val="22"/>
              </w:rPr>
              <w:t>ing c</w:t>
            </w:r>
            <w:r w:rsidR="00DF12DE" w:rsidRPr="00B86032">
              <w:rPr>
                <w:sz w:val="22"/>
                <w:szCs w:val="22"/>
              </w:rPr>
              <w:t xml:space="preserve">alls </w:t>
            </w:r>
            <w:r w:rsidR="00AA4DEE" w:rsidRPr="00B86032">
              <w:rPr>
                <w:sz w:val="22"/>
                <w:szCs w:val="22"/>
              </w:rPr>
              <w:t xml:space="preserve">and data from wireless networks – a need that will grow exponentially with the </w:t>
            </w:r>
            <w:r w:rsidR="00AB6301">
              <w:rPr>
                <w:sz w:val="22"/>
                <w:szCs w:val="22"/>
              </w:rPr>
              <w:t>deployment</w:t>
            </w:r>
            <w:r w:rsidR="00AB6301" w:rsidRPr="00B86032">
              <w:rPr>
                <w:sz w:val="22"/>
                <w:szCs w:val="22"/>
              </w:rPr>
              <w:t xml:space="preserve"> </w:t>
            </w:r>
            <w:r w:rsidR="00AA4DEE" w:rsidRPr="00B86032">
              <w:rPr>
                <w:sz w:val="22"/>
                <w:szCs w:val="22"/>
              </w:rPr>
              <w:t>of advanced 5G wireless service.</w:t>
            </w:r>
            <w:r w:rsidR="000D5D85">
              <w:rPr>
                <w:sz w:val="22"/>
                <w:szCs w:val="22"/>
              </w:rPr>
              <w:t xml:space="preserve"> </w:t>
            </w:r>
          </w:p>
          <w:p w:rsidR="000E3BCA" w:rsidRDefault="000E3BCA" w:rsidP="007A5A26">
            <w:pPr>
              <w:rPr>
                <w:sz w:val="22"/>
                <w:szCs w:val="22"/>
              </w:rPr>
            </w:pPr>
          </w:p>
          <w:p w:rsidR="000A20C1" w:rsidRPr="00B86032" w:rsidRDefault="000A20C1" w:rsidP="007A5A26">
            <w:pPr>
              <w:rPr>
                <w:sz w:val="22"/>
                <w:szCs w:val="22"/>
              </w:rPr>
            </w:pPr>
            <w:r w:rsidRPr="00B86032">
              <w:rPr>
                <w:sz w:val="22"/>
                <w:szCs w:val="22"/>
              </w:rPr>
              <w:t>Yet data collected by the FCC s</w:t>
            </w:r>
            <w:r w:rsidR="00DF12DE" w:rsidRPr="00B86032">
              <w:rPr>
                <w:sz w:val="22"/>
                <w:szCs w:val="22"/>
              </w:rPr>
              <w:t>hows</w:t>
            </w:r>
            <w:r w:rsidRPr="00B86032">
              <w:rPr>
                <w:sz w:val="22"/>
                <w:szCs w:val="22"/>
              </w:rPr>
              <w:t xml:space="preserve"> that competition </w:t>
            </w:r>
            <w:r w:rsidR="001203A3">
              <w:rPr>
                <w:sz w:val="22"/>
                <w:szCs w:val="22"/>
              </w:rPr>
              <w:t xml:space="preserve">in this essential market </w:t>
            </w:r>
            <w:r w:rsidR="00FD50A5">
              <w:rPr>
                <w:sz w:val="22"/>
                <w:szCs w:val="22"/>
              </w:rPr>
              <w:t xml:space="preserve">is uneven, and </w:t>
            </w:r>
            <w:r w:rsidR="001203A3">
              <w:rPr>
                <w:sz w:val="22"/>
                <w:szCs w:val="22"/>
              </w:rPr>
              <w:t xml:space="preserve">that the </w:t>
            </w:r>
            <w:r w:rsidR="00DF12DE" w:rsidRPr="00B86032">
              <w:rPr>
                <w:sz w:val="22"/>
                <w:szCs w:val="22"/>
              </w:rPr>
              <w:t>FCC’</w:t>
            </w:r>
            <w:r w:rsidR="002C68B0" w:rsidRPr="00B86032">
              <w:rPr>
                <w:sz w:val="22"/>
                <w:szCs w:val="22"/>
              </w:rPr>
              <w:t>s existing rules have failed to identify markets where competition is lacking</w:t>
            </w:r>
            <w:r w:rsidR="001203A3">
              <w:rPr>
                <w:sz w:val="22"/>
                <w:szCs w:val="22"/>
              </w:rPr>
              <w:t xml:space="preserve">, even as they have failed to </w:t>
            </w:r>
            <w:r w:rsidR="000E3BCA">
              <w:rPr>
                <w:sz w:val="22"/>
                <w:szCs w:val="22"/>
              </w:rPr>
              <w:t>identify</w:t>
            </w:r>
            <w:r w:rsidR="001203A3">
              <w:rPr>
                <w:sz w:val="22"/>
                <w:szCs w:val="22"/>
              </w:rPr>
              <w:t xml:space="preserve"> competitive markets. </w:t>
            </w:r>
          </w:p>
          <w:p w:rsidR="00DF12DE" w:rsidRPr="00B86032" w:rsidRDefault="00DF12DE" w:rsidP="007A5A26">
            <w:pPr>
              <w:rPr>
                <w:sz w:val="22"/>
                <w:szCs w:val="22"/>
              </w:rPr>
            </w:pPr>
          </w:p>
          <w:p w:rsidR="00DF12DE" w:rsidRPr="00B86032" w:rsidRDefault="00DF12DE" w:rsidP="007A5A26">
            <w:pPr>
              <w:rPr>
                <w:sz w:val="22"/>
                <w:szCs w:val="22"/>
              </w:rPr>
            </w:pPr>
            <w:r w:rsidRPr="00B86032">
              <w:rPr>
                <w:sz w:val="22"/>
                <w:szCs w:val="22"/>
              </w:rPr>
              <w:t xml:space="preserve">The item adopted by the Commission today seeks </w:t>
            </w:r>
            <w:r w:rsidR="000E3BCA">
              <w:rPr>
                <w:sz w:val="22"/>
                <w:szCs w:val="22"/>
              </w:rPr>
              <w:t xml:space="preserve">broad </w:t>
            </w:r>
            <w:r w:rsidR="005A581E">
              <w:rPr>
                <w:sz w:val="22"/>
                <w:szCs w:val="22"/>
              </w:rPr>
              <w:t xml:space="preserve">public </w:t>
            </w:r>
            <w:r w:rsidRPr="00B86032">
              <w:rPr>
                <w:sz w:val="22"/>
                <w:szCs w:val="22"/>
              </w:rPr>
              <w:t>comment on reforming and modernizing its rules based on four principles:</w:t>
            </w:r>
          </w:p>
          <w:p w:rsidR="00DF12DE" w:rsidRPr="00B86032" w:rsidRDefault="00DF12DE" w:rsidP="00DF12DE">
            <w:pPr>
              <w:pStyle w:val="ListParagraph"/>
              <w:numPr>
                <w:ilvl w:val="0"/>
                <w:numId w:val="2"/>
              </w:numPr>
              <w:rPr>
                <w:sz w:val="22"/>
                <w:szCs w:val="22"/>
              </w:rPr>
            </w:pPr>
            <w:r w:rsidRPr="00B86032">
              <w:rPr>
                <w:sz w:val="22"/>
                <w:szCs w:val="22"/>
              </w:rPr>
              <w:t xml:space="preserve">Competition is best, </w:t>
            </w:r>
            <w:r w:rsidR="002C68B0" w:rsidRPr="00B86032">
              <w:rPr>
                <w:sz w:val="22"/>
                <w:szCs w:val="22"/>
              </w:rPr>
              <w:t xml:space="preserve">but where competition does not exist, market conditions must not be allowed to </w:t>
            </w:r>
            <w:r w:rsidR="005A581E">
              <w:rPr>
                <w:sz w:val="22"/>
                <w:szCs w:val="22"/>
              </w:rPr>
              <w:t>stifle the ability of bus</w:t>
            </w:r>
            <w:r w:rsidR="002C68B0" w:rsidRPr="00B86032">
              <w:rPr>
                <w:sz w:val="22"/>
                <w:szCs w:val="22"/>
              </w:rPr>
              <w:t>iness customers to innovate and compete</w:t>
            </w:r>
          </w:p>
          <w:p w:rsidR="005A581E" w:rsidRDefault="005A581E" w:rsidP="00036F08">
            <w:pPr>
              <w:pStyle w:val="ListParagraph"/>
              <w:numPr>
                <w:ilvl w:val="0"/>
                <w:numId w:val="2"/>
              </w:numPr>
              <w:rPr>
                <w:sz w:val="22"/>
                <w:szCs w:val="22"/>
              </w:rPr>
            </w:pPr>
            <w:r w:rsidRPr="005A581E">
              <w:rPr>
                <w:sz w:val="22"/>
                <w:szCs w:val="22"/>
              </w:rPr>
              <w:t xml:space="preserve">Technological neutrality </w:t>
            </w:r>
            <w:r w:rsidR="00AB6301">
              <w:rPr>
                <w:sz w:val="22"/>
                <w:szCs w:val="22"/>
              </w:rPr>
              <w:t>should</w:t>
            </w:r>
            <w:r w:rsidR="00AB6301" w:rsidRPr="005A581E">
              <w:rPr>
                <w:sz w:val="22"/>
                <w:szCs w:val="22"/>
              </w:rPr>
              <w:t xml:space="preserve"> </w:t>
            </w:r>
            <w:r w:rsidRPr="005A581E">
              <w:rPr>
                <w:sz w:val="22"/>
                <w:szCs w:val="22"/>
              </w:rPr>
              <w:t xml:space="preserve">be at the core of any new </w:t>
            </w:r>
            <w:r w:rsidR="002C68B0" w:rsidRPr="005A581E">
              <w:rPr>
                <w:sz w:val="22"/>
                <w:szCs w:val="22"/>
              </w:rPr>
              <w:t xml:space="preserve">regulatory framework </w:t>
            </w:r>
          </w:p>
          <w:p w:rsidR="00612680" w:rsidRPr="005A581E" w:rsidRDefault="005A581E" w:rsidP="00036F08">
            <w:pPr>
              <w:pStyle w:val="ListParagraph"/>
              <w:numPr>
                <w:ilvl w:val="0"/>
                <w:numId w:val="2"/>
              </w:numPr>
              <w:rPr>
                <w:sz w:val="22"/>
                <w:szCs w:val="22"/>
              </w:rPr>
            </w:pPr>
            <w:r w:rsidRPr="005A581E">
              <w:rPr>
                <w:sz w:val="22"/>
                <w:szCs w:val="22"/>
              </w:rPr>
              <w:t xml:space="preserve">Policies </w:t>
            </w:r>
            <w:r w:rsidR="00AB6301">
              <w:rPr>
                <w:sz w:val="22"/>
                <w:szCs w:val="22"/>
              </w:rPr>
              <w:t>should remove barriers to</w:t>
            </w:r>
            <w:r w:rsidR="00612680" w:rsidRPr="005A581E">
              <w:rPr>
                <w:sz w:val="22"/>
                <w:szCs w:val="22"/>
              </w:rPr>
              <w:t xml:space="preserve"> the transition to new technologies</w:t>
            </w:r>
          </w:p>
          <w:p w:rsidR="00612680" w:rsidRPr="00B86032" w:rsidRDefault="00612680" w:rsidP="00612680">
            <w:pPr>
              <w:pStyle w:val="ListParagraph"/>
              <w:numPr>
                <w:ilvl w:val="0"/>
                <w:numId w:val="2"/>
              </w:numPr>
              <w:rPr>
                <w:sz w:val="22"/>
                <w:szCs w:val="22"/>
              </w:rPr>
            </w:pPr>
            <w:r w:rsidRPr="00B86032">
              <w:rPr>
                <w:sz w:val="22"/>
                <w:szCs w:val="22"/>
              </w:rPr>
              <w:t>Rules should be crafted to meet the needs of both today’s and tomorrow’s marketplace.</w:t>
            </w:r>
          </w:p>
          <w:p w:rsidR="00612680" w:rsidRPr="00B86032" w:rsidRDefault="00612680" w:rsidP="00612680">
            <w:pPr>
              <w:rPr>
                <w:sz w:val="22"/>
                <w:szCs w:val="22"/>
              </w:rPr>
            </w:pPr>
          </w:p>
          <w:p w:rsidR="00612680" w:rsidRPr="00B86032" w:rsidRDefault="00612680" w:rsidP="00612680">
            <w:pPr>
              <w:rPr>
                <w:sz w:val="22"/>
                <w:szCs w:val="22"/>
              </w:rPr>
            </w:pPr>
            <w:r w:rsidRPr="00B86032">
              <w:rPr>
                <w:sz w:val="22"/>
                <w:szCs w:val="22"/>
              </w:rPr>
              <w:t xml:space="preserve">The item includes an Order resolving an investigation of existing special access tariffs filed by four major </w:t>
            </w:r>
            <w:r w:rsidR="00FD50A5">
              <w:rPr>
                <w:sz w:val="22"/>
                <w:szCs w:val="22"/>
              </w:rPr>
              <w:t>telecommunications</w:t>
            </w:r>
            <w:r w:rsidRPr="00B86032">
              <w:rPr>
                <w:sz w:val="22"/>
                <w:szCs w:val="22"/>
              </w:rPr>
              <w:t xml:space="preserve"> companies, known as incumbent local exchange carriers or ILEC</w:t>
            </w:r>
            <w:r w:rsidR="00FD50A5">
              <w:rPr>
                <w:sz w:val="22"/>
                <w:szCs w:val="22"/>
              </w:rPr>
              <w:t>s</w:t>
            </w:r>
            <w:r w:rsidRPr="00B86032">
              <w:rPr>
                <w:sz w:val="22"/>
                <w:szCs w:val="22"/>
              </w:rPr>
              <w:t xml:space="preserve">: AT&amp;T, Verizon, CenturyLink and Frontier. The Order finds that </w:t>
            </w:r>
            <w:r w:rsidR="005A581E">
              <w:rPr>
                <w:sz w:val="22"/>
                <w:szCs w:val="22"/>
              </w:rPr>
              <w:t xml:space="preserve">certain </w:t>
            </w:r>
            <w:r w:rsidRPr="00B86032">
              <w:rPr>
                <w:sz w:val="22"/>
                <w:szCs w:val="22"/>
              </w:rPr>
              <w:t>terms and conditions of these tariffs were unjust and unreasonable, and had the effect of decreasing facilities-based competition and inhibiting the transition to new technologies. These companies will be required to withdraw the illegal terms of these tariffs and file new tariffs within 60 days of release of the Order.</w:t>
            </w:r>
          </w:p>
          <w:p w:rsidR="00612680" w:rsidRPr="00B86032" w:rsidRDefault="00612680" w:rsidP="00612680">
            <w:pPr>
              <w:rPr>
                <w:sz w:val="22"/>
                <w:szCs w:val="22"/>
              </w:rPr>
            </w:pPr>
          </w:p>
          <w:p w:rsidR="00FC64FB" w:rsidRPr="00B86032" w:rsidRDefault="00612680" w:rsidP="00FC64FB">
            <w:pPr>
              <w:pStyle w:val="ParaNum"/>
              <w:numPr>
                <w:ilvl w:val="0"/>
                <w:numId w:val="0"/>
              </w:numPr>
              <w:tabs>
                <w:tab w:val="left" w:pos="1080"/>
              </w:tabs>
              <w:rPr>
                <w:szCs w:val="22"/>
              </w:rPr>
            </w:pPr>
            <w:r w:rsidRPr="00B86032">
              <w:rPr>
                <w:szCs w:val="22"/>
              </w:rPr>
              <w:t xml:space="preserve">A Further Notice of Proposed Rulemaking </w:t>
            </w:r>
            <w:r w:rsidR="00136FAF">
              <w:rPr>
                <w:szCs w:val="22"/>
              </w:rPr>
              <w:t>seeks</w:t>
            </w:r>
            <w:r w:rsidR="00FC64FB" w:rsidRPr="00B86032">
              <w:rPr>
                <w:szCs w:val="22"/>
              </w:rPr>
              <w:t xml:space="preserve"> to replace the existing, fragmented </w:t>
            </w:r>
            <w:r w:rsidR="00136FAF">
              <w:rPr>
                <w:szCs w:val="22"/>
              </w:rPr>
              <w:t>and outdated rules</w:t>
            </w:r>
            <w:r w:rsidR="00FC64FB" w:rsidRPr="00B86032">
              <w:rPr>
                <w:szCs w:val="22"/>
              </w:rPr>
              <w:t xml:space="preserve"> with a new technology-neutral framework that classifies markets as either non-competitive</w:t>
            </w:r>
            <w:r w:rsidR="00FD50A5">
              <w:rPr>
                <w:szCs w:val="22"/>
              </w:rPr>
              <w:t xml:space="preserve"> </w:t>
            </w:r>
            <w:r w:rsidR="00FC64FB" w:rsidRPr="00B86032">
              <w:rPr>
                <w:szCs w:val="22"/>
              </w:rPr>
              <w:t>or as competitive.</w:t>
            </w:r>
            <w:r w:rsidR="00E75E3F">
              <w:rPr>
                <w:szCs w:val="22"/>
              </w:rPr>
              <w:t xml:space="preserve">  </w:t>
            </w:r>
            <w:r w:rsidR="00FC64FB" w:rsidRPr="00B86032">
              <w:rPr>
                <w:szCs w:val="22"/>
              </w:rPr>
              <w:t xml:space="preserve"> </w:t>
            </w:r>
            <w:r w:rsidR="00136FAF">
              <w:rPr>
                <w:szCs w:val="22"/>
              </w:rPr>
              <w:t>Where competition is lacking</w:t>
            </w:r>
            <w:r w:rsidR="00E75E3F" w:rsidRPr="00E75E3F">
              <w:rPr>
                <w:szCs w:val="22"/>
              </w:rPr>
              <w:t xml:space="preserve">, the </w:t>
            </w:r>
            <w:r w:rsidR="00E75E3F">
              <w:rPr>
                <w:szCs w:val="22"/>
              </w:rPr>
              <w:t xml:space="preserve">Further Notice </w:t>
            </w:r>
            <w:r w:rsidR="00136FAF">
              <w:rPr>
                <w:szCs w:val="22"/>
              </w:rPr>
              <w:t>asks about the specific rules necessary to advance it</w:t>
            </w:r>
            <w:r w:rsidR="006119A5">
              <w:rPr>
                <w:szCs w:val="22"/>
              </w:rPr>
              <w:t>.</w:t>
            </w:r>
            <w:r w:rsidR="00FC64FB" w:rsidRPr="00B86032">
              <w:rPr>
                <w:szCs w:val="22"/>
              </w:rPr>
              <w:t xml:space="preserve"> </w:t>
            </w:r>
            <w:r w:rsidR="00E75E3F">
              <w:rPr>
                <w:szCs w:val="22"/>
              </w:rPr>
              <w:t xml:space="preserve"> </w:t>
            </w:r>
            <w:r w:rsidR="00FC64FB" w:rsidRPr="00B86032">
              <w:rPr>
                <w:szCs w:val="22"/>
              </w:rPr>
              <w:t>The Further Notice also:</w:t>
            </w:r>
          </w:p>
          <w:p w:rsidR="00FC64FB" w:rsidRPr="00B86032" w:rsidRDefault="00FC64FB" w:rsidP="00FC64FB">
            <w:pPr>
              <w:pStyle w:val="ParaNum"/>
              <w:numPr>
                <w:ilvl w:val="0"/>
                <w:numId w:val="4"/>
              </w:numPr>
              <w:tabs>
                <w:tab w:val="left" w:pos="1080"/>
              </w:tabs>
              <w:rPr>
                <w:szCs w:val="22"/>
              </w:rPr>
            </w:pPr>
            <w:r w:rsidRPr="00B86032">
              <w:rPr>
                <w:szCs w:val="22"/>
              </w:rPr>
              <w:t>Begins by surveying current marketplace conditions, including the location of current infrastructure and the data suggesting in which places and products and for which customers competition is more likely present and for which it is more likely to be not present.  Based on this analysis, the Commission proposes to identify competitive markets as those in which material competitive effects are present;</w:t>
            </w:r>
          </w:p>
          <w:p w:rsidR="00FC64FB" w:rsidRPr="00B86032" w:rsidRDefault="00373FC3" w:rsidP="00FC64FB">
            <w:pPr>
              <w:pStyle w:val="ParaNum"/>
              <w:numPr>
                <w:ilvl w:val="0"/>
                <w:numId w:val="4"/>
              </w:numPr>
              <w:tabs>
                <w:tab w:val="left" w:pos="1080"/>
              </w:tabs>
              <w:rPr>
                <w:szCs w:val="22"/>
              </w:rPr>
            </w:pPr>
            <w:r>
              <w:rPr>
                <w:szCs w:val="22"/>
              </w:rPr>
              <w:t>Identifies</w:t>
            </w:r>
            <w:r w:rsidRPr="00B86032">
              <w:rPr>
                <w:szCs w:val="22"/>
              </w:rPr>
              <w:t xml:space="preserve"> </w:t>
            </w:r>
            <w:r w:rsidR="000D6DBA">
              <w:rPr>
                <w:szCs w:val="22"/>
              </w:rPr>
              <w:t xml:space="preserve">and seeks comment on </w:t>
            </w:r>
            <w:r w:rsidR="00FC64FB" w:rsidRPr="00B86032">
              <w:rPr>
                <w:szCs w:val="22"/>
              </w:rPr>
              <w:t xml:space="preserve">a set of de-regulatory </w:t>
            </w:r>
            <w:r w:rsidR="00B42D22">
              <w:rPr>
                <w:szCs w:val="22"/>
              </w:rPr>
              <w:t>measures in</w:t>
            </w:r>
            <w:r w:rsidR="00FC64FB" w:rsidRPr="00B86032">
              <w:rPr>
                <w:szCs w:val="22"/>
              </w:rPr>
              <w:t xml:space="preserve"> competitive markets</w:t>
            </w:r>
            <w:r w:rsidR="00B42D22">
              <w:rPr>
                <w:szCs w:val="22"/>
              </w:rPr>
              <w:t>, maintaining minimal oversight</w:t>
            </w:r>
            <w:r w:rsidR="00FC64FB" w:rsidRPr="00B86032">
              <w:rPr>
                <w:szCs w:val="22"/>
              </w:rPr>
              <w:t xml:space="preserve"> to ensure that the provision of telecommunications services is just and reasonable</w:t>
            </w:r>
            <w:r w:rsidR="00FD50A5">
              <w:rPr>
                <w:szCs w:val="22"/>
              </w:rPr>
              <w:t>;</w:t>
            </w:r>
          </w:p>
          <w:p w:rsidR="00FC64FB" w:rsidRPr="00B86032" w:rsidRDefault="000D6DBA" w:rsidP="00FC64FB">
            <w:pPr>
              <w:pStyle w:val="ParaNum"/>
              <w:numPr>
                <w:ilvl w:val="0"/>
                <w:numId w:val="4"/>
              </w:numPr>
              <w:tabs>
                <w:tab w:val="left" w:pos="1080"/>
              </w:tabs>
              <w:rPr>
                <w:szCs w:val="22"/>
              </w:rPr>
            </w:pPr>
            <w:r>
              <w:rPr>
                <w:szCs w:val="22"/>
              </w:rPr>
              <w:t>Seeks comment on requiring</w:t>
            </w:r>
            <w:r w:rsidR="00FC64FB" w:rsidRPr="00B86032">
              <w:rPr>
                <w:szCs w:val="22"/>
              </w:rPr>
              <w:t xml:space="preserve"> that companies be free from non-disclosure agreements that would prevent them from providing information to the Commission;</w:t>
            </w:r>
          </w:p>
          <w:p w:rsidR="00FC64FB" w:rsidRPr="00B86032" w:rsidRDefault="000D6DBA" w:rsidP="00FC64FB">
            <w:pPr>
              <w:pStyle w:val="ParaNum"/>
              <w:numPr>
                <w:ilvl w:val="0"/>
                <w:numId w:val="4"/>
              </w:numPr>
              <w:tabs>
                <w:tab w:val="left" w:pos="1080"/>
              </w:tabs>
              <w:rPr>
                <w:szCs w:val="22"/>
              </w:rPr>
            </w:pPr>
            <w:r>
              <w:rPr>
                <w:szCs w:val="22"/>
              </w:rPr>
              <w:t>Identifies</w:t>
            </w:r>
            <w:r w:rsidR="00E75E3F">
              <w:rPr>
                <w:szCs w:val="22"/>
              </w:rPr>
              <w:t xml:space="preserve"> </w:t>
            </w:r>
            <w:r w:rsidR="00635628">
              <w:rPr>
                <w:szCs w:val="22"/>
              </w:rPr>
              <w:t xml:space="preserve">and seeks comment on </w:t>
            </w:r>
            <w:r w:rsidR="00FC64FB" w:rsidRPr="00B86032">
              <w:rPr>
                <w:szCs w:val="22"/>
              </w:rPr>
              <w:t>a tailored set of rules to safeguard customers in non-competitive markets, including the use of price regulation and the prohibition of certain tying arrangements that harm competition</w:t>
            </w:r>
            <w:r w:rsidR="00B42D22">
              <w:rPr>
                <w:szCs w:val="22"/>
              </w:rPr>
              <w:t>;</w:t>
            </w:r>
          </w:p>
          <w:p w:rsidR="00FC64FB" w:rsidRPr="00B86032" w:rsidRDefault="00FC64FB" w:rsidP="00FC64FB">
            <w:pPr>
              <w:pStyle w:val="ParaNum"/>
              <w:numPr>
                <w:ilvl w:val="0"/>
                <w:numId w:val="4"/>
              </w:numPr>
              <w:tabs>
                <w:tab w:val="left" w:pos="1080"/>
              </w:tabs>
              <w:rPr>
                <w:szCs w:val="22"/>
              </w:rPr>
            </w:pPr>
            <w:r w:rsidRPr="00B86032">
              <w:rPr>
                <w:szCs w:val="22"/>
              </w:rPr>
              <w:t>Seeks comment on the appropriate treatment under this framework of the three types of contractual terms identified in the Tariff Investigation Order, as well as other contractual terms and conditions that have been subject to public comment;</w:t>
            </w:r>
          </w:p>
          <w:p w:rsidR="00FC64FB" w:rsidRPr="00B86032" w:rsidRDefault="00635628" w:rsidP="00FC64FB">
            <w:pPr>
              <w:pStyle w:val="ParaNum"/>
              <w:numPr>
                <w:ilvl w:val="0"/>
                <w:numId w:val="4"/>
              </w:numPr>
              <w:tabs>
                <w:tab w:val="left" w:pos="1080"/>
              </w:tabs>
              <w:rPr>
                <w:szCs w:val="22"/>
              </w:rPr>
            </w:pPr>
            <w:r>
              <w:rPr>
                <w:szCs w:val="22"/>
              </w:rPr>
              <w:t>Seeks comment on</w:t>
            </w:r>
            <w:r w:rsidRPr="00B86032">
              <w:rPr>
                <w:szCs w:val="22"/>
              </w:rPr>
              <w:t xml:space="preserve"> </w:t>
            </w:r>
            <w:r>
              <w:rPr>
                <w:szCs w:val="22"/>
              </w:rPr>
              <w:t xml:space="preserve">a proposal that </w:t>
            </w:r>
            <w:r w:rsidR="00FC64FB" w:rsidRPr="00B86032">
              <w:rPr>
                <w:szCs w:val="22"/>
              </w:rPr>
              <w:t>tariffs should not be used in the future as pa</w:t>
            </w:r>
            <w:r w:rsidR="00221B8A">
              <w:rPr>
                <w:szCs w:val="22"/>
              </w:rPr>
              <w:t>rt of the regulation of broadband data service</w:t>
            </w:r>
            <w:r w:rsidR="00AB6301">
              <w:rPr>
                <w:szCs w:val="22"/>
              </w:rPr>
              <w:t xml:space="preserve"> in either competitive or non-competitive markets</w:t>
            </w:r>
            <w:r w:rsidR="00E75E3F">
              <w:rPr>
                <w:szCs w:val="22"/>
              </w:rPr>
              <w:t>;</w:t>
            </w:r>
          </w:p>
          <w:p w:rsidR="00FC64FB" w:rsidRPr="00B86032" w:rsidRDefault="00635628" w:rsidP="00FC64FB">
            <w:pPr>
              <w:pStyle w:val="ParaNum"/>
              <w:numPr>
                <w:ilvl w:val="0"/>
                <w:numId w:val="4"/>
              </w:numPr>
              <w:tabs>
                <w:tab w:val="left" w:pos="1080"/>
              </w:tabs>
              <w:rPr>
                <w:szCs w:val="22"/>
              </w:rPr>
            </w:pPr>
            <w:r>
              <w:rPr>
                <w:szCs w:val="22"/>
              </w:rPr>
              <w:t xml:space="preserve">Seeks comment on </w:t>
            </w:r>
            <w:r w:rsidR="00FC64FB" w:rsidRPr="00B86032">
              <w:rPr>
                <w:szCs w:val="22"/>
              </w:rPr>
              <w:t xml:space="preserve">a </w:t>
            </w:r>
            <w:r>
              <w:rPr>
                <w:szCs w:val="22"/>
              </w:rPr>
              <w:t xml:space="preserve">proposed </w:t>
            </w:r>
            <w:r w:rsidR="00FC64FB" w:rsidRPr="00B86032">
              <w:rPr>
                <w:szCs w:val="22"/>
              </w:rPr>
              <w:t>future periodic data collection of a kind that will allow the Commission to update periodically its identification of competitive and non-competitive markets; and</w:t>
            </w:r>
          </w:p>
          <w:p w:rsidR="00FC64FB" w:rsidRPr="00B86032" w:rsidRDefault="00FC64FB" w:rsidP="00FC64FB">
            <w:pPr>
              <w:pStyle w:val="ParaNum"/>
              <w:numPr>
                <w:ilvl w:val="0"/>
                <w:numId w:val="4"/>
              </w:numPr>
              <w:tabs>
                <w:tab w:val="left" w:pos="1080"/>
              </w:tabs>
              <w:rPr>
                <w:szCs w:val="22"/>
              </w:rPr>
            </w:pPr>
            <w:r w:rsidRPr="00B86032">
              <w:rPr>
                <w:szCs w:val="22"/>
              </w:rPr>
              <w:t xml:space="preserve">In order that the new regulatory framework be applied in a technology-neutral manner, </w:t>
            </w:r>
            <w:r w:rsidR="00635628">
              <w:rPr>
                <w:szCs w:val="22"/>
              </w:rPr>
              <w:t xml:space="preserve">seeks comment on a </w:t>
            </w:r>
            <w:r w:rsidRPr="00B86032">
              <w:rPr>
                <w:szCs w:val="22"/>
              </w:rPr>
              <w:t>propos</w:t>
            </w:r>
            <w:r w:rsidR="00635628">
              <w:rPr>
                <w:szCs w:val="22"/>
              </w:rPr>
              <w:t>al</w:t>
            </w:r>
            <w:r w:rsidRPr="00B86032">
              <w:rPr>
                <w:szCs w:val="22"/>
              </w:rPr>
              <w:t xml:space="preserve"> to eliminate the current exemption for certain Verizon services from the basic provisions of the Act governing just and reasonable offerings of telecommunications services. </w:t>
            </w:r>
          </w:p>
          <w:p w:rsidR="00612680" w:rsidRPr="00B86032" w:rsidRDefault="00FC64FB" w:rsidP="00FC64FB">
            <w:pPr>
              <w:rPr>
                <w:sz w:val="22"/>
                <w:szCs w:val="22"/>
              </w:rPr>
            </w:pPr>
            <w:r w:rsidRPr="00B86032">
              <w:rPr>
                <w:sz w:val="22"/>
                <w:szCs w:val="22"/>
              </w:rPr>
              <w:t>The Further Notice emphasizes that the Commission intends to listen and to learn from the comments it receives before it reaches final decisions.</w:t>
            </w:r>
          </w:p>
          <w:p w:rsidR="00BD19E8" w:rsidRDefault="00BD19E8" w:rsidP="00DA7B44">
            <w:pPr>
              <w:rPr>
                <w:rStyle w:val="Hyperlink"/>
                <w:color w:val="auto"/>
                <w:sz w:val="22"/>
                <w:szCs w:val="22"/>
                <w:u w:val="none"/>
              </w:rPr>
            </w:pPr>
          </w:p>
          <w:p w:rsidR="008E2110" w:rsidRDefault="008E2110" w:rsidP="008E2110">
            <w:pPr>
              <w:rPr>
                <w:sz w:val="22"/>
                <w:szCs w:val="22"/>
              </w:rPr>
            </w:pPr>
            <w:r>
              <w:t xml:space="preserve">Action by the Commission April 28, 2016 by Tariff Investigation Order and a Further Notice of Proposed Rulemaking (FCC 16-54).  Chairman Wheeler, Commissioners Clyburn and Rosenworcel approving.  Commissioners Pai and O’Rielly dissenting.  Chairman Wheeler, Commissioners Clyburn, Rosenworcel, Pai and O’Rielly issuing separate statements.  </w:t>
            </w:r>
          </w:p>
          <w:p w:rsidR="008E2110" w:rsidRDefault="008E2110" w:rsidP="008E2110"/>
          <w:p w:rsidR="008E2110" w:rsidRDefault="008E2110" w:rsidP="008E2110">
            <w:r>
              <w:t>WC Docket No. 15-247; WC Docket No. 05-25; RM-10593</w:t>
            </w:r>
          </w:p>
          <w:p w:rsidR="008E2110" w:rsidRPr="009972BC" w:rsidRDefault="008E2110"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8E2110" w:rsidRDefault="008E2110" w:rsidP="00BB4E29">
            <w:pPr>
              <w:ind w:right="498"/>
              <w:jc w:val="center"/>
              <w:rPr>
                <w:b/>
                <w:bCs/>
                <w:sz w:val="18"/>
                <w:szCs w:val="18"/>
              </w:rPr>
            </w:pPr>
          </w:p>
          <w:p w:rsidR="00E644FE" w:rsidRPr="006B0A70" w:rsidRDefault="00E644FE" w:rsidP="00BB4E29">
            <w:pPr>
              <w:ind w:right="498"/>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Default="006A2FC5" w:rsidP="00BB4E29">
            <w:pPr>
              <w:ind w:right="498"/>
              <w:jc w:val="center"/>
              <w:rPr>
                <w:b/>
                <w:bCs/>
                <w:sz w:val="18"/>
                <w:szCs w:val="18"/>
              </w:rPr>
            </w:pPr>
            <w:r>
              <w:rPr>
                <w:b/>
                <w:bCs/>
                <w:sz w:val="18"/>
                <w:szCs w:val="18"/>
              </w:rPr>
              <w:t>Twitter: @FCC</w:t>
            </w:r>
          </w:p>
          <w:p w:rsidR="008E2110" w:rsidRPr="006B0A70" w:rsidRDefault="008E2110" w:rsidP="00BB4E29">
            <w:pPr>
              <w:ind w:right="498"/>
              <w:jc w:val="center"/>
              <w:rPr>
                <w:b/>
                <w:bCs/>
                <w:sz w:val="18"/>
                <w:szCs w:val="18"/>
              </w:rPr>
            </w:pPr>
          </w:p>
          <w:p w:rsidR="00EE0E90" w:rsidRPr="0069420F" w:rsidRDefault="000C1B87" w:rsidP="008E2110">
            <w:pPr>
              <w:ind w:right="498"/>
              <w:jc w:val="center"/>
              <w:rPr>
                <w:bCs/>
                <w:i/>
                <w:sz w:val="18"/>
                <w:szCs w:val="18"/>
              </w:rPr>
            </w:pPr>
            <w:hyperlink r:id="rId10" w:history="1">
              <w:r w:rsidR="00EE0E90" w:rsidRPr="00EE0E90">
                <w:rPr>
                  <w:rStyle w:val="Hyperlink"/>
                  <w:b/>
                  <w:bCs/>
                  <w:color w:val="auto"/>
                  <w:sz w:val="18"/>
                  <w:szCs w:val="18"/>
                </w:rPr>
                <w:t>www.fcc.gov/office-media-relations</w:t>
              </w:r>
            </w:hyperlink>
            <w:r w:rsidR="0069420F" w:rsidRPr="00986C92">
              <w:rPr>
                <w:bCs/>
                <w:i/>
                <w:sz w:val="18"/>
                <w:szCs w:val="18"/>
              </w:rPr>
              <w:t>his is an unofficial announcement of Commission action.  Release of the full text of a Commission order constitutes official action.  See MCI v. FCC</w:t>
            </w:r>
            <w:r w:rsidR="0069420F">
              <w:rPr>
                <w:bCs/>
                <w:i/>
                <w:sz w:val="18"/>
                <w:szCs w:val="18"/>
              </w:rPr>
              <w:t>, 515 F.</w:t>
            </w:r>
            <w:r w:rsidR="0069420F" w:rsidRPr="00986C92">
              <w:rPr>
                <w:bCs/>
                <w:i/>
                <w:sz w:val="18"/>
                <w:szCs w:val="18"/>
              </w:rPr>
              <w:t>2d 385 (D.C. Cir</w:t>
            </w:r>
            <w:r w:rsidR="0069420F">
              <w:rPr>
                <w:bCs/>
                <w:i/>
                <w:sz w:val="18"/>
                <w:szCs w:val="18"/>
              </w:rPr>
              <w:t>.</w:t>
            </w:r>
            <w:r w:rsidR="0069420F"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F9" w:rsidRDefault="007441F9" w:rsidP="007441F9">
      <w:r>
        <w:separator/>
      </w:r>
    </w:p>
  </w:endnote>
  <w:endnote w:type="continuationSeparator" w:id="0">
    <w:p w:rsidR="007441F9" w:rsidRDefault="007441F9" w:rsidP="007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F9" w:rsidRDefault="00744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F9" w:rsidRDefault="00744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F9" w:rsidRDefault="00744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F9" w:rsidRDefault="007441F9" w:rsidP="007441F9">
      <w:r>
        <w:separator/>
      </w:r>
    </w:p>
  </w:footnote>
  <w:footnote w:type="continuationSeparator" w:id="0">
    <w:p w:rsidR="007441F9" w:rsidRDefault="007441F9" w:rsidP="0074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F9" w:rsidRDefault="00744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F9" w:rsidRDefault="00744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F9" w:rsidRDefault="0074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AF80772"/>
    <w:multiLevelType w:val="hybridMultilevel"/>
    <w:tmpl w:val="8F4C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034A0"/>
    <w:multiLevelType w:val="hybridMultilevel"/>
    <w:tmpl w:val="4442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71C849A9"/>
    <w:multiLevelType w:val="hybridMultilevel"/>
    <w:tmpl w:val="251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72"/>
    <w:rsid w:val="0002500C"/>
    <w:rsid w:val="000311FC"/>
    <w:rsid w:val="00040127"/>
    <w:rsid w:val="00081232"/>
    <w:rsid w:val="00091E65"/>
    <w:rsid w:val="00096D4A"/>
    <w:rsid w:val="000A20C1"/>
    <w:rsid w:val="000A38EA"/>
    <w:rsid w:val="000C1B87"/>
    <w:rsid w:val="000C1E47"/>
    <w:rsid w:val="000C26F3"/>
    <w:rsid w:val="000D5D85"/>
    <w:rsid w:val="000D6DBA"/>
    <w:rsid w:val="000E049E"/>
    <w:rsid w:val="000E3BCA"/>
    <w:rsid w:val="0010799B"/>
    <w:rsid w:val="00117DB2"/>
    <w:rsid w:val="001203A3"/>
    <w:rsid w:val="00123ED2"/>
    <w:rsid w:val="00125BE0"/>
    <w:rsid w:val="00136FAF"/>
    <w:rsid w:val="00142C13"/>
    <w:rsid w:val="00152776"/>
    <w:rsid w:val="00153222"/>
    <w:rsid w:val="001577D3"/>
    <w:rsid w:val="001733A6"/>
    <w:rsid w:val="001865A9"/>
    <w:rsid w:val="00187DB2"/>
    <w:rsid w:val="001B20BB"/>
    <w:rsid w:val="001C4370"/>
    <w:rsid w:val="001D3779"/>
    <w:rsid w:val="001E2089"/>
    <w:rsid w:val="001F0469"/>
    <w:rsid w:val="00203A98"/>
    <w:rsid w:val="00206EDD"/>
    <w:rsid w:val="0021247E"/>
    <w:rsid w:val="002146F6"/>
    <w:rsid w:val="00221B8A"/>
    <w:rsid w:val="00231C32"/>
    <w:rsid w:val="00240345"/>
    <w:rsid w:val="002421F0"/>
    <w:rsid w:val="00247274"/>
    <w:rsid w:val="00266966"/>
    <w:rsid w:val="00294C0C"/>
    <w:rsid w:val="002A0934"/>
    <w:rsid w:val="002B1013"/>
    <w:rsid w:val="002C68B0"/>
    <w:rsid w:val="002D03E5"/>
    <w:rsid w:val="002E3F1D"/>
    <w:rsid w:val="002F31D0"/>
    <w:rsid w:val="00300359"/>
    <w:rsid w:val="0031773E"/>
    <w:rsid w:val="00347716"/>
    <w:rsid w:val="003506E1"/>
    <w:rsid w:val="003727E3"/>
    <w:rsid w:val="00373FC3"/>
    <w:rsid w:val="00385A93"/>
    <w:rsid w:val="003910F1"/>
    <w:rsid w:val="003921AD"/>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51F61"/>
    <w:rsid w:val="00571B83"/>
    <w:rsid w:val="00575A00"/>
    <w:rsid w:val="0058673C"/>
    <w:rsid w:val="005A581E"/>
    <w:rsid w:val="005A7972"/>
    <w:rsid w:val="005B17E7"/>
    <w:rsid w:val="005B2643"/>
    <w:rsid w:val="005D17FD"/>
    <w:rsid w:val="005F0D55"/>
    <w:rsid w:val="005F183E"/>
    <w:rsid w:val="00600DDA"/>
    <w:rsid w:val="00604211"/>
    <w:rsid w:val="006119A5"/>
    <w:rsid w:val="00612680"/>
    <w:rsid w:val="00613498"/>
    <w:rsid w:val="00617B94"/>
    <w:rsid w:val="00620BED"/>
    <w:rsid w:val="00625672"/>
    <w:rsid w:val="00630B54"/>
    <w:rsid w:val="00635628"/>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413BC"/>
    <w:rsid w:val="007441F9"/>
    <w:rsid w:val="0075235E"/>
    <w:rsid w:val="007528A5"/>
    <w:rsid w:val="007732CC"/>
    <w:rsid w:val="00774079"/>
    <w:rsid w:val="0077752B"/>
    <w:rsid w:val="00793D6F"/>
    <w:rsid w:val="00794090"/>
    <w:rsid w:val="007A44F8"/>
    <w:rsid w:val="007A5A26"/>
    <w:rsid w:val="007D21BF"/>
    <w:rsid w:val="007F3C12"/>
    <w:rsid w:val="007F5205"/>
    <w:rsid w:val="008215E7"/>
    <w:rsid w:val="00830FC6"/>
    <w:rsid w:val="00865EAA"/>
    <w:rsid w:val="00866F06"/>
    <w:rsid w:val="00871D8A"/>
    <w:rsid w:val="008728F5"/>
    <w:rsid w:val="008824C2"/>
    <w:rsid w:val="008960E4"/>
    <w:rsid w:val="008A3940"/>
    <w:rsid w:val="008B13C9"/>
    <w:rsid w:val="008C248C"/>
    <w:rsid w:val="008C5432"/>
    <w:rsid w:val="008C5562"/>
    <w:rsid w:val="008C7BF1"/>
    <w:rsid w:val="008D00D6"/>
    <w:rsid w:val="008D4D00"/>
    <w:rsid w:val="008D4E5E"/>
    <w:rsid w:val="008D7ABD"/>
    <w:rsid w:val="008E2110"/>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4DEE"/>
    <w:rsid w:val="00AA5C35"/>
    <w:rsid w:val="00AA5ED9"/>
    <w:rsid w:val="00AB6301"/>
    <w:rsid w:val="00AC0A38"/>
    <w:rsid w:val="00AC4E0E"/>
    <w:rsid w:val="00AC517B"/>
    <w:rsid w:val="00AD0D19"/>
    <w:rsid w:val="00AF051B"/>
    <w:rsid w:val="00B037A2"/>
    <w:rsid w:val="00B31870"/>
    <w:rsid w:val="00B320B8"/>
    <w:rsid w:val="00B35EE2"/>
    <w:rsid w:val="00B36DEF"/>
    <w:rsid w:val="00B42D22"/>
    <w:rsid w:val="00B57131"/>
    <w:rsid w:val="00B62F2C"/>
    <w:rsid w:val="00B727C9"/>
    <w:rsid w:val="00B735C8"/>
    <w:rsid w:val="00B76A63"/>
    <w:rsid w:val="00B86032"/>
    <w:rsid w:val="00BA6350"/>
    <w:rsid w:val="00BB4E29"/>
    <w:rsid w:val="00BB74C9"/>
    <w:rsid w:val="00BC3AB6"/>
    <w:rsid w:val="00BD19E8"/>
    <w:rsid w:val="00BD4273"/>
    <w:rsid w:val="00BF7D17"/>
    <w:rsid w:val="00C432E4"/>
    <w:rsid w:val="00C70C26"/>
    <w:rsid w:val="00C72001"/>
    <w:rsid w:val="00C772B7"/>
    <w:rsid w:val="00C80347"/>
    <w:rsid w:val="00CB7C1A"/>
    <w:rsid w:val="00CC5E08"/>
    <w:rsid w:val="00CE14FD"/>
    <w:rsid w:val="00CE3C2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15F0"/>
    <w:rsid w:val="00DF12DE"/>
    <w:rsid w:val="00E349AA"/>
    <w:rsid w:val="00E41390"/>
    <w:rsid w:val="00E41CA0"/>
    <w:rsid w:val="00E4366B"/>
    <w:rsid w:val="00E50A4A"/>
    <w:rsid w:val="00E606DE"/>
    <w:rsid w:val="00E644FE"/>
    <w:rsid w:val="00E72733"/>
    <w:rsid w:val="00E742FA"/>
    <w:rsid w:val="00E75E3F"/>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4FB"/>
    <w:rsid w:val="00FC6C29"/>
    <w:rsid w:val="00FD50A5"/>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DF12DE"/>
    <w:pPr>
      <w:ind w:left="720"/>
      <w:contextualSpacing/>
    </w:pPr>
  </w:style>
  <w:style w:type="paragraph" w:customStyle="1" w:styleId="ParaNum">
    <w:name w:val="ParaNum"/>
    <w:basedOn w:val="Normal"/>
    <w:link w:val="ParaNumCharChar1"/>
    <w:rsid w:val="00FC64FB"/>
    <w:pPr>
      <w:widowControl w:val="0"/>
      <w:numPr>
        <w:numId w:val="3"/>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FC64FB"/>
    <w:rPr>
      <w:snapToGrid w:val="0"/>
      <w:kern w:val="28"/>
      <w:sz w:val="22"/>
    </w:rPr>
  </w:style>
  <w:style w:type="paragraph" w:styleId="BalloonText">
    <w:name w:val="Balloon Text"/>
    <w:basedOn w:val="Normal"/>
    <w:link w:val="BalloonTextChar"/>
    <w:semiHidden/>
    <w:unhideWhenUsed/>
    <w:rsid w:val="00DE15F0"/>
    <w:rPr>
      <w:rFonts w:ascii="Segoe UI" w:hAnsi="Segoe UI" w:cs="Segoe UI"/>
      <w:sz w:val="18"/>
      <w:szCs w:val="18"/>
    </w:rPr>
  </w:style>
  <w:style w:type="character" w:customStyle="1" w:styleId="BalloonTextChar">
    <w:name w:val="Balloon Text Char"/>
    <w:basedOn w:val="DefaultParagraphFont"/>
    <w:link w:val="BalloonText"/>
    <w:semiHidden/>
    <w:rsid w:val="00DE15F0"/>
    <w:rPr>
      <w:rFonts w:ascii="Segoe UI" w:hAnsi="Segoe UI" w:cs="Segoe UI"/>
      <w:sz w:val="18"/>
      <w:szCs w:val="18"/>
    </w:rPr>
  </w:style>
  <w:style w:type="paragraph" w:styleId="Revision">
    <w:name w:val="Revision"/>
    <w:hidden/>
    <w:uiPriority w:val="99"/>
    <w:semiHidden/>
    <w:rsid w:val="00DE15F0"/>
    <w:rPr>
      <w:sz w:val="24"/>
      <w:szCs w:val="24"/>
    </w:rPr>
  </w:style>
  <w:style w:type="paragraph" w:styleId="Header">
    <w:name w:val="header"/>
    <w:basedOn w:val="Normal"/>
    <w:link w:val="HeaderChar"/>
    <w:unhideWhenUsed/>
    <w:rsid w:val="007441F9"/>
    <w:pPr>
      <w:tabs>
        <w:tab w:val="center" w:pos="4680"/>
        <w:tab w:val="right" w:pos="9360"/>
      </w:tabs>
    </w:pPr>
  </w:style>
  <w:style w:type="character" w:customStyle="1" w:styleId="HeaderChar">
    <w:name w:val="Header Char"/>
    <w:basedOn w:val="DefaultParagraphFont"/>
    <w:link w:val="Header"/>
    <w:rsid w:val="007441F9"/>
    <w:rPr>
      <w:sz w:val="24"/>
      <w:szCs w:val="24"/>
    </w:rPr>
  </w:style>
  <w:style w:type="paragraph" w:styleId="Footer">
    <w:name w:val="footer"/>
    <w:basedOn w:val="Normal"/>
    <w:link w:val="FooterChar"/>
    <w:unhideWhenUsed/>
    <w:rsid w:val="007441F9"/>
    <w:pPr>
      <w:tabs>
        <w:tab w:val="center" w:pos="4680"/>
        <w:tab w:val="right" w:pos="9360"/>
      </w:tabs>
    </w:pPr>
  </w:style>
  <w:style w:type="character" w:customStyle="1" w:styleId="FooterChar">
    <w:name w:val="Footer Char"/>
    <w:basedOn w:val="DefaultParagraphFont"/>
    <w:link w:val="Footer"/>
    <w:rsid w:val="007441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DF12DE"/>
    <w:pPr>
      <w:ind w:left="720"/>
      <w:contextualSpacing/>
    </w:pPr>
  </w:style>
  <w:style w:type="paragraph" w:customStyle="1" w:styleId="ParaNum">
    <w:name w:val="ParaNum"/>
    <w:basedOn w:val="Normal"/>
    <w:link w:val="ParaNumCharChar1"/>
    <w:rsid w:val="00FC64FB"/>
    <w:pPr>
      <w:widowControl w:val="0"/>
      <w:numPr>
        <w:numId w:val="3"/>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FC64FB"/>
    <w:rPr>
      <w:snapToGrid w:val="0"/>
      <w:kern w:val="28"/>
      <w:sz w:val="22"/>
    </w:rPr>
  </w:style>
  <w:style w:type="paragraph" w:styleId="BalloonText">
    <w:name w:val="Balloon Text"/>
    <w:basedOn w:val="Normal"/>
    <w:link w:val="BalloonTextChar"/>
    <w:semiHidden/>
    <w:unhideWhenUsed/>
    <w:rsid w:val="00DE15F0"/>
    <w:rPr>
      <w:rFonts w:ascii="Segoe UI" w:hAnsi="Segoe UI" w:cs="Segoe UI"/>
      <w:sz w:val="18"/>
      <w:szCs w:val="18"/>
    </w:rPr>
  </w:style>
  <w:style w:type="character" w:customStyle="1" w:styleId="BalloonTextChar">
    <w:name w:val="Balloon Text Char"/>
    <w:basedOn w:val="DefaultParagraphFont"/>
    <w:link w:val="BalloonText"/>
    <w:semiHidden/>
    <w:rsid w:val="00DE15F0"/>
    <w:rPr>
      <w:rFonts w:ascii="Segoe UI" w:hAnsi="Segoe UI" w:cs="Segoe UI"/>
      <w:sz w:val="18"/>
      <w:szCs w:val="18"/>
    </w:rPr>
  </w:style>
  <w:style w:type="paragraph" w:styleId="Revision">
    <w:name w:val="Revision"/>
    <w:hidden/>
    <w:uiPriority w:val="99"/>
    <w:semiHidden/>
    <w:rsid w:val="00DE15F0"/>
    <w:rPr>
      <w:sz w:val="24"/>
      <w:szCs w:val="24"/>
    </w:rPr>
  </w:style>
  <w:style w:type="paragraph" w:styleId="Header">
    <w:name w:val="header"/>
    <w:basedOn w:val="Normal"/>
    <w:link w:val="HeaderChar"/>
    <w:unhideWhenUsed/>
    <w:rsid w:val="007441F9"/>
    <w:pPr>
      <w:tabs>
        <w:tab w:val="center" w:pos="4680"/>
        <w:tab w:val="right" w:pos="9360"/>
      </w:tabs>
    </w:pPr>
  </w:style>
  <w:style w:type="character" w:customStyle="1" w:styleId="HeaderChar">
    <w:name w:val="Header Char"/>
    <w:basedOn w:val="DefaultParagraphFont"/>
    <w:link w:val="Header"/>
    <w:rsid w:val="007441F9"/>
    <w:rPr>
      <w:sz w:val="24"/>
      <w:szCs w:val="24"/>
    </w:rPr>
  </w:style>
  <w:style w:type="paragraph" w:styleId="Footer">
    <w:name w:val="footer"/>
    <w:basedOn w:val="Normal"/>
    <w:link w:val="FooterChar"/>
    <w:unhideWhenUsed/>
    <w:rsid w:val="007441F9"/>
    <w:pPr>
      <w:tabs>
        <w:tab w:val="center" w:pos="4680"/>
        <w:tab w:val="right" w:pos="9360"/>
      </w:tabs>
    </w:pPr>
  </w:style>
  <w:style w:type="character" w:customStyle="1" w:styleId="FooterChar">
    <w:name w:val="Footer Char"/>
    <w:basedOn w:val="DefaultParagraphFont"/>
    <w:link w:val="Footer"/>
    <w:rsid w:val="00744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0574">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4542</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2016-04-28T16:18:00Z</cp:lastPrinted>
  <dcterms:created xsi:type="dcterms:W3CDTF">2016-04-28T16:37:00Z</dcterms:created>
  <dcterms:modified xsi:type="dcterms:W3CDTF">2016-04-28T16:37:00Z</dcterms:modified>
  <cp:category> </cp:category>
  <cp:contentStatus> </cp:contentStatus>
</cp:coreProperties>
</file>