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5325" w14:textId="77777777" w:rsidR="007E42EB" w:rsidRPr="006F61F8" w:rsidRDefault="006F61F8" w:rsidP="006F61F8">
      <w:pPr>
        <w:jc w:val="center"/>
        <w:rPr>
          <w:b/>
        </w:rPr>
      </w:pPr>
      <w:bookmarkStart w:id="0" w:name="_GoBack"/>
      <w:bookmarkEnd w:id="0"/>
      <w:r w:rsidRPr="006F61F8">
        <w:rPr>
          <w:b/>
        </w:rPr>
        <w:t>DISSENTING STATEMENT OF</w:t>
      </w:r>
    </w:p>
    <w:p w14:paraId="5F6A97E5" w14:textId="77777777" w:rsidR="006F61F8" w:rsidRPr="006F61F8" w:rsidRDefault="006F61F8" w:rsidP="006F61F8">
      <w:pPr>
        <w:jc w:val="center"/>
        <w:rPr>
          <w:b/>
        </w:rPr>
      </w:pPr>
      <w:r w:rsidRPr="006F61F8">
        <w:rPr>
          <w:b/>
        </w:rPr>
        <w:t>COMMISSIONER MICHAEL O’RIELLY</w:t>
      </w:r>
    </w:p>
    <w:p w14:paraId="175203C9" w14:textId="77777777" w:rsidR="006F61F8" w:rsidRPr="006F61F8" w:rsidRDefault="006F61F8" w:rsidP="006F61F8"/>
    <w:p w14:paraId="4067F675" w14:textId="03DCC254" w:rsidR="006F61F8" w:rsidRPr="006F61F8" w:rsidRDefault="006F61F8" w:rsidP="006F61F8">
      <w:pPr>
        <w:suppressAutoHyphens/>
        <w:ind w:left="720" w:hanging="720"/>
        <w:rPr>
          <w:i/>
          <w:spacing w:val="-2"/>
        </w:rPr>
      </w:pPr>
      <w:r w:rsidRPr="001B4D7D">
        <w:t>Re:</w:t>
      </w:r>
      <w:r w:rsidRPr="006F61F8">
        <w:rPr>
          <w:i/>
        </w:rPr>
        <w:tab/>
      </w:r>
      <w:r w:rsidRPr="006F61F8">
        <w:rPr>
          <w:i/>
          <w:spacing w:val="-2"/>
        </w:rPr>
        <w:t>Business Data Services in an Internet Protocol Environment</w:t>
      </w:r>
      <w:r w:rsidRPr="001B4D7D">
        <w:rPr>
          <w:spacing w:val="-2"/>
        </w:rPr>
        <w:t>,</w:t>
      </w:r>
      <w:r w:rsidRPr="006F61F8">
        <w:rPr>
          <w:i/>
          <w:spacing w:val="-2"/>
        </w:rPr>
        <w:t xml:space="preserve"> </w:t>
      </w:r>
      <w:r w:rsidRPr="00FE36F5">
        <w:rPr>
          <w:spacing w:val="-2"/>
        </w:rPr>
        <w:t>WC Docket No. 16-</w:t>
      </w:r>
      <w:r w:rsidR="00810AFA" w:rsidRPr="00FE36F5">
        <w:rPr>
          <w:spacing w:val="-2"/>
        </w:rPr>
        <w:t>143</w:t>
      </w:r>
      <w:r w:rsidRPr="00FE36F5">
        <w:rPr>
          <w:spacing w:val="-2"/>
        </w:rPr>
        <w:t>;</w:t>
      </w:r>
      <w:r w:rsidRPr="006F61F8">
        <w:rPr>
          <w:i/>
          <w:spacing w:val="-2"/>
        </w:rPr>
        <w:t xml:space="preserve"> </w:t>
      </w:r>
      <w:r w:rsidR="003D37D3">
        <w:rPr>
          <w:i/>
          <w:spacing w:val="-2"/>
        </w:rPr>
        <w:br/>
      </w:r>
      <w:r w:rsidRPr="006F61F8">
        <w:rPr>
          <w:i/>
          <w:spacing w:val="-2"/>
        </w:rPr>
        <w:t>Investigation of Certain Price Cap Local Exchange Carrier Business Data Services Tariff Pricing Plans</w:t>
      </w:r>
      <w:r w:rsidRPr="001B4D7D">
        <w:rPr>
          <w:spacing w:val="-2"/>
        </w:rPr>
        <w:t>,</w:t>
      </w:r>
      <w:r w:rsidRPr="006F61F8">
        <w:rPr>
          <w:i/>
          <w:spacing w:val="-2"/>
        </w:rPr>
        <w:t xml:space="preserve"> </w:t>
      </w:r>
      <w:r w:rsidRPr="00FE36F5">
        <w:rPr>
          <w:spacing w:val="-2"/>
        </w:rPr>
        <w:t xml:space="preserve">WC Docket No. 15-247; </w:t>
      </w:r>
      <w:r w:rsidRPr="006F61F8">
        <w:rPr>
          <w:i/>
          <w:spacing w:val="-2"/>
        </w:rPr>
        <w:t>Special Access for Price Cap Local Exchange Carriers</w:t>
      </w:r>
      <w:r w:rsidRPr="001B4D7D">
        <w:rPr>
          <w:spacing w:val="-2"/>
        </w:rPr>
        <w:t>,</w:t>
      </w:r>
      <w:r w:rsidRPr="006F61F8">
        <w:rPr>
          <w:i/>
          <w:spacing w:val="-2"/>
        </w:rPr>
        <w:t xml:space="preserve"> </w:t>
      </w:r>
      <w:r w:rsidR="003D37D3">
        <w:rPr>
          <w:i/>
          <w:spacing w:val="-2"/>
        </w:rPr>
        <w:br/>
      </w:r>
      <w:r w:rsidRPr="00FE36F5">
        <w:rPr>
          <w:spacing w:val="-2"/>
        </w:rPr>
        <w:t xml:space="preserve">WC Docket No. 05-25; </w:t>
      </w:r>
      <w:r w:rsidRPr="006F61F8">
        <w:rPr>
          <w:i/>
          <w:spacing w:val="-2"/>
        </w:rPr>
        <w:t>AT&amp;T Corporation Petition for Rulemaking to Reform Regulation of Incumbent Local Exchange Carrier Rates for Interstate Special Access Services</w:t>
      </w:r>
      <w:r w:rsidRPr="001B4D7D">
        <w:rPr>
          <w:spacing w:val="-2"/>
        </w:rPr>
        <w:t>,</w:t>
      </w:r>
      <w:r w:rsidRPr="006F61F8">
        <w:rPr>
          <w:i/>
          <w:spacing w:val="-2"/>
        </w:rPr>
        <w:t xml:space="preserve"> </w:t>
      </w:r>
      <w:r w:rsidRPr="00FE36F5">
        <w:rPr>
          <w:spacing w:val="-2"/>
        </w:rPr>
        <w:t>RM-10593</w:t>
      </w:r>
      <w:r w:rsidR="00FE36F5">
        <w:rPr>
          <w:spacing w:val="-2"/>
        </w:rPr>
        <w:t xml:space="preserve">. </w:t>
      </w:r>
    </w:p>
    <w:p w14:paraId="6F66C86F" w14:textId="77777777" w:rsidR="006F61F8" w:rsidRDefault="006F61F8" w:rsidP="006F61F8">
      <w:pPr>
        <w:suppressAutoHyphens/>
      </w:pPr>
    </w:p>
    <w:p w14:paraId="552433AC" w14:textId="267F5BEA" w:rsidR="00DA613B" w:rsidRDefault="006F61F8" w:rsidP="006F61F8">
      <w:pPr>
        <w:suppressAutoHyphens/>
      </w:pPr>
      <w:r>
        <w:tab/>
      </w:r>
      <w:r w:rsidR="00C20B98">
        <w:t xml:space="preserve">The Commission, industry, and Congress have been grappling with special access for more than a decade—a fact </w:t>
      </w:r>
      <w:r w:rsidR="00632917">
        <w:t>well known to</w:t>
      </w:r>
      <w:r w:rsidR="00C20B98">
        <w:t xml:space="preserve"> me as I have worked on the issue more than most, and have dealt with the </w:t>
      </w:r>
      <w:r w:rsidR="00632917">
        <w:t xml:space="preserve">various </w:t>
      </w:r>
      <w:r w:rsidR="00C20B98">
        <w:t xml:space="preserve">permutations over the years.  </w:t>
      </w:r>
      <w:r w:rsidR="00D06C70">
        <w:t>In all</w:t>
      </w:r>
      <w:r w:rsidR="00D06C70" w:rsidRPr="002121F1">
        <w:t xml:space="preserve"> </w:t>
      </w:r>
      <w:r w:rsidR="00D06C70">
        <w:t>candor, I am somewhat sympathetic to the argument that</w:t>
      </w:r>
      <w:r w:rsidR="00777B97">
        <w:t xml:space="preserve"> a previous Commission </w:t>
      </w:r>
      <w:r w:rsidR="00D06C70">
        <w:t xml:space="preserve">went too far in one direction.  </w:t>
      </w:r>
      <w:r w:rsidR="00632917">
        <w:t>However, t</w:t>
      </w:r>
      <w:r w:rsidR="00C20B98">
        <w:t xml:space="preserve">hat does not mean </w:t>
      </w:r>
      <w:r w:rsidR="00632917">
        <w:t xml:space="preserve">that </w:t>
      </w:r>
      <w:r w:rsidR="00C20B98">
        <w:t xml:space="preserve">the Commission should </w:t>
      </w:r>
      <w:r w:rsidR="004402D2">
        <w:t>swing to the opposite side of the pendulum</w:t>
      </w:r>
      <w:r w:rsidR="00632917">
        <w:t xml:space="preserve">, </w:t>
      </w:r>
      <w:r w:rsidR="00C20B98">
        <w:t>cast</w:t>
      </w:r>
      <w:r w:rsidR="00632917">
        <w:t>ing</w:t>
      </w:r>
      <w:r w:rsidR="00C20B98">
        <w:t xml:space="preserve"> aside logic, precedent, and basic economic principles in a quest to check off another special interest box </w:t>
      </w:r>
      <w:r w:rsidR="008758F2">
        <w:t>by the end of this</w:t>
      </w:r>
      <w:r w:rsidR="00C20B98">
        <w:t xml:space="preserve"> year.  </w:t>
      </w:r>
      <w:r w:rsidR="00412224">
        <w:t xml:space="preserve">If there is anything that all stakeholders in this proceeding agree on, it is that getting special access regulation wrong could cause significant harm to the marketplace. </w:t>
      </w:r>
      <w:r w:rsidR="001F6D22">
        <w:t xml:space="preserve"> A</w:t>
      </w:r>
      <w:r w:rsidR="0082160E">
        <w:t>nd, a</w:t>
      </w:r>
      <w:r w:rsidR="001F6D22">
        <w:t xml:space="preserve"> lot of proposals in this item would qualify as </w:t>
      </w:r>
      <w:r w:rsidR="004402D2">
        <w:t>“</w:t>
      </w:r>
      <w:r w:rsidR="001F6D22">
        <w:t>wrong</w:t>
      </w:r>
      <w:r w:rsidR="004402D2">
        <w:t>”</w:t>
      </w:r>
      <w:r w:rsidR="001F6D22">
        <w:t xml:space="preserve">.  </w:t>
      </w:r>
      <w:r w:rsidR="00412224">
        <w:t xml:space="preserve"> </w:t>
      </w:r>
    </w:p>
    <w:p w14:paraId="68DF364F" w14:textId="77777777" w:rsidR="00DA613B" w:rsidRDefault="00DA613B" w:rsidP="006F61F8">
      <w:pPr>
        <w:suppressAutoHyphens/>
      </w:pPr>
    </w:p>
    <w:p w14:paraId="563352F5" w14:textId="3F1EB08F" w:rsidR="00BF4235" w:rsidRDefault="00632917" w:rsidP="00DA613B">
      <w:pPr>
        <w:suppressAutoHyphens/>
        <w:ind w:firstLine="720"/>
      </w:pPr>
      <w:r>
        <w:t>Undeterred by the prospect of distorting competition and investment incentives</w:t>
      </w:r>
      <w:r w:rsidR="00DA613B">
        <w:t xml:space="preserve">, the Commission puts forth a </w:t>
      </w:r>
      <w:r w:rsidR="00C65FA8">
        <w:t xml:space="preserve">brand new </w:t>
      </w:r>
      <w:r w:rsidR="00DA613B">
        <w:t xml:space="preserve">plan, seemingly with the mindset that it’s so crazy it just might work.  It won’t.  This is </w:t>
      </w:r>
      <w:r w:rsidR="00041FF7">
        <w:t>plain</w:t>
      </w:r>
      <w:r w:rsidR="00E80080">
        <w:t>,</w:t>
      </w:r>
      <w:r w:rsidR="00DA613B">
        <w:t xml:space="preserve"> old fashioned rate regulation</w:t>
      </w:r>
      <w:r w:rsidR="00BE7CB6">
        <w:t>,</w:t>
      </w:r>
      <w:r w:rsidR="00DA613B">
        <w:t xml:space="preserve"> rep</w:t>
      </w:r>
      <w:r w:rsidR="00041FF7">
        <w:t xml:space="preserve">ackaged with a </w:t>
      </w:r>
      <w:r w:rsidR="00BE7CB6">
        <w:t>new</w:t>
      </w:r>
      <w:r w:rsidR="00041FF7">
        <w:t xml:space="preserve"> narrative</w:t>
      </w:r>
      <w:r w:rsidR="00BE7CB6">
        <w:t xml:space="preserve">.  </w:t>
      </w:r>
      <w:r w:rsidR="00810AFA">
        <w:t>O</w:t>
      </w:r>
      <w:r w:rsidR="003774C8">
        <w:t>ne of t</w:t>
      </w:r>
      <w:r w:rsidR="00C43776">
        <w:t>he best way</w:t>
      </w:r>
      <w:r w:rsidR="003774C8">
        <w:t>s</w:t>
      </w:r>
      <w:r w:rsidR="00C43776">
        <w:t xml:space="preserve"> to ensure that providers invest to meet the growing demand for backhaul is to free them from legacy rules that hamstring competition.  </w:t>
      </w:r>
      <w:r w:rsidR="00BF4235">
        <w:t xml:space="preserve">We cannot regulate our way to deployment.  </w:t>
      </w:r>
    </w:p>
    <w:p w14:paraId="0A026E2E" w14:textId="77777777" w:rsidR="00BF4235" w:rsidRDefault="00BF4235" w:rsidP="00DA613B">
      <w:pPr>
        <w:suppressAutoHyphens/>
        <w:ind w:firstLine="720"/>
      </w:pPr>
    </w:p>
    <w:p w14:paraId="1A4980C7" w14:textId="7B4303C3" w:rsidR="00E35A16" w:rsidRDefault="00C43776" w:rsidP="00DA613B">
      <w:pPr>
        <w:suppressAutoHyphens/>
        <w:ind w:firstLine="720"/>
      </w:pPr>
      <w:r>
        <w:t>This “technology-neutral</w:t>
      </w:r>
      <w:r w:rsidR="009D373C">
        <w:t>”</w:t>
      </w:r>
      <w:r>
        <w:t xml:space="preserve"> framework is </w:t>
      </w:r>
      <w:r w:rsidR="005C4A5A">
        <w:t xml:space="preserve">really </w:t>
      </w:r>
      <w:r>
        <w:t xml:space="preserve">just another </w:t>
      </w:r>
      <w:r w:rsidR="00D21287">
        <w:t xml:space="preserve">massive </w:t>
      </w:r>
      <w:r w:rsidR="005C4A5A">
        <w:t>power grab by the Commission.  I</w:t>
      </w:r>
      <w:r>
        <w:t xml:space="preserve">f the agency proceeds down </w:t>
      </w:r>
      <w:r w:rsidR="00E372D8">
        <w:t>the current</w:t>
      </w:r>
      <w:r>
        <w:t xml:space="preserve"> path, I expect it will be </w:t>
      </w:r>
      <w:r w:rsidR="00E372D8">
        <w:t xml:space="preserve">challenged and ultimately </w:t>
      </w:r>
      <w:r>
        <w:t>overturned</w:t>
      </w:r>
      <w:r w:rsidR="00041FF7">
        <w:t xml:space="preserve">.  </w:t>
      </w:r>
      <w:r w:rsidR="009D373C">
        <w:t xml:space="preserve">That may not matter to those </w:t>
      </w:r>
      <w:r w:rsidR="00801B93">
        <w:t>who</w:t>
      </w:r>
      <w:r w:rsidR="009D373C">
        <w:t xml:space="preserve"> are only seeking a quick win, but it will further damage the agency’s credibility.  </w:t>
      </w:r>
    </w:p>
    <w:p w14:paraId="10DE1043" w14:textId="77777777" w:rsidR="00E35A16" w:rsidRDefault="00E35A16" w:rsidP="006F61F8">
      <w:pPr>
        <w:suppressAutoHyphens/>
      </w:pPr>
    </w:p>
    <w:p w14:paraId="32229622" w14:textId="30F08157" w:rsidR="00FB3281" w:rsidRDefault="00632917" w:rsidP="00E35A16">
      <w:pPr>
        <w:suppressAutoHyphens/>
        <w:ind w:firstLine="720"/>
      </w:pPr>
      <w:r>
        <w:t>T</w:t>
      </w:r>
      <w:r w:rsidR="00920155">
        <w:t xml:space="preserve">he </w:t>
      </w:r>
      <w:r>
        <w:t>Commission</w:t>
      </w:r>
      <w:r w:rsidR="00920155">
        <w:t xml:space="preserve"> </w:t>
      </w:r>
      <w:r w:rsidR="00E35A16">
        <w:t xml:space="preserve">begins by abrogating </w:t>
      </w:r>
      <w:r w:rsidR="00692F28">
        <w:t>specific</w:t>
      </w:r>
      <w:r w:rsidR="00D6261B">
        <w:t xml:space="preserve"> terms and conditions in </w:t>
      </w:r>
      <w:r w:rsidR="00692F28">
        <w:t>incumbent</w:t>
      </w:r>
      <w:r w:rsidR="00B951E5">
        <w:t xml:space="preserve"> </w:t>
      </w:r>
      <w:r w:rsidR="00692F28">
        <w:t>LECs</w:t>
      </w:r>
      <w:r w:rsidR="00D6261B">
        <w:t>’ pricing plans</w:t>
      </w:r>
      <w:r w:rsidR="00E35A16">
        <w:t xml:space="preserve">.  </w:t>
      </w:r>
      <w:r w:rsidR="00D21287">
        <w:t>I am not surprised</w:t>
      </w:r>
      <w:r w:rsidR="00E35A16">
        <w:t xml:space="preserve"> given this Commission’s propensity to meddle with contracts—from declaring </w:t>
      </w:r>
      <w:r w:rsidR="00692F28">
        <w:t xml:space="preserve">that certain </w:t>
      </w:r>
      <w:r w:rsidR="00E35A16">
        <w:t xml:space="preserve">terms of service violate the Telephone Consumer Protection Act </w:t>
      </w:r>
      <w:r w:rsidR="002143C5">
        <w:t xml:space="preserve">(TCPA) </w:t>
      </w:r>
      <w:r w:rsidR="00E35A16">
        <w:t xml:space="preserve">to </w:t>
      </w:r>
      <w:r w:rsidR="00922217">
        <w:t>eliminating Joint Sales Agreements (JSAs)</w:t>
      </w:r>
      <w:r w:rsidR="00E35A16">
        <w:t>.</w:t>
      </w:r>
      <w:r w:rsidR="00D6261B">
        <w:t xml:space="preserve">  </w:t>
      </w:r>
      <w:r w:rsidR="00FB3281">
        <w:t>T</w:t>
      </w:r>
      <w:r w:rsidR="005658FE">
        <w:t xml:space="preserve">his latest intervention is </w:t>
      </w:r>
      <w:r w:rsidR="00FB3281">
        <w:t>unwarranted as well</w:t>
      </w:r>
      <w:r w:rsidR="00D6261B">
        <w:t xml:space="preserve">.  The provisions are clear and </w:t>
      </w:r>
      <w:r w:rsidR="00BE7CB6">
        <w:t>purchasers</w:t>
      </w:r>
      <w:r w:rsidR="00D6261B">
        <w:t xml:space="preserve"> enter</w:t>
      </w:r>
      <w:r w:rsidR="00C40AA1">
        <w:t>ed</w:t>
      </w:r>
      <w:r w:rsidR="00D6261B">
        <w:t xml:space="preserve"> into them with full knowledge of the consequences for not fulfilling the terms of the deal.  </w:t>
      </w:r>
      <w:r w:rsidR="00042F78">
        <w:t>Additionally</w:t>
      </w:r>
      <w:r w:rsidR="00C40AA1">
        <w:t xml:space="preserve">, </w:t>
      </w:r>
      <w:r w:rsidR="00BE7CB6">
        <w:t>purchasers</w:t>
      </w:r>
      <w:r w:rsidR="00C40AA1">
        <w:t xml:space="preserve"> had </w:t>
      </w:r>
      <w:r w:rsidR="00810AFA">
        <w:t>a number of</w:t>
      </w:r>
      <w:r w:rsidR="00C40AA1">
        <w:t xml:space="preserve"> option</w:t>
      </w:r>
      <w:r w:rsidR="00810AFA">
        <w:t>s</w:t>
      </w:r>
      <w:r w:rsidR="00C40AA1">
        <w:t xml:space="preserve"> to </w:t>
      </w:r>
      <w:r w:rsidR="00BE7CB6">
        <w:t>buy</w:t>
      </w:r>
      <w:r w:rsidR="00C40AA1">
        <w:t xml:space="preserve"> service without these terms.  They </w:t>
      </w:r>
      <w:r w:rsidR="00810AFA">
        <w:t>may</w:t>
      </w:r>
      <w:r w:rsidR="00C40AA1">
        <w:t xml:space="preserve"> not have received the corresponding benefits—more flexibility or </w:t>
      </w:r>
      <w:r w:rsidR="00BF28F6">
        <w:t>deeper discounts</w:t>
      </w:r>
      <w:r w:rsidR="00C40AA1">
        <w:t xml:space="preserve">—but that was their choice to make.  </w:t>
      </w:r>
    </w:p>
    <w:p w14:paraId="73E66E3D" w14:textId="77777777" w:rsidR="00FB3281" w:rsidRDefault="00FB3281" w:rsidP="00E35A16">
      <w:pPr>
        <w:suppressAutoHyphens/>
        <w:ind w:firstLine="720"/>
      </w:pPr>
    </w:p>
    <w:p w14:paraId="6A201CD5" w14:textId="49218886" w:rsidR="00E5713D" w:rsidRDefault="006D3234" w:rsidP="00E5713D">
      <w:pPr>
        <w:suppressAutoHyphens/>
        <w:ind w:firstLine="720"/>
      </w:pPr>
      <w:r>
        <w:t>Furthermore</w:t>
      </w:r>
      <w:r w:rsidR="00D66A1A">
        <w:t xml:space="preserve">, these are agreements between sophisticated and well-represented </w:t>
      </w:r>
      <w:r w:rsidR="00632917">
        <w:t>buyers and sellers</w:t>
      </w:r>
      <w:r w:rsidR="00692F28">
        <w:t xml:space="preserve">.  </w:t>
      </w:r>
      <w:r w:rsidR="00B00E88">
        <w:t>T</w:t>
      </w:r>
      <w:r w:rsidR="00692F28">
        <w:t xml:space="preserve">hose </w:t>
      </w:r>
      <w:r w:rsidR="00632917">
        <w:t>purchasers</w:t>
      </w:r>
      <w:r w:rsidR="00D66A1A">
        <w:t xml:space="preserve">, in turn, serve some of the largest banks, health care providers, and big box retailers in the country.  It is hard to see the </w:t>
      </w:r>
      <w:r w:rsidR="00F157C6">
        <w:t>need to</w:t>
      </w:r>
      <w:r w:rsidR="00D66A1A">
        <w:t xml:space="preserve"> interv</w:t>
      </w:r>
      <w:r w:rsidR="00692F28">
        <w:t>en</w:t>
      </w:r>
      <w:r w:rsidR="00F157C6">
        <w:t>e</w:t>
      </w:r>
      <w:r w:rsidR="00692F28">
        <w:t xml:space="preserve"> in contractual disputes </w:t>
      </w:r>
      <w:r w:rsidR="00FB3281">
        <w:t>on behalf of some of the major</w:t>
      </w:r>
      <w:r w:rsidR="00692F28">
        <w:t xml:space="preserve"> companies represented here</w:t>
      </w:r>
      <w:r w:rsidR="00BF28F6">
        <w:t xml:space="preserve">, </w:t>
      </w:r>
      <w:r w:rsidR="00F157C6">
        <w:t>and</w:t>
      </w:r>
      <w:r w:rsidR="00BF28F6">
        <w:t xml:space="preserve"> I am </w:t>
      </w:r>
      <w:r w:rsidR="0079692E">
        <w:t>surprised that this is the position of the Commission majority</w:t>
      </w:r>
      <w:r w:rsidR="00692F28">
        <w:t>.</w:t>
      </w:r>
      <w:r w:rsidR="00E5713D">
        <w:t xml:space="preserve">  At the same time politicians are </w:t>
      </w:r>
      <w:r w:rsidR="00A75238">
        <w:t>vilifying</w:t>
      </w:r>
      <w:r w:rsidR="00922217">
        <w:t xml:space="preserve"> </w:t>
      </w:r>
      <w:r w:rsidR="00E5713D">
        <w:t>our nation’s bankers, especially big banks</w:t>
      </w:r>
      <w:r w:rsidR="002143C5">
        <w:t>—</w:t>
      </w:r>
      <w:r w:rsidR="002121F1">
        <w:t xml:space="preserve">which own </w:t>
      </w:r>
      <w:r w:rsidR="00E74F2E">
        <w:t>tens of thousands of</w:t>
      </w:r>
      <w:r w:rsidR="002A7FD1">
        <w:t xml:space="preserve"> </w:t>
      </w:r>
      <w:r w:rsidR="00E5713D">
        <w:t>ATMs</w:t>
      </w:r>
      <w:r w:rsidR="00E74F2E">
        <w:t xml:space="preserve"> nationwide</w:t>
      </w:r>
      <w:r w:rsidR="00C21CB5">
        <w:rPr>
          <w:rStyle w:val="FootnoteReference"/>
        </w:rPr>
        <w:footnoteReference w:id="1"/>
      </w:r>
      <w:r w:rsidR="002143C5">
        <w:t>—</w:t>
      </w:r>
      <w:r w:rsidR="00E5713D">
        <w:t xml:space="preserve">the Commission seems intent on using regulatory process to lower these companies’ cost of operations.  </w:t>
      </w:r>
      <w:r w:rsidR="002121F1">
        <w:t xml:space="preserve">Oh, the irony.  </w:t>
      </w:r>
      <w:r w:rsidR="00E5713D">
        <w:t xml:space="preserve">  </w:t>
      </w:r>
    </w:p>
    <w:p w14:paraId="6CFF0F30" w14:textId="77777777" w:rsidR="00B951E5" w:rsidRDefault="00B951E5" w:rsidP="00E35A16">
      <w:pPr>
        <w:suppressAutoHyphens/>
        <w:ind w:firstLine="720"/>
      </w:pPr>
    </w:p>
    <w:p w14:paraId="0FF68F4A" w14:textId="1333BC14" w:rsidR="00B951E5" w:rsidRDefault="00B951E5" w:rsidP="00FE36F5">
      <w:pPr>
        <w:widowControl/>
        <w:suppressAutoHyphens/>
        <w:ind w:firstLine="720"/>
      </w:pPr>
      <w:r>
        <w:lastRenderedPageBreak/>
        <w:t xml:space="preserve">It is even more </w:t>
      </w:r>
      <w:r w:rsidR="005C4A5A">
        <w:t>vexing</w:t>
      </w:r>
      <w:r>
        <w:t xml:space="preserve"> that the Commission determines these provisions to be unlawful on their face without </w:t>
      </w:r>
      <w:r w:rsidR="00BE7CB6">
        <w:t xml:space="preserve">having made </w:t>
      </w:r>
      <w:r>
        <w:t>any determination</w:t>
      </w:r>
      <w:r w:rsidR="00BE7CB6">
        <w:t>s</w:t>
      </w:r>
      <w:r>
        <w:t xml:space="preserve"> about </w:t>
      </w:r>
      <w:r w:rsidR="00BE7CB6">
        <w:t xml:space="preserve">how common these provisions are across providers, </w:t>
      </w:r>
      <w:r>
        <w:t>whether there is competition</w:t>
      </w:r>
      <w:r w:rsidR="009643B6">
        <w:t xml:space="preserve"> in a given market</w:t>
      </w:r>
      <w:r w:rsidR="00BE7CB6">
        <w:t>,</w:t>
      </w:r>
      <w:r w:rsidR="00692F28">
        <w:t xml:space="preserve"> and what impact that should have on the analysis</w:t>
      </w:r>
      <w:r>
        <w:t xml:space="preserve">.  </w:t>
      </w:r>
      <w:r w:rsidR="00C21CB5">
        <w:t>I</w:t>
      </w:r>
      <w:r w:rsidR="00C22507">
        <w:t>n</w:t>
      </w:r>
      <w:r w:rsidR="00C21CB5">
        <w:t xml:space="preserve"> places where </w:t>
      </w:r>
      <w:r>
        <w:t>there is</w:t>
      </w:r>
      <w:r w:rsidR="00692F28">
        <w:t xml:space="preserve"> competition</w:t>
      </w:r>
      <w:r w:rsidR="009643B6">
        <w:t>,</w:t>
      </w:r>
      <w:r>
        <w:t xml:space="preserve"> </w:t>
      </w:r>
      <w:r w:rsidR="00B00E88">
        <w:t>one would think that w</w:t>
      </w:r>
      <w:r>
        <w:t xml:space="preserve">ould substantially reduce the </w:t>
      </w:r>
      <w:r w:rsidR="00BE7CB6">
        <w:t>need</w:t>
      </w:r>
      <w:r>
        <w:t xml:space="preserve"> to scrutinize </w:t>
      </w:r>
      <w:r w:rsidR="006D3234">
        <w:t xml:space="preserve">ILECs’ </w:t>
      </w:r>
      <w:r w:rsidR="003F0964">
        <w:t>pricing</w:t>
      </w:r>
      <w:r>
        <w:t xml:space="preserve"> </w:t>
      </w:r>
      <w:r w:rsidR="00FB3281">
        <w:t>provisions</w:t>
      </w:r>
      <w:r>
        <w:t xml:space="preserve"> as purchasers could </w:t>
      </w:r>
      <w:r w:rsidR="009643B6">
        <w:t>select amongst the providers and choose the most favorable rates, terms, and conditions</w:t>
      </w:r>
      <w:r>
        <w:t xml:space="preserve">.  </w:t>
      </w:r>
      <w:r w:rsidR="00C22507">
        <w:t xml:space="preserve">You know, along the lines of </w:t>
      </w:r>
      <w:r w:rsidR="002761EC">
        <w:t xml:space="preserve">the </w:t>
      </w:r>
      <w:r w:rsidR="00C22507">
        <w:t>“competition, competition, competition”</w:t>
      </w:r>
      <w:r w:rsidR="002761EC">
        <w:t xml:space="preserve"> </w:t>
      </w:r>
      <w:r w:rsidR="00922217">
        <w:t>slogan</w:t>
      </w:r>
      <w:r w:rsidR="00C22507">
        <w:t xml:space="preserve">.  </w:t>
      </w:r>
      <w:r w:rsidR="00E372D8">
        <w:t>Notably, i</w:t>
      </w:r>
      <w:r>
        <w:t xml:space="preserve">n the very next section, the </w:t>
      </w:r>
      <w:r w:rsidR="009643B6">
        <w:t xml:space="preserve">Further Notice proclaims that the “Commission seeks to enter a new era where regulatory determinations are made based on whether a market is competitive”.  </w:t>
      </w:r>
      <w:r w:rsidR="006D3234">
        <w:t xml:space="preserve">It asks whether to apply the order’s requirements to other offerings in non-competitive markets, acknowledging that competition could be relevant to the lawfulness of these provisions.  </w:t>
      </w:r>
      <w:r w:rsidR="00E256BB">
        <w:t xml:space="preserve">Yet somehow these ILEC provisions are stuck in the </w:t>
      </w:r>
      <w:r w:rsidR="00C22507">
        <w:t>“</w:t>
      </w:r>
      <w:r w:rsidR="00E256BB">
        <w:t>old</w:t>
      </w:r>
      <w:r w:rsidR="00C22507">
        <w:t>”</w:t>
      </w:r>
      <w:r w:rsidR="00E256BB">
        <w:t xml:space="preserve"> era.  </w:t>
      </w:r>
      <w:r w:rsidR="006D3234">
        <w:t xml:space="preserve">Any </w:t>
      </w:r>
      <w:r w:rsidR="00E372D8">
        <w:t xml:space="preserve">subsequent </w:t>
      </w:r>
      <w:r w:rsidR="006D3234">
        <w:t xml:space="preserve">determinations </w:t>
      </w:r>
      <w:r w:rsidR="00B00E88">
        <w:t xml:space="preserve">will come too late </w:t>
      </w:r>
      <w:r w:rsidR="00E372D8">
        <w:t>to</w:t>
      </w:r>
      <w:r w:rsidR="00B00E88">
        <w:t xml:space="preserve"> impact the ILEC terms that have been </w:t>
      </w:r>
      <w:r w:rsidR="00D21287">
        <w:t>declared</w:t>
      </w:r>
      <w:r w:rsidR="005C4A5A">
        <w:t xml:space="preserve"> </w:t>
      </w:r>
      <w:r w:rsidR="00D21287">
        <w:t>unlawful</w:t>
      </w:r>
      <w:r w:rsidR="00B00E88">
        <w:t>.  So much for a “technology</w:t>
      </w:r>
      <w:r w:rsidR="003506DB">
        <w:t>-</w:t>
      </w:r>
      <w:r w:rsidR="00B00E88">
        <w:t xml:space="preserve">neutral” framework.  </w:t>
      </w:r>
    </w:p>
    <w:p w14:paraId="00E3BE43" w14:textId="77777777" w:rsidR="00C40AA1" w:rsidRDefault="00E256BB" w:rsidP="00E35A16">
      <w:pPr>
        <w:suppressAutoHyphens/>
        <w:ind w:firstLine="720"/>
      </w:pPr>
      <w:r>
        <w:t xml:space="preserve"> </w:t>
      </w:r>
    </w:p>
    <w:p w14:paraId="3C06C28B" w14:textId="2128A854" w:rsidR="00775D93" w:rsidRDefault="00042F78" w:rsidP="00E35A16">
      <w:pPr>
        <w:suppressAutoHyphens/>
        <w:ind w:firstLine="720"/>
      </w:pPr>
      <w:r>
        <w:t>Moreover, in</w:t>
      </w:r>
      <w:r w:rsidR="00C40AA1">
        <w:t xml:space="preserve"> unwinding these </w:t>
      </w:r>
      <w:r w:rsidR="00B00E88">
        <w:t>terms</w:t>
      </w:r>
      <w:r w:rsidR="00C40AA1">
        <w:t>, the Commission i</w:t>
      </w:r>
      <w:r w:rsidR="007B46FB">
        <w:t>s giving one side an undue advantage</w:t>
      </w:r>
      <w:r w:rsidR="003E43F2">
        <w:t xml:space="preserve"> after the fact</w:t>
      </w:r>
      <w:r w:rsidR="007B46FB">
        <w:t xml:space="preserve">.  </w:t>
      </w:r>
      <w:r w:rsidR="007545F4">
        <w:t>T</w:t>
      </w:r>
      <w:r w:rsidR="007B46FB">
        <w:t xml:space="preserve">he </w:t>
      </w:r>
      <w:r w:rsidR="007545F4">
        <w:t>order</w:t>
      </w:r>
      <w:r w:rsidR="007B46FB">
        <w:t xml:space="preserve"> </w:t>
      </w:r>
      <w:r w:rsidR="007545F4">
        <w:t>determines</w:t>
      </w:r>
      <w:r w:rsidR="007B46FB">
        <w:t xml:space="preserve"> that early term</w:t>
      </w:r>
      <w:r w:rsidR="007545F4">
        <w:t>ination and shortfall penalties—common in many parts of the economy</w:t>
      </w:r>
      <w:r w:rsidR="0085240B">
        <w:t>, includ</w:t>
      </w:r>
      <w:r w:rsidR="00AB1E4B">
        <w:t>ing the housing industry where most people</w:t>
      </w:r>
      <w:r w:rsidR="0085240B">
        <w:t xml:space="preserve"> cannot just pay off their mortgage whenever they desire</w:t>
      </w:r>
      <w:r w:rsidR="00AB1E4B">
        <w:t xml:space="preserve"> without a prepayment penalty</w:t>
      </w:r>
      <w:r w:rsidR="007545F4">
        <w:t>—</w:t>
      </w:r>
      <w:r w:rsidR="007B46FB">
        <w:t>cannot exceed</w:t>
      </w:r>
      <w:r>
        <w:t xml:space="preserve"> the amount the customer would have paid</w:t>
      </w:r>
      <w:r w:rsidR="0085240B">
        <w:t xml:space="preserve"> otherwise</w:t>
      </w:r>
      <w:r w:rsidR="00F33DF4">
        <w:t xml:space="preserve">.  </w:t>
      </w:r>
      <w:r w:rsidR="000D03EF">
        <w:t xml:space="preserve">The </w:t>
      </w:r>
      <w:r w:rsidR="007545F4">
        <w:t>agency</w:t>
      </w:r>
      <w:r w:rsidR="000D03EF">
        <w:t xml:space="preserve"> views </w:t>
      </w:r>
      <w:r w:rsidR="0057539D">
        <w:t xml:space="preserve">any amounts in excess of such “expectation damages” to be </w:t>
      </w:r>
      <w:r w:rsidR="00940D58">
        <w:t>“</w:t>
      </w:r>
      <w:r w:rsidR="000D03EF">
        <w:t>punitive</w:t>
      </w:r>
      <w:r w:rsidR="00940D58">
        <w:t>”</w:t>
      </w:r>
      <w:r w:rsidR="007545F4">
        <w:t xml:space="preserve"> and a </w:t>
      </w:r>
      <w:r w:rsidR="00940D58">
        <w:t xml:space="preserve">“windfall” to </w:t>
      </w:r>
      <w:r w:rsidR="0057539D">
        <w:t>the incumbents</w:t>
      </w:r>
      <w:r w:rsidR="00B00E88">
        <w:t xml:space="preserve">, as if they </w:t>
      </w:r>
      <w:r w:rsidR="0057539D">
        <w:t xml:space="preserve">are ill-gotten gains, </w:t>
      </w:r>
      <w:r w:rsidR="00B00E88">
        <w:t xml:space="preserve">rather than mutually agreed upon </w:t>
      </w:r>
      <w:r w:rsidR="0021428F">
        <w:t>payments</w:t>
      </w:r>
      <w:r w:rsidR="00940D58">
        <w:t xml:space="preserve">.  </w:t>
      </w:r>
      <w:r w:rsidR="00775D93">
        <w:t>The Commission seeks to avoid penalties that are “</w:t>
      </w:r>
      <w:r w:rsidR="00775D93" w:rsidRPr="007545F4">
        <w:t>so extravagant…as to show that compensation was not the object aimed at or as to imply fraud, mistake, circumvention, or oppression</w:t>
      </w:r>
      <w:r w:rsidR="0021428F">
        <w:t>”.  However, prohibiting any amount that is more</w:t>
      </w:r>
      <w:r w:rsidR="00775D93" w:rsidRPr="007545F4">
        <w:t xml:space="preserve"> </w:t>
      </w:r>
      <w:r w:rsidR="00FB3281">
        <w:t xml:space="preserve">than </w:t>
      </w:r>
      <w:r w:rsidR="0021428F">
        <w:t>a</w:t>
      </w:r>
      <w:r w:rsidR="00775D93" w:rsidRPr="007545F4">
        <w:t xml:space="preserve"> carrier’s opportunity cost </w:t>
      </w:r>
      <w:r w:rsidR="0021428F">
        <w:t xml:space="preserve">arbitrarily </w:t>
      </w:r>
      <w:r w:rsidR="00775D93" w:rsidRPr="007545F4">
        <w:t xml:space="preserve">forecloses reasonable </w:t>
      </w:r>
      <w:r w:rsidR="007545F4" w:rsidRPr="007545F4">
        <w:t>penalties</w:t>
      </w:r>
      <w:r w:rsidR="00775D93" w:rsidRPr="007545F4">
        <w:t xml:space="preserve"> </w:t>
      </w:r>
      <w:r w:rsidR="0021428F">
        <w:t xml:space="preserve">above that amount </w:t>
      </w:r>
      <w:r w:rsidR="0057539D">
        <w:t xml:space="preserve">that </w:t>
      </w:r>
      <w:r w:rsidR="00775D93" w:rsidRPr="007545F4">
        <w:t>are neither excessive nor coercive</w:t>
      </w:r>
      <w:r w:rsidR="00B14B49">
        <w:t xml:space="preserve">, and that parties freely agreed to as part of the </w:t>
      </w:r>
      <w:r w:rsidR="00BE7CB6">
        <w:t>deal</w:t>
      </w:r>
      <w:r w:rsidR="00775D93" w:rsidRPr="007545F4">
        <w:t xml:space="preserve">.  </w:t>
      </w:r>
      <w:r w:rsidR="0085240B">
        <w:t xml:space="preserve">That is the very definition of </w:t>
      </w:r>
      <w:r w:rsidR="003506DB">
        <w:t xml:space="preserve">a </w:t>
      </w:r>
      <w:r w:rsidR="0085240B">
        <w:t xml:space="preserve">penalty, designed to act as a legal and reasonable financial deterrent, not just make a provider financially whole.  </w:t>
      </w:r>
    </w:p>
    <w:p w14:paraId="6A621CCC" w14:textId="77777777" w:rsidR="00775D93" w:rsidRDefault="00775D93" w:rsidP="00E35A16">
      <w:pPr>
        <w:suppressAutoHyphens/>
        <w:ind w:firstLine="720"/>
      </w:pPr>
    </w:p>
    <w:p w14:paraId="50F79C4B" w14:textId="4D10C126" w:rsidR="00C40AA1" w:rsidRDefault="00E55F61" w:rsidP="00E35A16">
      <w:pPr>
        <w:suppressAutoHyphens/>
        <w:ind w:firstLine="720"/>
      </w:pPr>
      <w:r>
        <w:t xml:space="preserve">With respect to the so called “all or nothing” </w:t>
      </w:r>
      <w:r w:rsidR="007D6A50">
        <w:t>provisions</w:t>
      </w:r>
      <w:r>
        <w:t xml:space="preserve">, the concern seems to be that </w:t>
      </w:r>
      <w:r w:rsidR="007A04F3">
        <w:t>the</w:t>
      </w:r>
      <w:r w:rsidR="007D6A50">
        <w:t>y</w:t>
      </w:r>
      <w:r w:rsidR="007A04F3">
        <w:t xml:space="preserve"> might </w:t>
      </w:r>
      <w:r>
        <w:t xml:space="preserve">constrain </w:t>
      </w:r>
      <w:r w:rsidR="007A04F3">
        <w:t>purchasers</w:t>
      </w:r>
      <w:r>
        <w:t xml:space="preserve"> that did not adequately plan ahead for the possi</w:t>
      </w:r>
      <w:r w:rsidR="0056274A">
        <w:t xml:space="preserve">bility of </w:t>
      </w:r>
      <w:r w:rsidR="00D034CA">
        <w:t xml:space="preserve">falling demand or </w:t>
      </w:r>
      <w:r w:rsidR="0056274A">
        <w:t>switching providers.  Those purchasers could have selected different plan</w:t>
      </w:r>
      <w:r w:rsidR="007A04F3">
        <w:t>s</w:t>
      </w:r>
      <w:r w:rsidR="00D034CA">
        <w:t xml:space="preserve"> </w:t>
      </w:r>
      <w:r w:rsidR="003F0964">
        <w:t xml:space="preserve">or options </w:t>
      </w:r>
      <w:r w:rsidR="00D034CA">
        <w:t>that might have provided more flexibility at the end of the term, but i</w:t>
      </w:r>
      <w:r w:rsidR="0056274A">
        <w:t xml:space="preserve">nstead, they </w:t>
      </w:r>
      <w:r w:rsidR="007A04F3">
        <w:t xml:space="preserve">made </w:t>
      </w:r>
      <w:r w:rsidR="00D21287">
        <w:t xml:space="preserve">certain </w:t>
      </w:r>
      <w:r w:rsidR="007A04F3">
        <w:t>commitments</w:t>
      </w:r>
      <w:r w:rsidR="0056274A">
        <w:t xml:space="preserve"> in exchange for </w:t>
      </w:r>
      <w:r w:rsidR="00D034CA">
        <w:t xml:space="preserve">flexibility during the </w:t>
      </w:r>
      <w:r w:rsidR="003506DB">
        <w:t>term</w:t>
      </w:r>
      <w:r w:rsidR="0056274A">
        <w:t xml:space="preserve">.  </w:t>
      </w:r>
      <w:r w:rsidR="00FA2EDB">
        <w:t>ILECs put evidence in the record</w:t>
      </w:r>
      <w:r>
        <w:t xml:space="preserve"> </w:t>
      </w:r>
      <w:r w:rsidR="003F0964">
        <w:t xml:space="preserve">that purchasers have a number of options, </w:t>
      </w:r>
      <w:r w:rsidR="00FA2EDB">
        <w:t xml:space="preserve">that many customers did not use these plans, and that those that did were able to move circuits or change their commitment levels.  Nonetheless, </w:t>
      </w:r>
      <w:r w:rsidR="0056274A">
        <w:t xml:space="preserve">the Commission </w:t>
      </w:r>
      <w:r w:rsidR="00FA2EDB">
        <w:t xml:space="preserve">rejects </w:t>
      </w:r>
      <w:r w:rsidR="00C7341E">
        <w:t>one provider’s</w:t>
      </w:r>
      <w:r w:rsidR="00FA2EDB">
        <w:t xml:space="preserve"> evidence</w:t>
      </w:r>
      <w:r w:rsidR="00C7341E">
        <w:t>—</w:t>
      </w:r>
      <w:r w:rsidR="00FA2EDB">
        <w:t>in a footnote</w:t>
      </w:r>
      <w:r w:rsidR="00C7341E">
        <w:t>—</w:t>
      </w:r>
      <w:r w:rsidR="00D21287">
        <w:t>before proceeding to</w:t>
      </w:r>
      <w:r w:rsidR="00FA2EDB">
        <w:t xml:space="preserve"> seek comment on how to unwind the </w:t>
      </w:r>
      <w:r w:rsidR="007D6A50">
        <w:t>provisions</w:t>
      </w:r>
      <w:r w:rsidR="00FA2EDB">
        <w:t>.  I</w:t>
      </w:r>
      <w:r w:rsidR="0056274A">
        <w:t>t is unclear</w:t>
      </w:r>
      <w:r w:rsidR="003E43F2">
        <w:t xml:space="preserve"> how </w:t>
      </w:r>
      <w:r w:rsidR="0056274A">
        <w:t xml:space="preserve">ILECs that already </w:t>
      </w:r>
      <w:r w:rsidR="00D034CA">
        <w:t xml:space="preserve">made good on their obligation to </w:t>
      </w:r>
      <w:r w:rsidR="0056274A">
        <w:t xml:space="preserve">provide circuit portability </w:t>
      </w:r>
      <w:r w:rsidR="003E43F2">
        <w:t xml:space="preserve">will receive the benefit of the bargain </w:t>
      </w:r>
      <w:r w:rsidR="00B14B49">
        <w:t xml:space="preserve">if </w:t>
      </w:r>
      <w:r w:rsidR="00731045">
        <w:t>customers</w:t>
      </w:r>
      <w:r w:rsidR="00B14B49">
        <w:t xml:space="preserve"> are able remove circuits of their choosing, and without incurring the specified shortfall or early termination penalties</w:t>
      </w:r>
      <w:r>
        <w:t xml:space="preserve">.  </w:t>
      </w:r>
      <w:r w:rsidR="00FA2EDB">
        <w:t>Given how the Commission is handling the penalty provisions, I have no confidence that the outcome here will be fair or reasonable</w:t>
      </w:r>
      <w:r w:rsidR="00731045">
        <w:t xml:space="preserve">. </w:t>
      </w:r>
      <w:r w:rsidR="007A04F3">
        <w:t xml:space="preserve"> </w:t>
      </w:r>
    </w:p>
    <w:p w14:paraId="4633CF73" w14:textId="77777777" w:rsidR="00C40AA1" w:rsidRDefault="00C40AA1" w:rsidP="00E35A16">
      <w:pPr>
        <w:suppressAutoHyphens/>
        <w:ind w:firstLine="720"/>
      </w:pPr>
    </w:p>
    <w:p w14:paraId="3A4C371B" w14:textId="62D7E8F2" w:rsidR="00E95B6B" w:rsidRDefault="00D21287" w:rsidP="00DF3EFC">
      <w:pPr>
        <w:suppressAutoHyphens/>
        <w:ind w:firstLine="720"/>
      </w:pPr>
      <w:r>
        <w:t>Not content to stop there</w:t>
      </w:r>
      <w:r w:rsidR="00411901">
        <w:t xml:space="preserve">, </w:t>
      </w:r>
      <w:r w:rsidR="00BF4235">
        <w:t xml:space="preserve">in the Further Notice, </w:t>
      </w:r>
      <w:r w:rsidR="0079692E">
        <w:t xml:space="preserve">the Commission proposes </w:t>
      </w:r>
      <w:r w:rsidR="00920155">
        <w:t xml:space="preserve">a </w:t>
      </w:r>
      <w:r w:rsidR="00A81574">
        <w:t>brand new</w:t>
      </w:r>
      <w:r w:rsidR="00920155">
        <w:t xml:space="preserve"> scheme</w:t>
      </w:r>
      <w:r w:rsidR="00822288">
        <w:t xml:space="preserve"> </w:t>
      </w:r>
      <w:r w:rsidR="0078086C">
        <w:t>to</w:t>
      </w:r>
      <w:r w:rsidR="00822288">
        <w:t xml:space="preserve"> </w:t>
      </w:r>
      <w:r w:rsidR="005A6A71">
        <w:t xml:space="preserve">rate regulate </w:t>
      </w:r>
      <w:r w:rsidR="00411901" w:rsidRPr="005C4A5A">
        <w:rPr>
          <w:i/>
        </w:rPr>
        <w:t>anyone</w:t>
      </w:r>
      <w:r w:rsidR="00411901">
        <w:t xml:space="preserve"> </w:t>
      </w:r>
      <w:r w:rsidR="00E80080">
        <w:t xml:space="preserve">who </w:t>
      </w:r>
      <w:r w:rsidR="00411901">
        <w:t xml:space="preserve">provides </w:t>
      </w:r>
      <w:r w:rsidR="00911544">
        <w:t>enterprise-level broadband service</w:t>
      </w:r>
      <w:r w:rsidR="00411901">
        <w:t xml:space="preserve">.  </w:t>
      </w:r>
      <w:r w:rsidR="00A81574">
        <w:t xml:space="preserve">I cannot stress enough how radical a departure this is from </w:t>
      </w:r>
      <w:r w:rsidR="00911544">
        <w:t>history and precedent</w:t>
      </w:r>
      <w:r w:rsidR="00A81574">
        <w:t xml:space="preserve">.  </w:t>
      </w:r>
      <w:r w:rsidR="00411901">
        <w:t xml:space="preserve">For years, special access </w:t>
      </w:r>
      <w:r w:rsidR="007A04F3">
        <w:t xml:space="preserve">has </w:t>
      </w:r>
      <w:r w:rsidR="00F43DA3">
        <w:t>focused on</w:t>
      </w:r>
      <w:r w:rsidR="007A04F3">
        <w:t xml:space="preserve"> regulating </w:t>
      </w:r>
      <w:r w:rsidR="00411901">
        <w:t>ILECs’ provision of DS</w:t>
      </w:r>
      <w:r w:rsidR="00BE3340">
        <w:t>n</w:t>
      </w:r>
      <w:r w:rsidR="00411901">
        <w:t xml:space="preserve"> services </w:t>
      </w:r>
      <w:r w:rsidR="007A04F3">
        <w:t>throu</w:t>
      </w:r>
      <w:r w:rsidR="00731045">
        <w:t xml:space="preserve">gh </w:t>
      </w:r>
      <w:r w:rsidR="004A0956">
        <w:t xml:space="preserve">the dominant carrier safeguards of </w:t>
      </w:r>
      <w:r w:rsidR="00731045">
        <w:t>tariffing and rate regulation</w:t>
      </w:r>
      <w:r w:rsidR="00971171">
        <w:t xml:space="preserve">.  </w:t>
      </w:r>
      <w:r w:rsidR="00A81574">
        <w:t>O</w:t>
      </w:r>
      <w:r w:rsidR="00731045">
        <w:t xml:space="preserve">ver time, </w:t>
      </w:r>
      <w:r w:rsidR="00A81574">
        <w:t xml:space="preserve">as competition developed, </w:t>
      </w:r>
      <w:r w:rsidR="00731045">
        <w:t xml:space="preserve">price cap carriers received </w:t>
      </w:r>
      <w:r w:rsidR="00DE4C55">
        <w:t>certain</w:t>
      </w:r>
      <w:r w:rsidR="00A81574">
        <w:t xml:space="preserve"> relief, including pricing flexibility and</w:t>
      </w:r>
      <w:r w:rsidR="0053516E">
        <w:t xml:space="preserve"> even</w:t>
      </w:r>
      <w:r w:rsidR="00A81574">
        <w:t xml:space="preserve"> forbearance </w:t>
      </w:r>
      <w:r w:rsidR="00706D15">
        <w:t>from many of the dominant carrier safeguards</w:t>
      </w:r>
      <w:r w:rsidR="00A81574">
        <w:t xml:space="preserve"> for enterprise broadband service.  </w:t>
      </w:r>
      <w:r w:rsidR="00911544">
        <w:t xml:space="preserve">Meanwhile, consistent with Commission precedent dating back to 1980, </w:t>
      </w:r>
      <w:r w:rsidR="001F6D22">
        <w:t xml:space="preserve">and embodied in the </w:t>
      </w:r>
      <w:r w:rsidR="00911544">
        <w:t xml:space="preserve">1996 Act, facilities-based competitors </w:t>
      </w:r>
      <w:r w:rsidR="00DB5286">
        <w:t>have been</w:t>
      </w:r>
      <w:r w:rsidR="00911544">
        <w:t xml:space="preserve"> largely unregulated, in part to encourage entry and promote competition.  </w:t>
      </w:r>
      <w:r w:rsidR="00706D15">
        <w:t xml:space="preserve">As the Further Notice rightly points out:  </w:t>
      </w:r>
      <w:r w:rsidR="009D373C">
        <w:t>“</w:t>
      </w:r>
      <w:r w:rsidR="00706D15">
        <w:t xml:space="preserve">The great entry success story has been that of </w:t>
      </w:r>
      <w:r w:rsidR="00706D15">
        <w:lastRenderedPageBreak/>
        <w:t>cable.</w:t>
      </w:r>
      <w:r w:rsidR="009D373C">
        <w:t>”</w:t>
      </w:r>
      <w:r w:rsidR="00706D15">
        <w:t xml:space="preserve">  </w:t>
      </w:r>
    </w:p>
    <w:p w14:paraId="10107232" w14:textId="77777777" w:rsidR="00DF3EFC" w:rsidRDefault="00DF3EFC" w:rsidP="00DF3EFC">
      <w:pPr>
        <w:suppressAutoHyphens/>
        <w:ind w:firstLine="720"/>
      </w:pPr>
    </w:p>
    <w:p w14:paraId="18EAEC7D" w14:textId="3CB8746E" w:rsidR="00DB5286" w:rsidRDefault="00E95B6B" w:rsidP="00E35A16">
      <w:pPr>
        <w:suppressAutoHyphens/>
        <w:ind w:firstLine="720"/>
      </w:pPr>
      <w:r>
        <w:t xml:space="preserve">Now the Commission would roll back the relief for price cap carriers </w:t>
      </w:r>
      <w:r w:rsidR="00090143">
        <w:t>despite plenty of evidence already in the record that pricing flexibility was not only warranted but insufficient</w:t>
      </w:r>
      <w:r w:rsidR="00467AF3">
        <w:t xml:space="preserve">, and that </w:t>
      </w:r>
      <w:r w:rsidR="00706D15">
        <w:t>enterprise forbearance led to more competition and lower Ethernet prices</w:t>
      </w:r>
      <w:r w:rsidR="00090143">
        <w:t xml:space="preserve">.  </w:t>
      </w:r>
      <w:r w:rsidR="00DB5286">
        <w:t xml:space="preserve">And it attempts to do </w:t>
      </w:r>
      <w:r w:rsidR="0082160E">
        <w:t>so</w:t>
      </w:r>
      <w:r w:rsidR="00DB5286">
        <w:t xml:space="preserve"> despite the fact that forbearance cannot be reversed and </w:t>
      </w:r>
      <w:r w:rsidR="00BF4235">
        <w:t xml:space="preserve">the </w:t>
      </w:r>
      <w:r w:rsidR="00DB5286">
        <w:t>services cannot be re-regulated simply by changing their name.  Moreover, all of this is premis</w:t>
      </w:r>
      <w:r w:rsidR="005C4A5A">
        <w:t xml:space="preserve">ed </w:t>
      </w:r>
      <w:r w:rsidR="00D21287">
        <w:t xml:space="preserve">on </w:t>
      </w:r>
      <w:r w:rsidR="00521323">
        <w:t xml:space="preserve">the </w:t>
      </w:r>
      <w:r w:rsidR="00BF4235">
        <w:t>notion</w:t>
      </w:r>
      <w:r w:rsidR="005C4A5A">
        <w:t xml:space="preserve"> that markets—</w:t>
      </w:r>
      <w:r w:rsidR="00DB5286">
        <w:t>that have not yet been defined</w:t>
      </w:r>
      <w:r w:rsidR="005C4A5A">
        <w:t>—</w:t>
      </w:r>
      <w:r w:rsidR="00DB5286">
        <w:t>are not</w:t>
      </w:r>
      <w:r w:rsidR="00D21287">
        <w:t xml:space="preserve"> </w:t>
      </w:r>
      <w:r w:rsidR="00DB5286">
        <w:t xml:space="preserve">competitive.  </w:t>
      </w:r>
      <w:r w:rsidR="00BE3340">
        <w:t>This may be labeled a Further Notice but it seems pretty clear that the outcome is predetermined</w:t>
      </w:r>
      <w:r w:rsidR="00DB5286">
        <w:t xml:space="preserve">.  </w:t>
      </w:r>
      <w:r w:rsidR="00BF4235">
        <w:t xml:space="preserve">As a preview of things to come, this final version has significantly walked back earlier suggestions that markets </w:t>
      </w:r>
      <w:r w:rsidR="00D21287">
        <w:t>c</w:t>
      </w:r>
      <w:r w:rsidR="00BF4235">
        <w:t>ould be defined in rational ways and that at least some could be found to be competitive.</w:t>
      </w:r>
    </w:p>
    <w:p w14:paraId="077F3D8C" w14:textId="77777777" w:rsidR="00DB5286" w:rsidRDefault="00DB5286" w:rsidP="00E35A16">
      <w:pPr>
        <w:suppressAutoHyphens/>
        <w:ind w:firstLine="720"/>
      </w:pPr>
    </w:p>
    <w:p w14:paraId="3768D7EF" w14:textId="4DFC24E9" w:rsidR="00822288" w:rsidRDefault="00090143" w:rsidP="00E35A16">
      <w:pPr>
        <w:suppressAutoHyphens/>
        <w:ind w:firstLine="720"/>
      </w:pPr>
      <w:r>
        <w:t>A</w:t>
      </w:r>
      <w:r w:rsidR="00E95B6B">
        <w:t>t the same time</w:t>
      </w:r>
      <w:r>
        <w:t xml:space="preserve"> </w:t>
      </w:r>
      <w:r w:rsidR="00C22507">
        <w:t xml:space="preserve">that </w:t>
      </w:r>
      <w:r w:rsidR="002121F1">
        <w:t xml:space="preserve">the Commission’s new mantra is to </w:t>
      </w:r>
      <w:r w:rsidR="00690C28">
        <w:t xml:space="preserve">streamline </w:t>
      </w:r>
      <w:r w:rsidR="002121F1">
        <w:t>regulat</w:t>
      </w:r>
      <w:r w:rsidR="00690C28">
        <w:t>ion of</w:t>
      </w:r>
      <w:r w:rsidR="002761EC">
        <w:t xml:space="preserve"> </w:t>
      </w:r>
      <w:r w:rsidR="00C22507">
        <w:t>I</w:t>
      </w:r>
      <w:r w:rsidR="002121F1">
        <w:t xml:space="preserve">LECs, who were bestowed certain benefits by the government in the past, </w:t>
      </w:r>
      <w:r w:rsidR="00C22507">
        <w:t>it plans</w:t>
      </w:r>
      <w:r w:rsidR="002121F1">
        <w:t xml:space="preserve"> instead to regulate every provider, even new entrants.  In particular, </w:t>
      </w:r>
      <w:r>
        <w:t>the Commission would</w:t>
      </w:r>
      <w:r w:rsidR="00E95B6B">
        <w:t xml:space="preserve"> expand the universe of </w:t>
      </w:r>
      <w:r w:rsidR="00BF4235">
        <w:t>regulated</w:t>
      </w:r>
      <w:r w:rsidR="00E95B6B">
        <w:t xml:space="preserve"> providers to include </w:t>
      </w:r>
      <w:r>
        <w:t>cable companies—</w:t>
      </w:r>
      <w:r w:rsidR="005A6A71">
        <w:t xml:space="preserve">new </w:t>
      </w:r>
      <w:r w:rsidR="00690C28">
        <w:t xml:space="preserve">competitors </w:t>
      </w:r>
      <w:r w:rsidR="005A6A71">
        <w:t xml:space="preserve">that </w:t>
      </w:r>
      <w:r w:rsidR="0053516E">
        <w:t xml:space="preserve">already </w:t>
      </w:r>
      <w:r w:rsidR="005A6A71">
        <w:t xml:space="preserve">risked capital to deploy service without any warning that they </w:t>
      </w:r>
      <w:r w:rsidR="00E35A16">
        <w:t>might</w:t>
      </w:r>
      <w:r w:rsidR="005A6A71">
        <w:t xml:space="preserve"> </w:t>
      </w:r>
      <w:r w:rsidR="00E95B6B">
        <w:t xml:space="preserve">be “rewarded” for their success with </w:t>
      </w:r>
      <w:r w:rsidR="0053516E">
        <w:t>restrictions</w:t>
      </w:r>
      <w:r w:rsidR="00E95B6B">
        <w:t xml:space="preserve"> on how they price and market their </w:t>
      </w:r>
      <w:r w:rsidR="00DB5286">
        <w:t>products</w:t>
      </w:r>
      <w:r w:rsidR="005A6A71">
        <w:t>.</w:t>
      </w:r>
      <w:r>
        <w:t xml:space="preserve">  </w:t>
      </w:r>
      <w:r w:rsidR="00BE3340">
        <w:t xml:space="preserve">With the incumbents having already received forbearance for many packet-based services, there would have been no reason to think that their own comparable services would ever be subject to </w:t>
      </w:r>
      <w:r w:rsidR="0002577F">
        <w:t xml:space="preserve">that type of </w:t>
      </w:r>
      <w:r w:rsidR="00BE3340">
        <w:t>regulation.  Indeed, t</w:t>
      </w:r>
      <w:r>
        <w:t xml:space="preserve">he Commission does not have authority to </w:t>
      </w:r>
      <w:r w:rsidR="00D21287">
        <w:t>do so</w:t>
      </w:r>
      <w:r w:rsidR="00BE3340">
        <w:t xml:space="preserve">, and </w:t>
      </w:r>
      <w:r>
        <w:t xml:space="preserve">labeling it a </w:t>
      </w:r>
      <w:r w:rsidR="009D373C">
        <w:t>“</w:t>
      </w:r>
      <w:r w:rsidR="00BE3340">
        <w:t>technology</w:t>
      </w:r>
      <w:r w:rsidR="009D373C">
        <w:t>-</w:t>
      </w:r>
      <w:r w:rsidR="00BE3340">
        <w:t>neutral</w:t>
      </w:r>
      <w:r w:rsidR="009D373C">
        <w:t>”</w:t>
      </w:r>
      <w:r w:rsidR="00BE3340">
        <w:t xml:space="preserve"> approach </w:t>
      </w:r>
      <w:r>
        <w:t xml:space="preserve">cannot solve that threshold problem.  </w:t>
      </w:r>
      <w:r w:rsidR="001F6D22">
        <w:t xml:space="preserve">What possible incentive would </w:t>
      </w:r>
      <w:r w:rsidR="0073318E">
        <w:t xml:space="preserve">a </w:t>
      </w:r>
      <w:r w:rsidR="001F6D22">
        <w:t xml:space="preserve">cable provider </w:t>
      </w:r>
      <w:r w:rsidR="00C22507">
        <w:t xml:space="preserve">have to </w:t>
      </w:r>
      <w:r w:rsidR="001F6D22">
        <w:t xml:space="preserve">pursue an aggressive </w:t>
      </w:r>
      <w:r w:rsidR="00C22507">
        <w:t>business broadband</w:t>
      </w:r>
      <w:r w:rsidR="001F6D22">
        <w:t xml:space="preserve"> deployment strategy only to get regulated coming and going by the Commission</w:t>
      </w:r>
      <w:r w:rsidR="002121F1">
        <w:t xml:space="preserve">?  Just awful.  </w:t>
      </w:r>
    </w:p>
    <w:p w14:paraId="4C30CEE1" w14:textId="77777777" w:rsidR="00822288" w:rsidRDefault="00822288" w:rsidP="006F61F8">
      <w:pPr>
        <w:suppressAutoHyphens/>
      </w:pPr>
    </w:p>
    <w:p w14:paraId="077D6C87" w14:textId="77777777" w:rsidR="00111781" w:rsidRDefault="009D373C" w:rsidP="006F61F8">
      <w:pPr>
        <w:suppressAutoHyphens/>
      </w:pPr>
      <w:r>
        <w:tab/>
        <w:t>In other words, the agency has a lot of explaining to do</w:t>
      </w:r>
      <w:r w:rsidR="00111781">
        <w:t xml:space="preserve">.  </w:t>
      </w:r>
      <w:r>
        <w:t xml:space="preserve">I will reserve the bulk of my critiques until it has done so.  </w:t>
      </w:r>
      <w:r w:rsidR="00111781">
        <w:t>However,</w:t>
      </w:r>
      <w:r>
        <w:t xml:space="preserve"> I do want to highlight a few </w:t>
      </w:r>
      <w:r w:rsidR="00111781">
        <w:t xml:space="preserve">additional </w:t>
      </w:r>
      <w:r>
        <w:t>points and inconsistencies</w:t>
      </w:r>
      <w:r w:rsidR="00111781">
        <w:t xml:space="preserve"> in the meantime</w:t>
      </w:r>
      <w:r>
        <w:t xml:space="preserve">.  </w:t>
      </w:r>
    </w:p>
    <w:p w14:paraId="71B921E6" w14:textId="77777777" w:rsidR="00111781" w:rsidRDefault="00111781" w:rsidP="006F61F8">
      <w:pPr>
        <w:suppressAutoHyphens/>
      </w:pPr>
    </w:p>
    <w:p w14:paraId="665670DC" w14:textId="54F45CA1" w:rsidR="00822288" w:rsidRDefault="009D373C" w:rsidP="00111781">
      <w:pPr>
        <w:suppressAutoHyphens/>
        <w:ind w:firstLine="720"/>
      </w:pPr>
      <w:r>
        <w:t xml:space="preserve">First, I want to call attention to the fact that </w:t>
      </w:r>
      <w:r w:rsidR="00922217">
        <w:t xml:space="preserve">the </w:t>
      </w:r>
      <w:r>
        <w:t xml:space="preserve">principle of </w:t>
      </w:r>
      <w:r w:rsidR="008E4E9D">
        <w:t>competitive or technological</w:t>
      </w:r>
      <w:r>
        <w:t xml:space="preserve"> neutrality </w:t>
      </w:r>
      <w:r w:rsidR="002121F1">
        <w:t>does not mean what you or I may think it mean</w:t>
      </w:r>
      <w:r w:rsidR="00644BA2">
        <w:t>s</w:t>
      </w:r>
      <w:r w:rsidR="002121F1">
        <w:t xml:space="preserve">.  Instead, it </w:t>
      </w:r>
      <w:r w:rsidR="008E4E9D">
        <w:t xml:space="preserve">has </w:t>
      </w:r>
      <w:r w:rsidR="00F157C6">
        <w:t>devolved</w:t>
      </w:r>
      <w:r w:rsidR="008E4E9D">
        <w:t xml:space="preserve"> </w:t>
      </w:r>
      <w:r w:rsidR="00F157C6">
        <w:t>into</w:t>
      </w:r>
      <w:r w:rsidR="008E4E9D">
        <w:t xml:space="preserve"> whatever the Commission wants it to mean in a given item</w:t>
      </w:r>
      <w:r>
        <w:t xml:space="preserve">.  In </w:t>
      </w:r>
      <w:r w:rsidR="008E4E9D">
        <w:t xml:space="preserve">universal service, the Commission has defined </w:t>
      </w:r>
      <w:r w:rsidR="00344121">
        <w:t>it as a prohibition on</w:t>
      </w:r>
      <w:r w:rsidR="008E4E9D">
        <w:t xml:space="preserve"> </w:t>
      </w:r>
      <w:r w:rsidR="00344121">
        <w:t>“</w:t>
      </w:r>
      <w:r w:rsidR="008E4E9D">
        <w:t>treat</w:t>
      </w:r>
      <w:r w:rsidR="00344121">
        <w:t>ing</w:t>
      </w:r>
      <w:r w:rsidR="008E4E9D">
        <w:t xml:space="preserve"> </w:t>
      </w:r>
      <w:r w:rsidR="008E4E9D" w:rsidRPr="008E4E9D">
        <w:t xml:space="preserve">competitors differently in </w:t>
      </w:r>
      <w:r w:rsidR="00344121">
        <w:t>‘</w:t>
      </w:r>
      <w:r w:rsidR="008E4E9D" w:rsidRPr="008E4E9D">
        <w:t>unfair</w:t>
      </w:r>
      <w:r w:rsidR="00344121">
        <w:t>’</w:t>
      </w:r>
      <w:r w:rsidR="008E4E9D" w:rsidRPr="008E4E9D">
        <w:t xml:space="preserve"> ways</w:t>
      </w:r>
      <w:r w:rsidR="00344121">
        <w:t>”</w:t>
      </w:r>
      <w:r w:rsidR="008E4E9D" w:rsidRPr="008E4E9D">
        <w:t xml:space="preserve">, and it </w:t>
      </w:r>
      <w:r w:rsidR="00344121">
        <w:t>has used this interpretation</w:t>
      </w:r>
      <w:r w:rsidR="008E4E9D" w:rsidRPr="008E4E9D">
        <w:t xml:space="preserve"> to justify</w:t>
      </w:r>
      <w:r w:rsidR="00111781">
        <w:t xml:space="preserve"> rules that </w:t>
      </w:r>
      <w:r w:rsidR="00344121">
        <w:t>actually</w:t>
      </w:r>
      <w:r>
        <w:rPr>
          <w:i/>
          <w:iCs/>
        </w:rPr>
        <w:t xml:space="preserve"> </w:t>
      </w:r>
      <w:r w:rsidR="00111781">
        <w:rPr>
          <w:i/>
          <w:iCs/>
        </w:rPr>
        <w:t xml:space="preserve">favor </w:t>
      </w:r>
      <w:r>
        <w:t xml:space="preserve">providers of certain technologies over all others.  </w:t>
      </w:r>
      <w:r w:rsidR="00111781">
        <w:t>Here</w:t>
      </w:r>
      <w:r w:rsidR="00644BA2">
        <w:t>,</w:t>
      </w:r>
      <w:r w:rsidR="00111781">
        <w:t xml:space="preserve"> the Commission </w:t>
      </w:r>
      <w:r w:rsidR="00344121">
        <w:t>says it wants to</w:t>
      </w:r>
      <w:r w:rsidR="00111781">
        <w:t xml:space="preserve"> treat all technologies the same, </w:t>
      </w:r>
      <w:r w:rsidR="00344121">
        <w:t>so it invokes the principle to justify regulating new providers</w:t>
      </w:r>
      <w:r w:rsidR="00801B93">
        <w:t>,</w:t>
      </w:r>
      <w:r w:rsidR="00344121">
        <w:t xml:space="preserve"> </w:t>
      </w:r>
      <w:r w:rsidR="00111781">
        <w:t xml:space="preserve">regardless of whether that would be “fair”.  </w:t>
      </w:r>
      <w:r w:rsidR="00344121">
        <w:t xml:space="preserve">But </w:t>
      </w:r>
      <w:r w:rsidR="00C7341E">
        <w:t xml:space="preserve">even here </w:t>
      </w:r>
      <w:r w:rsidR="00344121">
        <w:t xml:space="preserve">it is not actually neutral because TDM-based services would continue to be regulated under the price cap system while packet-based services would fall under a benchmarking regime.  </w:t>
      </w:r>
    </w:p>
    <w:p w14:paraId="1D348EF3" w14:textId="77777777" w:rsidR="002D0FBA" w:rsidRDefault="002D0FBA">
      <w:pPr>
        <w:suppressAutoHyphens/>
        <w:ind w:firstLine="720"/>
      </w:pPr>
    </w:p>
    <w:p w14:paraId="045CD0C1" w14:textId="14BA0C6E" w:rsidR="00781739" w:rsidRDefault="00BC6CA6">
      <w:pPr>
        <w:suppressAutoHyphens/>
        <w:ind w:firstLine="720"/>
      </w:pPr>
      <w:r>
        <w:t xml:space="preserve">Second, </w:t>
      </w:r>
      <w:r w:rsidR="005577CA">
        <w:t xml:space="preserve">I have been struck by the lack of consistency when it comes to </w:t>
      </w:r>
      <w:r w:rsidR="00F157C6">
        <w:t>measures of</w:t>
      </w:r>
      <w:r w:rsidR="002B7E3A">
        <w:t xml:space="preserve"> </w:t>
      </w:r>
      <w:r w:rsidR="003650E6">
        <w:t>inflation and productivity</w:t>
      </w:r>
      <w:r w:rsidR="00D21287">
        <w:t xml:space="preserve"> at the Commission</w:t>
      </w:r>
      <w:r w:rsidR="005577CA">
        <w:t xml:space="preserve">.  </w:t>
      </w:r>
      <w:r w:rsidR="00F157C6">
        <w:t>This</w:t>
      </w:r>
      <w:r>
        <w:t xml:space="preserve"> F</w:t>
      </w:r>
      <w:r w:rsidR="004A0956">
        <w:t xml:space="preserve">urther Notice proposes </w:t>
      </w:r>
      <w:r w:rsidR="00F157C6">
        <w:t>to</w:t>
      </w:r>
      <w:r>
        <w:t xml:space="preserve"> </w:t>
      </w:r>
      <w:r w:rsidR="004A0956">
        <w:t xml:space="preserve">continue to </w:t>
      </w:r>
      <w:r>
        <w:t xml:space="preserve">use </w:t>
      </w:r>
      <w:r w:rsidR="005577CA">
        <w:t xml:space="preserve">the </w:t>
      </w:r>
      <w:r w:rsidR="005577CA" w:rsidRPr="003650E6">
        <w:t xml:space="preserve">Bureau of Economic Analysis’ chain-weighted </w:t>
      </w:r>
      <w:r w:rsidR="00870C59">
        <w:t xml:space="preserve">gross domestic product price index, or </w:t>
      </w:r>
      <w:r w:rsidR="005577CA" w:rsidRPr="003650E6">
        <w:t>GDP-PI</w:t>
      </w:r>
      <w:r w:rsidR="00870C59">
        <w:t>,</w:t>
      </w:r>
      <w:r w:rsidR="005577CA" w:rsidRPr="003650E6">
        <w:t xml:space="preserve"> </w:t>
      </w:r>
      <w:r>
        <w:t xml:space="preserve">and </w:t>
      </w:r>
      <w:r w:rsidR="004A0956">
        <w:t>re-</w:t>
      </w:r>
      <w:r>
        <w:t xml:space="preserve">set </w:t>
      </w:r>
      <w:r w:rsidR="004A0956">
        <w:t>the</w:t>
      </w:r>
      <w:r>
        <w:t xml:space="preserve"> </w:t>
      </w:r>
      <w:r w:rsidR="00F905C0">
        <w:t>X-</w:t>
      </w:r>
      <w:r w:rsidR="003650E6">
        <w:t>factor using one of several methods proposed in the item</w:t>
      </w:r>
      <w:r>
        <w:t xml:space="preserve">. </w:t>
      </w:r>
      <w:r w:rsidR="005577CA">
        <w:t xml:space="preserve"> </w:t>
      </w:r>
      <w:r>
        <w:t xml:space="preserve">The goal, of course, is to significantly lower </w:t>
      </w:r>
      <w:r w:rsidR="00FA55AB">
        <w:t>rates</w:t>
      </w:r>
      <w:r>
        <w:t xml:space="preserve">. </w:t>
      </w:r>
      <w:r w:rsidR="005577CA">
        <w:t xml:space="preserve"> </w:t>
      </w:r>
      <w:r w:rsidR="002B7E3A">
        <w:t xml:space="preserve">In general, </w:t>
      </w:r>
      <w:r w:rsidR="00644BA2">
        <w:t>c</w:t>
      </w:r>
      <w:r w:rsidR="00644BA2" w:rsidRPr="003650E6">
        <w:t>hain</w:t>
      </w:r>
      <w:r w:rsidR="00644BA2">
        <w:t>-</w:t>
      </w:r>
      <w:r w:rsidR="003650E6" w:rsidRPr="003650E6">
        <w:t xml:space="preserve">weighted inflation measures yield lower inflation rates than standard inflation rates, but as this item notes, they are “significantly more accurate”. </w:t>
      </w:r>
      <w:r w:rsidR="003650E6">
        <w:t xml:space="preserve"> </w:t>
      </w:r>
    </w:p>
    <w:p w14:paraId="77C132BC" w14:textId="77777777" w:rsidR="00781739" w:rsidRDefault="00781739" w:rsidP="00C21CB5">
      <w:pPr>
        <w:tabs>
          <w:tab w:val="left" w:pos="3974"/>
        </w:tabs>
        <w:suppressAutoHyphens/>
        <w:ind w:firstLine="720"/>
      </w:pPr>
    </w:p>
    <w:p w14:paraId="49C44018" w14:textId="2A88E2D7" w:rsidR="002D0FBA" w:rsidRDefault="00781739">
      <w:pPr>
        <w:suppressAutoHyphens/>
        <w:ind w:firstLine="720"/>
      </w:pPr>
      <w:r>
        <w:t xml:space="preserve">In contrast, in </w:t>
      </w:r>
      <w:r w:rsidR="00870C59">
        <w:t>certain</w:t>
      </w:r>
      <w:r>
        <w:t xml:space="preserve"> universal service </w:t>
      </w:r>
      <w:r w:rsidR="00870C59">
        <w:t>programs</w:t>
      </w:r>
      <w:r>
        <w:t>, where the Commission wants to be more generous</w:t>
      </w:r>
      <w:r w:rsidR="00870C59">
        <w:t>,</w:t>
      </w:r>
      <w:r>
        <w:t xml:space="preserve"> it has used other methodologies</w:t>
      </w:r>
      <w:r w:rsidR="00870C59">
        <w:t xml:space="preserve"> with no </w:t>
      </w:r>
      <w:r w:rsidR="00C7341E">
        <w:t xml:space="preserve">accompanying </w:t>
      </w:r>
      <w:r w:rsidR="00870C59">
        <w:t>productivity adjustments</w:t>
      </w:r>
      <w:r>
        <w:t>.  I</w:t>
      </w:r>
      <w:r w:rsidR="00BC6CA6">
        <w:t>n E-rate</w:t>
      </w:r>
      <w:r w:rsidR="00134A1A">
        <w:t xml:space="preserve">, the Commission </w:t>
      </w:r>
      <w:r w:rsidR="00F157C6">
        <w:t>selected</w:t>
      </w:r>
      <w:r w:rsidR="00134A1A">
        <w:t xml:space="preserve"> the </w:t>
      </w:r>
      <w:r w:rsidR="00134A1A" w:rsidRPr="00781739">
        <w:t>gross domestic product chain-type consumer price index, or GDP-CPI</w:t>
      </w:r>
      <w:r w:rsidR="00D21287">
        <w:t>, but</w:t>
      </w:r>
      <w:r>
        <w:t xml:space="preserve"> determined that in times of deflation, it would hold the budget constant</w:t>
      </w:r>
      <w:r w:rsidRPr="00870C59">
        <w:t xml:space="preserve">.  </w:t>
      </w:r>
      <w:r w:rsidR="00E372D8">
        <w:t>More recently, in</w:t>
      </w:r>
      <w:r w:rsidR="00F157C6">
        <w:t xml:space="preserve"> </w:t>
      </w:r>
      <w:r w:rsidR="00C22507">
        <w:t xml:space="preserve">the </w:t>
      </w:r>
      <w:r w:rsidRPr="00870C59">
        <w:t xml:space="preserve">Lifeline reform order, </w:t>
      </w:r>
      <w:r>
        <w:t xml:space="preserve">the Commission </w:t>
      </w:r>
      <w:r w:rsidR="00F157C6">
        <w:t>picked</w:t>
      </w:r>
      <w:r>
        <w:t xml:space="preserve"> a completely different </w:t>
      </w:r>
      <w:r w:rsidR="00C7341E">
        <w:t xml:space="preserve">inflationary </w:t>
      </w:r>
      <w:r>
        <w:t>measure with no explanation at all</w:t>
      </w:r>
      <w:r w:rsidR="00F157C6">
        <w:t xml:space="preserve">: </w:t>
      </w:r>
      <w:r w:rsidR="00E633B7">
        <w:t xml:space="preserve"> </w:t>
      </w:r>
      <w:r w:rsidR="00F157C6">
        <w:t>the</w:t>
      </w:r>
      <w:r w:rsidR="005577CA" w:rsidRPr="00B626EA">
        <w:t xml:space="preserve"> Bureau of Labor Statistics’ </w:t>
      </w:r>
      <w:r w:rsidR="00870C59">
        <w:t xml:space="preserve">consumer price index for all urban consumers, or </w:t>
      </w:r>
      <w:r w:rsidR="003650E6" w:rsidRPr="00B626EA">
        <w:t>CPI-U</w:t>
      </w:r>
      <w:r w:rsidR="00BC6CA6">
        <w:t xml:space="preserve">, </w:t>
      </w:r>
      <w:r w:rsidR="00870C59">
        <w:t>which is not chained</w:t>
      </w:r>
      <w:r w:rsidR="00BC6CA6">
        <w:t xml:space="preserve">. </w:t>
      </w:r>
      <w:r w:rsidR="005577CA">
        <w:t xml:space="preserve"> </w:t>
      </w:r>
      <w:r w:rsidR="00F157C6">
        <w:t>I</w:t>
      </w:r>
      <w:r w:rsidR="00BC6CA6">
        <w:t xml:space="preserve">n the </w:t>
      </w:r>
      <w:r w:rsidR="00C7341E">
        <w:t xml:space="preserve">rate-of-return reform order, </w:t>
      </w:r>
      <w:r w:rsidR="00F157C6">
        <w:t xml:space="preserve">however, </w:t>
      </w:r>
      <w:r w:rsidR="00BC6CA6">
        <w:t xml:space="preserve">there </w:t>
      </w:r>
      <w:r w:rsidR="00F157C6">
        <w:t>was</w:t>
      </w:r>
      <w:r w:rsidR="00BC6CA6">
        <w:t xml:space="preserve"> no adjustment for inflation </w:t>
      </w:r>
      <w:r w:rsidR="00644BA2">
        <w:t>whatsoever</w:t>
      </w:r>
      <w:r w:rsidR="00BC6CA6">
        <w:t>.</w:t>
      </w:r>
      <w:r w:rsidR="002B7E3A" w:rsidRPr="002B7E3A">
        <w:t xml:space="preserve"> </w:t>
      </w:r>
      <w:r w:rsidR="002B7E3A">
        <w:t xml:space="preserve"> </w:t>
      </w:r>
    </w:p>
    <w:p w14:paraId="08DBC4D8" w14:textId="77777777" w:rsidR="00870C59" w:rsidRDefault="00870C59">
      <w:pPr>
        <w:suppressAutoHyphens/>
        <w:ind w:firstLine="720"/>
      </w:pPr>
    </w:p>
    <w:p w14:paraId="721B4A10" w14:textId="71C3AA2F" w:rsidR="00870C59" w:rsidRDefault="00C21CB5">
      <w:pPr>
        <w:suppressAutoHyphens/>
        <w:ind w:firstLine="720"/>
      </w:pPr>
      <w:r>
        <w:t xml:space="preserve">Perhaps there is some justification that escapes me for </w:t>
      </w:r>
      <w:r w:rsidR="00870C59">
        <w:t xml:space="preserve">different measures for different rules, </w:t>
      </w:r>
      <w:r w:rsidR="00BC6CA6">
        <w:t xml:space="preserve">but </w:t>
      </w:r>
      <w:r w:rsidR="00870C59">
        <w:t xml:space="preserve">the Commission should at least explain the rationale.  Instead, it appears that </w:t>
      </w:r>
      <w:r w:rsidR="005C4A5A">
        <w:t>the Commission</w:t>
      </w:r>
      <w:r w:rsidR="00F157C6">
        <w:t>, shockingly,</w:t>
      </w:r>
      <w:r w:rsidR="005C4A5A">
        <w:t xml:space="preserve"> chooses the measures that best fit the desired outcome</w:t>
      </w:r>
      <w:r w:rsidR="004A0956">
        <w:t>, even if it means approving the use of chain-weighting, something that Democrats ha</w:t>
      </w:r>
      <w:r w:rsidR="00654462">
        <w:t>ve</w:t>
      </w:r>
      <w:r w:rsidR="004A0956">
        <w:t xml:space="preserve"> strongly opposed in other contexts</w:t>
      </w:r>
      <w:r w:rsidR="005C4A5A">
        <w:t xml:space="preserve">.  Whether </w:t>
      </w:r>
      <w:r w:rsidR="004A0956">
        <w:t>the selected measure</w:t>
      </w:r>
      <w:r w:rsidR="005C4A5A">
        <w:t xml:space="preserve"> makes sense from an economic standpoint </w:t>
      </w:r>
      <w:r w:rsidR="00F157C6">
        <w:t>seems to be</w:t>
      </w:r>
      <w:r w:rsidR="005C4A5A">
        <w:t xml:space="preserve"> a secondary consideration at best.  </w:t>
      </w:r>
    </w:p>
    <w:p w14:paraId="1BF53F7A" w14:textId="77777777" w:rsidR="00C7341E" w:rsidRDefault="00C7341E">
      <w:pPr>
        <w:suppressAutoHyphens/>
        <w:ind w:firstLine="720"/>
      </w:pPr>
    </w:p>
    <w:p w14:paraId="2A90E1F2" w14:textId="77777777" w:rsidR="00C7341E" w:rsidRDefault="00654462">
      <w:pPr>
        <w:suppressAutoHyphens/>
        <w:ind w:firstLine="720"/>
      </w:pPr>
      <w:r>
        <w:t>For all of these reasons, I dissent.</w:t>
      </w:r>
    </w:p>
    <w:p w14:paraId="1338C45A" w14:textId="77777777" w:rsidR="00C7341E" w:rsidRDefault="00C7341E">
      <w:pPr>
        <w:suppressAutoHyphens/>
        <w:ind w:firstLine="720"/>
      </w:pPr>
    </w:p>
    <w:sectPr w:rsidR="00C7341E" w:rsidSect="00FE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2D59" w14:textId="77777777" w:rsidR="00921D14" w:rsidRDefault="00921D14" w:rsidP="00C21CB5">
      <w:r>
        <w:separator/>
      </w:r>
    </w:p>
  </w:endnote>
  <w:endnote w:type="continuationSeparator" w:id="0">
    <w:p w14:paraId="45DDBFD7" w14:textId="77777777" w:rsidR="00921D14" w:rsidRDefault="00921D14" w:rsidP="00C2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149A" w14:textId="77777777" w:rsidR="00C528E5" w:rsidRDefault="00C52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8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50110" w14:textId="77777777" w:rsidR="00C21CB5" w:rsidRDefault="00C21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67BC2" w14:textId="77777777" w:rsidR="00C21CB5" w:rsidRDefault="00C21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AD5C" w14:textId="77777777" w:rsidR="00C528E5" w:rsidRDefault="00C52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92F04" w14:textId="77777777" w:rsidR="00921D14" w:rsidRDefault="00921D14" w:rsidP="00C21CB5">
      <w:r>
        <w:separator/>
      </w:r>
    </w:p>
  </w:footnote>
  <w:footnote w:type="continuationSeparator" w:id="0">
    <w:p w14:paraId="167F14FA" w14:textId="77777777" w:rsidR="00921D14" w:rsidRDefault="00921D14" w:rsidP="00C21CB5">
      <w:r>
        <w:continuationSeparator/>
      </w:r>
    </w:p>
  </w:footnote>
  <w:footnote w:id="1">
    <w:p w14:paraId="28A839D9" w14:textId="4DAAD569" w:rsidR="00C21CB5" w:rsidRPr="00731018" w:rsidRDefault="00C21CB5">
      <w:pPr>
        <w:pStyle w:val="FootnoteText"/>
      </w:pPr>
      <w:r w:rsidRPr="00731018">
        <w:rPr>
          <w:rStyle w:val="FootnoteReference"/>
        </w:rPr>
        <w:footnoteRef/>
      </w:r>
      <w:r w:rsidRPr="00731018">
        <w:t xml:space="preserve"> </w:t>
      </w:r>
      <w:r w:rsidR="00E74F2E" w:rsidRPr="00731018">
        <w:t xml:space="preserve">Bankrate, These 10 Banks Have the Most ATMs, </w:t>
      </w:r>
      <w:hyperlink r:id="rId1" w:history="1">
        <w:r w:rsidR="00E74F2E" w:rsidRPr="00731018">
          <w:rPr>
            <w:rStyle w:val="Hyperlink"/>
          </w:rPr>
          <w:t>http://www.bankrate.com/finance/banking/banks-have-the-most-atms-1.aspx</w:t>
        </w:r>
      </w:hyperlink>
      <w:r w:rsidR="00E74F2E" w:rsidRPr="00731018">
        <w:t xml:space="preserve"> (last visited Apr. 2</w:t>
      </w:r>
      <w:r w:rsidR="00036099">
        <w:t>8</w:t>
      </w:r>
      <w:r w:rsidR="00E74F2E" w:rsidRPr="00731018">
        <w:t>,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5419" w14:textId="77777777" w:rsidR="00C528E5" w:rsidRDefault="00C52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7D7E" w14:textId="77777777" w:rsidR="00C528E5" w:rsidRDefault="00C52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7E4D" w14:textId="77777777" w:rsidR="00C528E5" w:rsidRDefault="00C5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F8"/>
    <w:rsid w:val="0002577F"/>
    <w:rsid w:val="00036099"/>
    <w:rsid w:val="00041FF7"/>
    <w:rsid w:val="00042F78"/>
    <w:rsid w:val="0005499B"/>
    <w:rsid w:val="0007521E"/>
    <w:rsid w:val="00090143"/>
    <w:rsid w:val="000B3662"/>
    <w:rsid w:val="000D03EF"/>
    <w:rsid w:val="001102F1"/>
    <w:rsid w:val="00111781"/>
    <w:rsid w:val="00134A1A"/>
    <w:rsid w:val="001B4D7D"/>
    <w:rsid w:val="001F6D22"/>
    <w:rsid w:val="002121F1"/>
    <w:rsid w:val="0021428F"/>
    <w:rsid w:val="002143C5"/>
    <w:rsid w:val="0023092D"/>
    <w:rsid w:val="002761EC"/>
    <w:rsid w:val="00290048"/>
    <w:rsid w:val="002A7FD1"/>
    <w:rsid w:val="002B7E3A"/>
    <w:rsid w:val="002D0FBA"/>
    <w:rsid w:val="00344121"/>
    <w:rsid w:val="003506DB"/>
    <w:rsid w:val="003650E6"/>
    <w:rsid w:val="003774C8"/>
    <w:rsid w:val="003D37D3"/>
    <w:rsid w:val="003E43F2"/>
    <w:rsid w:val="003E5F84"/>
    <w:rsid w:val="003F0964"/>
    <w:rsid w:val="00411901"/>
    <w:rsid w:val="00412224"/>
    <w:rsid w:val="0043002B"/>
    <w:rsid w:val="004402D2"/>
    <w:rsid w:val="00467AF3"/>
    <w:rsid w:val="004A0956"/>
    <w:rsid w:val="004A0ABA"/>
    <w:rsid w:val="004D31CA"/>
    <w:rsid w:val="00521323"/>
    <w:rsid w:val="005335E9"/>
    <w:rsid w:val="0053516E"/>
    <w:rsid w:val="005577CA"/>
    <w:rsid w:val="0056274A"/>
    <w:rsid w:val="005658FE"/>
    <w:rsid w:val="0057539D"/>
    <w:rsid w:val="00575CCA"/>
    <w:rsid w:val="005A6A71"/>
    <w:rsid w:val="005C4A5A"/>
    <w:rsid w:val="00632917"/>
    <w:rsid w:val="00644BA2"/>
    <w:rsid w:val="00654462"/>
    <w:rsid w:val="00690C28"/>
    <w:rsid w:val="00692F28"/>
    <w:rsid w:val="006D3234"/>
    <w:rsid w:val="006F61F8"/>
    <w:rsid w:val="00706D15"/>
    <w:rsid w:val="00731018"/>
    <w:rsid w:val="00731045"/>
    <w:rsid w:val="0073318E"/>
    <w:rsid w:val="007545F4"/>
    <w:rsid w:val="00775D93"/>
    <w:rsid w:val="00776034"/>
    <w:rsid w:val="00777B97"/>
    <w:rsid w:val="0078086C"/>
    <w:rsid w:val="00781739"/>
    <w:rsid w:val="00790999"/>
    <w:rsid w:val="0079692E"/>
    <w:rsid w:val="007A04F3"/>
    <w:rsid w:val="007B46FB"/>
    <w:rsid w:val="007D6A50"/>
    <w:rsid w:val="007E42EB"/>
    <w:rsid w:val="00801B93"/>
    <w:rsid w:val="00810AFA"/>
    <w:rsid w:val="0082160E"/>
    <w:rsid w:val="00822288"/>
    <w:rsid w:val="00824470"/>
    <w:rsid w:val="00836E1C"/>
    <w:rsid w:val="0085240B"/>
    <w:rsid w:val="00870C59"/>
    <w:rsid w:val="008758F2"/>
    <w:rsid w:val="008E4E9D"/>
    <w:rsid w:val="00911544"/>
    <w:rsid w:val="00920155"/>
    <w:rsid w:val="00921D14"/>
    <w:rsid w:val="00922217"/>
    <w:rsid w:val="00940D58"/>
    <w:rsid w:val="009643B6"/>
    <w:rsid w:val="00971171"/>
    <w:rsid w:val="009D373C"/>
    <w:rsid w:val="009F1608"/>
    <w:rsid w:val="00A75238"/>
    <w:rsid w:val="00A81574"/>
    <w:rsid w:val="00AB1E4B"/>
    <w:rsid w:val="00B00E88"/>
    <w:rsid w:val="00B14B49"/>
    <w:rsid w:val="00B2369D"/>
    <w:rsid w:val="00B626EA"/>
    <w:rsid w:val="00B736A9"/>
    <w:rsid w:val="00B951E5"/>
    <w:rsid w:val="00BC6CA6"/>
    <w:rsid w:val="00BE3340"/>
    <w:rsid w:val="00BE7CB6"/>
    <w:rsid w:val="00BF28F6"/>
    <w:rsid w:val="00BF4235"/>
    <w:rsid w:val="00C04F53"/>
    <w:rsid w:val="00C20B98"/>
    <w:rsid w:val="00C21CB5"/>
    <w:rsid w:val="00C22507"/>
    <w:rsid w:val="00C40AA1"/>
    <w:rsid w:val="00C43776"/>
    <w:rsid w:val="00C528E5"/>
    <w:rsid w:val="00C65FA8"/>
    <w:rsid w:val="00C7341E"/>
    <w:rsid w:val="00C91C21"/>
    <w:rsid w:val="00CE4431"/>
    <w:rsid w:val="00D034CA"/>
    <w:rsid w:val="00D06C70"/>
    <w:rsid w:val="00D21287"/>
    <w:rsid w:val="00D6261B"/>
    <w:rsid w:val="00D66A1A"/>
    <w:rsid w:val="00D90C84"/>
    <w:rsid w:val="00DA613B"/>
    <w:rsid w:val="00DB5286"/>
    <w:rsid w:val="00DE4C55"/>
    <w:rsid w:val="00DF3EFC"/>
    <w:rsid w:val="00E256BB"/>
    <w:rsid w:val="00E35A16"/>
    <w:rsid w:val="00E372D8"/>
    <w:rsid w:val="00E51F9D"/>
    <w:rsid w:val="00E55F61"/>
    <w:rsid w:val="00E5713D"/>
    <w:rsid w:val="00E633B7"/>
    <w:rsid w:val="00E74F2E"/>
    <w:rsid w:val="00E80080"/>
    <w:rsid w:val="00E95B6B"/>
    <w:rsid w:val="00F157C6"/>
    <w:rsid w:val="00F26BFA"/>
    <w:rsid w:val="00F33DF4"/>
    <w:rsid w:val="00F43DA3"/>
    <w:rsid w:val="00F905C0"/>
    <w:rsid w:val="00FA2EDB"/>
    <w:rsid w:val="00FA55AB"/>
    <w:rsid w:val="00FB3281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4D31C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D31C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D31C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D31C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D31C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D31C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D31C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D3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D3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D31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31CA"/>
  </w:style>
  <w:style w:type="paragraph" w:styleId="BalloonText">
    <w:name w:val="Balloon Text"/>
    <w:basedOn w:val="Normal"/>
    <w:link w:val="BalloonTextChar"/>
    <w:rsid w:val="004D3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1CA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styleId="FootnoteText">
    <w:name w:val="footnote text"/>
    <w:link w:val="FootnoteTextChar"/>
    <w:rsid w:val="004D31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D31CA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4D31CA"/>
    <w:pPr>
      <w:spacing w:before="40"/>
    </w:pPr>
    <w:rPr>
      <w:rFonts w:ascii="Arial" w:hAnsi="Arial" w:cs="Arial"/>
      <w:b/>
      <w:sz w:val="96"/>
    </w:rPr>
  </w:style>
  <w:style w:type="character" w:customStyle="1" w:styleId="HeaderChar">
    <w:name w:val="Header Char"/>
    <w:basedOn w:val="DefaultParagraphFont"/>
    <w:link w:val="Header"/>
    <w:rsid w:val="00C21CB5"/>
    <w:rPr>
      <w:rFonts w:ascii="Arial" w:eastAsia="Times New Roman" w:hAnsi="Arial" w:cs="Arial"/>
      <w:b/>
      <w:snapToGrid w:val="0"/>
      <w:kern w:val="28"/>
      <w:sz w:val="96"/>
      <w:szCs w:val="20"/>
    </w:rPr>
  </w:style>
  <w:style w:type="paragraph" w:styleId="Footer">
    <w:name w:val="footer"/>
    <w:basedOn w:val="Normal"/>
    <w:link w:val="FooterChar"/>
    <w:uiPriority w:val="99"/>
    <w:rsid w:val="004D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1C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07"/>
    <w:rPr>
      <w:b/>
      <w:bCs/>
      <w:sz w:val="20"/>
      <w:szCs w:val="20"/>
    </w:rPr>
  </w:style>
  <w:style w:type="character" w:styleId="Hyperlink">
    <w:name w:val="Hyperlink"/>
    <w:rsid w:val="004D31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E36F5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4D31C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4D31C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36F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4D31CA"/>
    <w:rPr>
      <w:vertAlign w:val="superscript"/>
    </w:rPr>
  </w:style>
  <w:style w:type="paragraph" w:styleId="TOC1">
    <w:name w:val="toc 1"/>
    <w:basedOn w:val="Normal"/>
    <w:next w:val="Normal"/>
    <w:semiHidden/>
    <w:rsid w:val="004D31C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D31C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D31C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D31C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D31C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D31C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D31C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D31C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D31C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D31C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D31CA"/>
  </w:style>
  <w:style w:type="character" w:styleId="PageNumber">
    <w:name w:val="page number"/>
    <w:basedOn w:val="DefaultParagraphFont"/>
    <w:rsid w:val="004D31CA"/>
  </w:style>
  <w:style w:type="paragraph" w:styleId="BlockText">
    <w:name w:val="Block Text"/>
    <w:basedOn w:val="Normal"/>
    <w:rsid w:val="004D31CA"/>
    <w:pPr>
      <w:spacing w:after="240"/>
      <w:ind w:left="1440" w:right="1440"/>
    </w:pPr>
  </w:style>
  <w:style w:type="paragraph" w:customStyle="1" w:styleId="Paratitle">
    <w:name w:val="Para title"/>
    <w:basedOn w:val="Normal"/>
    <w:rsid w:val="004D31C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D31C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D31C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D31C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D31CA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4D31C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D31C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D31C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D31C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D31C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D31C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D31C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D3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D3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D31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31CA"/>
  </w:style>
  <w:style w:type="paragraph" w:styleId="BalloonText">
    <w:name w:val="Balloon Text"/>
    <w:basedOn w:val="Normal"/>
    <w:link w:val="BalloonTextChar"/>
    <w:rsid w:val="004D3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1CA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styleId="FootnoteText">
    <w:name w:val="footnote text"/>
    <w:link w:val="FootnoteTextChar"/>
    <w:rsid w:val="004D31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D31CA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4D31CA"/>
    <w:pPr>
      <w:spacing w:before="40"/>
    </w:pPr>
    <w:rPr>
      <w:rFonts w:ascii="Arial" w:hAnsi="Arial" w:cs="Arial"/>
      <w:b/>
      <w:sz w:val="96"/>
    </w:rPr>
  </w:style>
  <w:style w:type="character" w:customStyle="1" w:styleId="HeaderChar">
    <w:name w:val="Header Char"/>
    <w:basedOn w:val="DefaultParagraphFont"/>
    <w:link w:val="Header"/>
    <w:rsid w:val="00C21CB5"/>
    <w:rPr>
      <w:rFonts w:ascii="Arial" w:eastAsia="Times New Roman" w:hAnsi="Arial" w:cs="Arial"/>
      <w:b/>
      <w:snapToGrid w:val="0"/>
      <w:kern w:val="28"/>
      <w:sz w:val="96"/>
      <w:szCs w:val="20"/>
    </w:rPr>
  </w:style>
  <w:style w:type="paragraph" w:styleId="Footer">
    <w:name w:val="footer"/>
    <w:basedOn w:val="Normal"/>
    <w:link w:val="FooterChar"/>
    <w:uiPriority w:val="99"/>
    <w:rsid w:val="004D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1C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07"/>
    <w:rPr>
      <w:b/>
      <w:bCs/>
      <w:sz w:val="20"/>
      <w:szCs w:val="20"/>
    </w:rPr>
  </w:style>
  <w:style w:type="character" w:styleId="Hyperlink">
    <w:name w:val="Hyperlink"/>
    <w:rsid w:val="004D31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E36F5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4D31C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4D31C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36F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4D31CA"/>
    <w:rPr>
      <w:vertAlign w:val="superscript"/>
    </w:rPr>
  </w:style>
  <w:style w:type="paragraph" w:styleId="TOC1">
    <w:name w:val="toc 1"/>
    <w:basedOn w:val="Normal"/>
    <w:next w:val="Normal"/>
    <w:semiHidden/>
    <w:rsid w:val="004D31C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D31C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D31C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D31C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D31C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D31C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D31C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D31C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D31C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D31C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D31CA"/>
  </w:style>
  <w:style w:type="character" w:styleId="PageNumber">
    <w:name w:val="page number"/>
    <w:basedOn w:val="DefaultParagraphFont"/>
    <w:rsid w:val="004D31CA"/>
  </w:style>
  <w:style w:type="paragraph" w:styleId="BlockText">
    <w:name w:val="Block Text"/>
    <w:basedOn w:val="Normal"/>
    <w:rsid w:val="004D31CA"/>
    <w:pPr>
      <w:spacing w:after="240"/>
      <w:ind w:left="1440" w:right="1440"/>
    </w:pPr>
  </w:style>
  <w:style w:type="paragraph" w:customStyle="1" w:styleId="Paratitle">
    <w:name w:val="Para title"/>
    <w:basedOn w:val="Normal"/>
    <w:rsid w:val="004D31C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D31C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D31C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D31C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D31CA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ate.com/finance/banking/banks-have-the-most-atms-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3</Pages>
  <Words>2005</Words>
  <Characters>10793</Characters>
  <Application>Microsoft Office Word</Application>
  <DocSecurity>0</DocSecurity>
  <Lines>156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2016-04-28T17:46:00Z</cp:lastPrinted>
  <dcterms:created xsi:type="dcterms:W3CDTF">2016-04-29T19:49:00Z</dcterms:created>
  <dcterms:modified xsi:type="dcterms:W3CDTF">2016-04-29T19:49:00Z</dcterms:modified>
  <cp:category> </cp:category>
  <cp:contentStatus> </cp:contentStatus>
</cp:coreProperties>
</file>