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2" w:type="dxa"/>
        <w:tblLook w:val="0000" w:firstRow="0" w:lastRow="0" w:firstColumn="0" w:lastColumn="0" w:noHBand="0" w:noVBand="0"/>
      </w:tblPr>
      <w:tblGrid>
        <w:gridCol w:w="9180"/>
      </w:tblGrid>
      <w:tr w:rsidR="004F0F1F" w:rsidRPr="008F78D8" w14:paraId="4E14F05E" w14:textId="77777777" w:rsidTr="006A4DED">
        <w:trPr>
          <w:trHeight w:val="2181"/>
        </w:trPr>
        <w:tc>
          <w:tcPr>
            <w:tcW w:w="9180" w:type="dxa"/>
          </w:tcPr>
          <w:p w14:paraId="540F67B7" w14:textId="77777777" w:rsidR="00FF232D" w:rsidRDefault="00754B04" w:rsidP="006A7D75">
            <w:pPr>
              <w:jc w:val="center"/>
              <w:rPr>
                <w:b/>
              </w:rPr>
            </w:pPr>
            <w:bookmarkStart w:id="0" w:name="_GoBack"/>
            <w:bookmarkEnd w:id="0"/>
            <w:r>
              <w:rPr>
                <w:b/>
                <w:i/>
                <w:noProof/>
                <w:sz w:val="28"/>
                <w:szCs w:val="28"/>
              </w:rPr>
              <w:drawing>
                <wp:inline distT="0" distB="0" distL="0" distR="0" wp14:anchorId="0E10C53E" wp14:editId="346B813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E0ABCB5" w14:textId="551BCBA6" w:rsidR="00426518" w:rsidRDefault="00426518" w:rsidP="00B57131">
            <w:pPr>
              <w:rPr>
                <w:b/>
                <w:bCs/>
              </w:rPr>
            </w:pPr>
          </w:p>
          <w:p w14:paraId="2CF654CE" w14:textId="77777777" w:rsidR="007A44F8" w:rsidRPr="008A3940" w:rsidRDefault="007A44F8" w:rsidP="00BB4E29">
            <w:pPr>
              <w:rPr>
                <w:b/>
                <w:bCs/>
                <w:sz w:val="22"/>
                <w:szCs w:val="22"/>
              </w:rPr>
            </w:pPr>
            <w:r w:rsidRPr="008A3940">
              <w:rPr>
                <w:b/>
                <w:bCs/>
                <w:sz w:val="22"/>
                <w:szCs w:val="22"/>
              </w:rPr>
              <w:t xml:space="preserve">Media Contact: </w:t>
            </w:r>
          </w:p>
          <w:p w14:paraId="01202FCB" w14:textId="68548FA8" w:rsidR="007A44F8" w:rsidRPr="008A3940" w:rsidRDefault="006A4DED" w:rsidP="00BB4E29">
            <w:pPr>
              <w:rPr>
                <w:bCs/>
                <w:sz w:val="22"/>
                <w:szCs w:val="22"/>
              </w:rPr>
            </w:pPr>
            <w:r>
              <w:rPr>
                <w:bCs/>
                <w:sz w:val="22"/>
                <w:szCs w:val="22"/>
              </w:rPr>
              <w:t>Cecilia Sulhoff</w:t>
            </w:r>
            <w:r w:rsidR="004B5906">
              <w:rPr>
                <w:bCs/>
                <w:sz w:val="22"/>
                <w:szCs w:val="22"/>
              </w:rPr>
              <w:t xml:space="preserve"> </w:t>
            </w:r>
            <w:r>
              <w:rPr>
                <w:bCs/>
                <w:sz w:val="22"/>
                <w:szCs w:val="22"/>
              </w:rPr>
              <w:t>(202) 418-0587</w:t>
            </w:r>
          </w:p>
          <w:p w14:paraId="4AD620C3" w14:textId="33AB85EE" w:rsidR="00FF232D" w:rsidRDefault="00746A1C" w:rsidP="00BB4E29">
            <w:pPr>
              <w:rPr>
                <w:bCs/>
                <w:sz w:val="22"/>
                <w:szCs w:val="22"/>
              </w:rPr>
            </w:pPr>
            <w:hyperlink r:id="rId9" w:history="1">
              <w:r w:rsidR="006A4DED" w:rsidRPr="00A53E3E">
                <w:rPr>
                  <w:rStyle w:val="Hyperlink"/>
                  <w:bCs/>
                  <w:sz w:val="22"/>
                  <w:szCs w:val="22"/>
                </w:rPr>
                <w:t>cecilia.sulhoff@fcc.gov</w:t>
              </w:r>
            </w:hyperlink>
          </w:p>
          <w:p w14:paraId="13B3C484" w14:textId="77777777" w:rsidR="007A44F8" w:rsidRPr="008A3940" w:rsidRDefault="007A44F8" w:rsidP="00BB4E29">
            <w:pPr>
              <w:rPr>
                <w:bCs/>
                <w:sz w:val="22"/>
                <w:szCs w:val="22"/>
              </w:rPr>
            </w:pPr>
          </w:p>
          <w:p w14:paraId="7286BB91" w14:textId="77777777" w:rsidR="00FA0A2B" w:rsidRDefault="003B6B63" w:rsidP="00BB4E29">
            <w:pPr>
              <w:rPr>
                <w:b/>
                <w:sz w:val="22"/>
                <w:szCs w:val="22"/>
              </w:rPr>
            </w:pPr>
            <w:r>
              <w:rPr>
                <w:b/>
                <w:sz w:val="22"/>
                <w:szCs w:val="22"/>
              </w:rPr>
              <w:t xml:space="preserve">For Immediate Release </w:t>
            </w:r>
          </w:p>
          <w:p w14:paraId="35D68BAF" w14:textId="77777777" w:rsidR="00FA0A2B" w:rsidRPr="00107877" w:rsidRDefault="00FA0A2B" w:rsidP="003B6B63">
            <w:pPr>
              <w:jc w:val="center"/>
              <w:rPr>
                <w:b/>
                <w:sz w:val="22"/>
                <w:szCs w:val="22"/>
              </w:rPr>
            </w:pPr>
          </w:p>
          <w:p w14:paraId="27AB3570" w14:textId="210E095C" w:rsidR="00107877" w:rsidRDefault="008E1213" w:rsidP="00107877">
            <w:pPr>
              <w:jc w:val="center"/>
              <w:rPr>
                <w:b/>
                <w:sz w:val="22"/>
                <w:szCs w:val="22"/>
              </w:rPr>
            </w:pPr>
            <w:r w:rsidRPr="00107877">
              <w:rPr>
                <w:b/>
                <w:sz w:val="22"/>
                <w:szCs w:val="22"/>
              </w:rPr>
              <w:t xml:space="preserve">FCC PUTS FINAL RULES IN PLACE FOR NEW </w:t>
            </w:r>
          </w:p>
          <w:p w14:paraId="21D15999" w14:textId="6E2DC242" w:rsidR="003B05D8" w:rsidRDefault="008E1213" w:rsidP="00107877">
            <w:pPr>
              <w:jc w:val="center"/>
              <w:rPr>
                <w:b/>
                <w:sz w:val="22"/>
                <w:szCs w:val="22"/>
              </w:rPr>
            </w:pPr>
            <w:r w:rsidRPr="00107877">
              <w:rPr>
                <w:b/>
                <w:sz w:val="22"/>
                <w:szCs w:val="22"/>
              </w:rPr>
              <w:t>CITIZENS BROADBAND RADIO SERVICE</w:t>
            </w:r>
          </w:p>
          <w:p w14:paraId="5B703590" w14:textId="53EEBD2C" w:rsidR="00107877" w:rsidRPr="00FA332B" w:rsidRDefault="00AC1F0F" w:rsidP="00107877">
            <w:pPr>
              <w:jc w:val="center"/>
              <w:rPr>
                <w:b/>
                <w:i/>
                <w:sz w:val="22"/>
                <w:szCs w:val="22"/>
              </w:rPr>
            </w:pPr>
            <w:r>
              <w:rPr>
                <w:b/>
                <w:i/>
                <w:sz w:val="22"/>
                <w:szCs w:val="22"/>
              </w:rPr>
              <w:t>Final Rules Will Enable Innovative Spectrum Sharing Capabilities in the 3.5 GHz Band</w:t>
            </w:r>
          </w:p>
          <w:p w14:paraId="77671347" w14:textId="77777777" w:rsidR="006A4DED" w:rsidRPr="00C21076" w:rsidRDefault="006A4DED" w:rsidP="006A4DED">
            <w:pPr>
              <w:jc w:val="center"/>
              <w:rPr>
                <w:b/>
                <w:sz w:val="22"/>
                <w:szCs w:val="22"/>
              </w:rPr>
            </w:pPr>
          </w:p>
          <w:p w14:paraId="08F82B06" w14:textId="659E1064" w:rsidR="00C90150" w:rsidRDefault="002B65D6" w:rsidP="0085598C">
            <w:pPr>
              <w:rPr>
                <w:sz w:val="22"/>
                <w:szCs w:val="22"/>
              </w:rPr>
            </w:pPr>
            <w:r w:rsidRPr="00812005">
              <w:rPr>
                <w:bCs/>
                <w:sz w:val="22"/>
                <w:szCs w:val="22"/>
              </w:rPr>
              <w:t>WASHINGTON</w:t>
            </w:r>
            <w:r w:rsidRPr="00812005">
              <w:rPr>
                <w:b/>
                <w:bCs/>
                <w:sz w:val="22"/>
                <w:szCs w:val="22"/>
              </w:rPr>
              <w:t>,</w:t>
            </w:r>
            <w:r w:rsidR="00FA5EF8" w:rsidRPr="00812005">
              <w:rPr>
                <w:sz w:val="22"/>
                <w:szCs w:val="22"/>
              </w:rPr>
              <w:t xml:space="preserve"> </w:t>
            </w:r>
            <w:r w:rsidR="00F65C35" w:rsidRPr="00812005">
              <w:rPr>
                <w:sz w:val="22"/>
                <w:szCs w:val="22"/>
              </w:rPr>
              <w:t xml:space="preserve">April </w:t>
            </w:r>
            <w:r w:rsidR="00C90150">
              <w:rPr>
                <w:sz w:val="22"/>
                <w:szCs w:val="22"/>
              </w:rPr>
              <w:t>28</w:t>
            </w:r>
            <w:r w:rsidR="00C90150" w:rsidRPr="00812005">
              <w:rPr>
                <w:sz w:val="22"/>
                <w:szCs w:val="22"/>
              </w:rPr>
              <w:t xml:space="preserve">, </w:t>
            </w:r>
            <w:r w:rsidR="00F65C35" w:rsidRPr="00812005">
              <w:rPr>
                <w:sz w:val="22"/>
                <w:szCs w:val="22"/>
              </w:rPr>
              <w:t>2016</w:t>
            </w:r>
            <w:r w:rsidR="00FA5EF8" w:rsidRPr="00812005">
              <w:rPr>
                <w:sz w:val="22"/>
                <w:szCs w:val="22"/>
              </w:rPr>
              <w:t xml:space="preserve"> </w:t>
            </w:r>
            <w:r w:rsidR="00065B02" w:rsidRPr="00812005">
              <w:rPr>
                <w:sz w:val="22"/>
                <w:szCs w:val="22"/>
              </w:rPr>
              <w:t>–</w:t>
            </w:r>
            <w:r w:rsidR="00571AE5" w:rsidRPr="00812005">
              <w:rPr>
                <w:sz w:val="22"/>
                <w:szCs w:val="22"/>
              </w:rPr>
              <w:t xml:space="preserve"> The Federal Communications Commission today </w:t>
            </w:r>
            <w:r w:rsidR="009766E8">
              <w:rPr>
                <w:sz w:val="22"/>
                <w:szCs w:val="22"/>
              </w:rPr>
              <w:t xml:space="preserve">reaffirmed its decision to create </w:t>
            </w:r>
            <w:hyperlink r:id="rId10" w:history="1">
              <w:r w:rsidR="009766E8" w:rsidRPr="00C90150">
                <w:rPr>
                  <w:rStyle w:val="Hyperlink"/>
                  <w:sz w:val="22"/>
                  <w:szCs w:val="22"/>
                </w:rPr>
                <w:t>the innovative Citizens Broadband Radio Service</w:t>
              </w:r>
            </w:hyperlink>
            <w:r w:rsidR="009766E8">
              <w:rPr>
                <w:sz w:val="22"/>
                <w:szCs w:val="22"/>
              </w:rPr>
              <w:t xml:space="preserve"> in the </w:t>
            </w:r>
            <w:r w:rsidR="001A7CFC">
              <w:rPr>
                <w:sz w:val="22"/>
                <w:szCs w:val="22"/>
              </w:rPr>
              <w:t>3550-3700 MHz (</w:t>
            </w:r>
            <w:r w:rsidR="009766E8">
              <w:rPr>
                <w:sz w:val="22"/>
                <w:szCs w:val="22"/>
              </w:rPr>
              <w:t>3.5 GHz</w:t>
            </w:r>
            <w:r w:rsidR="001A7CFC">
              <w:rPr>
                <w:sz w:val="22"/>
                <w:szCs w:val="22"/>
              </w:rPr>
              <w:t>)</w:t>
            </w:r>
            <w:r w:rsidR="009766E8">
              <w:rPr>
                <w:sz w:val="22"/>
                <w:szCs w:val="22"/>
              </w:rPr>
              <w:t xml:space="preserve"> band, and took additional steps to finalize the rules</w:t>
            </w:r>
            <w:r w:rsidR="00571AE5" w:rsidRPr="00812005">
              <w:rPr>
                <w:sz w:val="22"/>
                <w:szCs w:val="22"/>
              </w:rPr>
              <w:t xml:space="preserve">.  </w:t>
            </w:r>
            <w:r w:rsidR="00F65C35" w:rsidRPr="00812005">
              <w:rPr>
                <w:sz w:val="22"/>
                <w:szCs w:val="22"/>
              </w:rPr>
              <w:t xml:space="preserve">The </w:t>
            </w:r>
            <w:r w:rsidR="009766E8">
              <w:rPr>
                <w:sz w:val="22"/>
                <w:szCs w:val="22"/>
              </w:rPr>
              <w:t xml:space="preserve">Commission established the </w:t>
            </w:r>
            <w:r w:rsidR="00F65C35" w:rsidRPr="00812005">
              <w:rPr>
                <w:sz w:val="22"/>
                <w:szCs w:val="22"/>
              </w:rPr>
              <w:t>3.5 GHz band</w:t>
            </w:r>
            <w:r w:rsidR="004C5D31" w:rsidRPr="00812005">
              <w:rPr>
                <w:sz w:val="22"/>
                <w:szCs w:val="22"/>
              </w:rPr>
              <w:t xml:space="preserve"> </w:t>
            </w:r>
            <w:r w:rsidR="009766E8">
              <w:rPr>
                <w:sz w:val="22"/>
                <w:szCs w:val="22"/>
              </w:rPr>
              <w:t>as</w:t>
            </w:r>
            <w:r w:rsidR="009766E8" w:rsidRPr="00812005">
              <w:rPr>
                <w:sz w:val="22"/>
                <w:szCs w:val="22"/>
              </w:rPr>
              <w:t xml:space="preserve"> </w:t>
            </w:r>
            <w:r w:rsidR="004C5D31" w:rsidRPr="00812005">
              <w:rPr>
                <w:sz w:val="22"/>
                <w:szCs w:val="22"/>
              </w:rPr>
              <w:t xml:space="preserve">an innovation band, where </w:t>
            </w:r>
            <w:r w:rsidR="009766E8">
              <w:rPr>
                <w:sz w:val="22"/>
                <w:szCs w:val="22"/>
              </w:rPr>
              <w:t>it</w:t>
            </w:r>
            <w:r w:rsidR="00812005">
              <w:rPr>
                <w:sz w:val="22"/>
                <w:szCs w:val="22"/>
              </w:rPr>
              <w:t xml:space="preserve"> is </w:t>
            </w:r>
            <w:r w:rsidR="00F65C35" w:rsidRPr="00812005">
              <w:rPr>
                <w:sz w:val="22"/>
                <w:szCs w:val="22"/>
              </w:rPr>
              <w:t>break</w:t>
            </w:r>
            <w:r w:rsidR="00812005">
              <w:rPr>
                <w:sz w:val="22"/>
                <w:szCs w:val="22"/>
              </w:rPr>
              <w:t>ing</w:t>
            </w:r>
            <w:r w:rsidR="00F65C35" w:rsidRPr="00812005">
              <w:rPr>
                <w:sz w:val="22"/>
                <w:szCs w:val="22"/>
              </w:rPr>
              <w:t xml:space="preserve"> down age</w:t>
            </w:r>
            <w:r w:rsidR="00601EE2">
              <w:rPr>
                <w:sz w:val="22"/>
                <w:szCs w:val="22"/>
              </w:rPr>
              <w:t>-</w:t>
            </w:r>
            <w:r w:rsidR="00F65C35" w:rsidRPr="00812005">
              <w:rPr>
                <w:sz w:val="22"/>
                <w:szCs w:val="22"/>
              </w:rPr>
              <w:t>old regulator</w:t>
            </w:r>
            <w:r w:rsidR="00C650F9" w:rsidRPr="00812005">
              <w:rPr>
                <w:sz w:val="22"/>
                <w:szCs w:val="22"/>
              </w:rPr>
              <w:t>y b</w:t>
            </w:r>
            <w:r w:rsidR="00812005">
              <w:rPr>
                <w:sz w:val="22"/>
                <w:szCs w:val="22"/>
              </w:rPr>
              <w:t>arriers to</w:t>
            </w:r>
            <w:r w:rsidR="004C5D31" w:rsidRPr="00812005">
              <w:rPr>
                <w:sz w:val="22"/>
                <w:szCs w:val="22"/>
              </w:rPr>
              <w:t xml:space="preserve"> create a space for a wide variety of users to</w:t>
            </w:r>
            <w:r w:rsidR="00F65C35" w:rsidRPr="00812005">
              <w:rPr>
                <w:sz w:val="22"/>
                <w:szCs w:val="22"/>
              </w:rPr>
              <w:t xml:space="preserve"> coexist</w:t>
            </w:r>
            <w:r w:rsidR="00C90150">
              <w:rPr>
                <w:sz w:val="22"/>
                <w:szCs w:val="22"/>
              </w:rPr>
              <w:t xml:space="preserve"> by sharing spectrum.</w:t>
            </w:r>
            <w:r w:rsidR="00C90150" w:rsidRPr="00812005">
              <w:rPr>
                <w:sz w:val="22"/>
                <w:szCs w:val="22"/>
              </w:rPr>
              <w:t xml:space="preserve"> The item adopted today generally reaffirms the flexible and innovative regulatory framework the Commission adopted in the band in April 2015.  </w:t>
            </w:r>
            <w:r w:rsidR="00C90150">
              <w:rPr>
                <w:sz w:val="22"/>
                <w:szCs w:val="22"/>
              </w:rPr>
              <w:t xml:space="preserve">Finalizing the rules sets the stage for the next steps, including certifying Spectrum Access System Administrators </w:t>
            </w:r>
            <w:r w:rsidR="009C6BCB">
              <w:rPr>
                <w:sz w:val="22"/>
                <w:szCs w:val="22"/>
              </w:rPr>
              <w:t xml:space="preserve">and Environmental Sensing Capability operators </w:t>
            </w:r>
            <w:r w:rsidR="00C90150">
              <w:rPr>
                <w:sz w:val="22"/>
                <w:szCs w:val="22"/>
              </w:rPr>
              <w:t>and holding a future auction, to making providing service in this band a reality</w:t>
            </w:r>
            <w:r w:rsidR="00C90150" w:rsidRPr="00812005">
              <w:rPr>
                <w:sz w:val="22"/>
                <w:szCs w:val="22"/>
              </w:rPr>
              <w:t xml:space="preserve">.   </w:t>
            </w:r>
          </w:p>
          <w:p w14:paraId="4D5C6012" w14:textId="77777777" w:rsidR="00C90150" w:rsidRDefault="00C90150" w:rsidP="0085598C">
            <w:pPr>
              <w:rPr>
                <w:sz w:val="22"/>
                <w:szCs w:val="22"/>
              </w:rPr>
            </w:pPr>
          </w:p>
          <w:p w14:paraId="16096CF1" w14:textId="33BC1FF3" w:rsidR="00C90150" w:rsidRDefault="00C90150" w:rsidP="0085598C">
            <w:pPr>
              <w:rPr>
                <w:sz w:val="22"/>
                <w:szCs w:val="22"/>
              </w:rPr>
            </w:pPr>
            <w:r w:rsidRPr="00C90150">
              <w:rPr>
                <w:sz w:val="22"/>
                <w:szCs w:val="22"/>
              </w:rPr>
              <w:t xml:space="preserve">As a result of technological innovations and </w:t>
            </w:r>
            <w:r w:rsidR="009C6BCB">
              <w:rPr>
                <w:sz w:val="22"/>
                <w:szCs w:val="22"/>
              </w:rPr>
              <w:t xml:space="preserve">a </w:t>
            </w:r>
            <w:r w:rsidRPr="00C90150">
              <w:rPr>
                <w:sz w:val="22"/>
                <w:szCs w:val="22"/>
              </w:rPr>
              <w:t xml:space="preserve">focus on spectrum sharing, </w:t>
            </w:r>
            <w:r>
              <w:rPr>
                <w:sz w:val="22"/>
                <w:szCs w:val="22"/>
              </w:rPr>
              <w:t xml:space="preserve">the Commission </w:t>
            </w:r>
            <w:r w:rsidR="000C5360">
              <w:rPr>
                <w:sz w:val="22"/>
                <w:szCs w:val="22"/>
              </w:rPr>
              <w:t>was able to open up 100 megahertz of</w:t>
            </w:r>
            <w:r w:rsidRPr="00C90150">
              <w:rPr>
                <w:sz w:val="22"/>
                <w:szCs w:val="22"/>
              </w:rPr>
              <w:t xml:space="preserve"> </w:t>
            </w:r>
            <w:r w:rsidR="000C5360">
              <w:rPr>
                <w:sz w:val="22"/>
                <w:szCs w:val="22"/>
              </w:rPr>
              <w:t xml:space="preserve">spectrum </w:t>
            </w:r>
            <w:r w:rsidRPr="00C90150">
              <w:rPr>
                <w:sz w:val="22"/>
                <w:szCs w:val="22"/>
              </w:rPr>
              <w:t>previously unavailable for commercial uses</w:t>
            </w:r>
            <w:r w:rsidR="000C5360">
              <w:rPr>
                <w:sz w:val="22"/>
                <w:szCs w:val="22"/>
              </w:rPr>
              <w:t>, which it added to existing commercial spectrum to make a 150 megahertz contiguous band</w:t>
            </w:r>
            <w:r w:rsidRPr="00C90150">
              <w:rPr>
                <w:sz w:val="22"/>
                <w:szCs w:val="22"/>
              </w:rPr>
              <w:t xml:space="preserve">. </w:t>
            </w:r>
            <w:r>
              <w:rPr>
                <w:sz w:val="22"/>
                <w:szCs w:val="22"/>
              </w:rPr>
              <w:t xml:space="preserve">Today’s </w:t>
            </w:r>
            <w:r w:rsidR="000C5360">
              <w:rPr>
                <w:sz w:val="22"/>
                <w:szCs w:val="22"/>
              </w:rPr>
              <w:t>rules finalize the framework for the</w:t>
            </w:r>
            <w:r>
              <w:rPr>
                <w:sz w:val="22"/>
                <w:szCs w:val="22"/>
              </w:rPr>
              <w:t xml:space="preserve"> Citizens Broadband Radio Service</w:t>
            </w:r>
            <w:r w:rsidR="000C5360">
              <w:rPr>
                <w:sz w:val="22"/>
                <w:szCs w:val="22"/>
              </w:rPr>
              <w:t>,</w:t>
            </w:r>
            <w:r w:rsidRPr="00C90150">
              <w:rPr>
                <w:sz w:val="22"/>
                <w:szCs w:val="22"/>
              </w:rPr>
              <w:t xml:space="preserve"> provid</w:t>
            </w:r>
            <w:r w:rsidR="000C5360">
              <w:rPr>
                <w:sz w:val="22"/>
                <w:szCs w:val="22"/>
              </w:rPr>
              <w:t>ing</w:t>
            </w:r>
            <w:r w:rsidRPr="00C90150">
              <w:rPr>
                <w:sz w:val="22"/>
                <w:szCs w:val="22"/>
              </w:rPr>
              <w:t xml:space="preserve"> an opportunity to </w:t>
            </w:r>
            <w:r w:rsidR="000C5360">
              <w:rPr>
                <w:sz w:val="22"/>
                <w:szCs w:val="22"/>
              </w:rPr>
              <w:t>leverage these</w:t>
            </w:r>
            <w:r w:rsidRPr="00C90150">
              <w:rPr>
                <w:sz w:val="22"/>
                <w:szCs w:val="22"/>
              </w:rPr>
              <w:t xml:space="preserve"> new innovations in spectrum licensing and access schemes to meet the needs of a </w:t>
            </w:r>
            <w:r w:rsidR="001A7CFC">
              <w:rPr>
                <w:sz w:val="22"/>
                <w:szCs w:val="22"/>
              </w:rPr>
              <w:t>variety</w:t>
            </w:r>
            <w:r w:rsidRPr="00C90150">
              <w:rPr>
                <w:sz w:val="22"/>
                <w:szCs w:val="22"/>
              </w:rPr>
              <w:t xml:space="preserve"> of users, simultaneously.</w:t>
            </w:r>
          </w:p>
          <w:p w14:paraId="120B581B" w14:textId="7432B02C" w:rsidR="00571AE5" w:rsidRPr="00812005" w:rsidRDefault="00571AE5" w:rsidP="00316B9E">
            <w:pPr>
              <w:rPr>
                <w:sz w:val="22"/>
                <w:szCs w:val="22"/>
              </w:rPr>
            </w:pPr>
          </w:p>
          <w:p w14:paraId="46C6019B" w14:textId="17837239" w:rsidR="00412B7D" w:rsidRPr="00812005" w:rsidRDefault="009766E8" w:rsidP="00412B7D">
            <w:pPr>
              <w:rPr>
                <w:sz w:val="22"/>
                <w:szCs w:val="22"/>
              </w:rPr>
            </w:pPr>
            <w:r>
              <w:rPr>
                <w:sz w:val="22"/>
                <w:szCs w:val="22"/>
              </w:rPr>
              <w:t>Last April the Commission adopted the</w:t>
            </w:r>
            <w:r w:rsidR="006A1BC6" w:rsidRPr="00812005">
              <w:rPr>
                <w:sz w:val="22"/>
                <w:szCs w:val="22"/>
              </w:rPr>
              <w:t xml:space="preserve"> </w:t>
            </w:r>
            <w:r w:rsidR="00312CDC">
              <w:rPr>
                <w:sz w:val="22"/>
                <w:szCs w:val="22"/>
              </w:rPr>
              <w:t>innovative,</w:t>
            </w:r>
            <w:r w:rsidR="006A1BC6" w:rsidRPr="00812005">
              <w:rPr>
                <w:sz w:val="22"/>
                <w:szCs w:val="22"/>
              </w:rPr>
              <w:t xml:space="preserve"> flexible </w:t>
            </w:r>
            <w:r w:rsidR="003E3EFD" w:rsidRPr="00812005">
              <w:rPr>
                <w:sz w:val="22"/>
                <w:szCs w:val="22"/>
              </w:rPr>
              <w:t>three-tiered access</w:t>
            </w:r>
            <w:r w:rsidR="00812005">
              <w:rPr>
                <w:sz w:val="22"/>
                <w:szCs w:val="22"/>
              </w:rPr>
              <w:t xml:space="preserve"> framework</w:t>
            </w:r>
            <w:r w:rsidR="00312CDC">
              <w:rPr>
                <w:sz w:val="22"/>
                <w:szCs w:val="22"/>
              </w:rPr>
              <w:t xml:space="preserve"> </w:t>
            </w:r>
            <w:r>
              <w:rPr>
                <w:sz w:val="22"/>
                <w:szCs w:val="22"/>
              </w:rPr>
              <w:t>for the 3.5 GHz band</w:t>
            </w:r>
            <w:r w:rsidR="00812005">
              <w:rPr>
                <w:sz w:val="22"/>
                <w:szCs w:val="22"/>
              </w:rPr>
              <w:t xml:space="preserve">, which </w:t>
            </w:r>
            <w:r w:rsidR="00626D56" w:rsidRPr="00812005">
              <w:rPr>
                <w:sz w:val="22"/>
                <w:szCs w:val="22"/>
              </w:rPr>
              <w:t>include</w:t>
            </w:r>
            <w:r w:rsidR="0014035C">
              <w:rPr>
                <w:sz w:val="22"/>
                <w:szCs w:val="22"/>
              </w:rPr>
              <w:t>s</w:t>
            </w:r>
            <w:r w:rsidR="00626D56" w:rsidRPr="00812005">
              <w:rPr>
                <w:sz w:val="22"/>
                <w:szCs w:val="22"/>
              </w:rPr>
              <w:t xml:space="preserve"> a</w:t>
            </w:r>
            <w:r>
              <w:rPr>
                <w:sz w:val="22"/>
                <w:szCs w:val="22"/>
              </w:rPr>
              <w:t>n Incumbent Access tier</w:t>
            </w:r>
            <w:r w:rsidR="00626D56" w:rsidRPr="00812005">
              <w:rPr>
                <w:sz w:val="22"/>
                <w:szCs w:val="22"/>
              </w:rPr>
              <w:t xml:space="preserve">, </w:t>
            </w:r>
            <w:r>
              <w:rPr>
                <w:sz w:val="22"/>
                <w:szCs w:val="22"/>
              </w:rPr>
              <w:t>Priority Access tier, and General Authorized Access tier</w:t>
            </w:r>
            <w:r w:rsidR="00626D56" w:rsidRPr="00812005">
              <w:rPr>
                <w:sz w:val="22"/>
                <w:szCs w:val="22"/>
              </w:rPr>
              <w:t>.</w:t>
            </w:r>
            <w:r w:rsidR="00412B7D" w:rsidRPr="00812005">
              <w:rPr>
                <w:sz w:val="22"/>
                <w:szCs w:val="22"/>
              </w:rPr>
              <w:t xml:space="preserve">  </w:t>
            </w:r>
            <w:r>
              <w:rPr>
                <w:sz w:val="22"/>
                <w:szCs w:val="22"/>
              </w:rPr>
              <w:t xml:space="preserve">These three tiers are coordinated through a dynamic Spectrum Access System.  </w:t>
            </w:r>
            <w:r w:rsidR="00412B7D" w:rsidRPr="00812005">
              <w:rPr>
                <w:sz w:val="22"/>
                <w:szCs w:val="22"/>
              </w:rPr>
              <w:t>In preserving</w:t>
            </w:r>
            <w:r w:rsidR="00312CDC">
              <w:rPr>
                <w:sz w:val="22"/>
                <w:szCs w:val="22"/>
              </w:rPr>
              <w:t xml:space="preserve"> this</w:t>
            </w:r>
            <w:r w:rsidR="002F66B1" w:rsidRPr="00812005">
              <w:rPr>
                <w:sz w:val="22"/>
                <w:szCs w:val="22"/>
              </w:rPr>
              <w:t xml:space="preserve"> </w:t>
            </w:r>
            <w:r w:rsidR="00412B7D" w:rsidRPr="00812005">
              <w:rPr>
                <w:sz w:val="22"/>
                <w:szCs w:val="22"/>
              </w:rPr>
              <w:t>framework</w:t>
            </w:r>
            <w:r w:rsidR="00F022B9" w:rsidRPr="00812005">
              <w:rPr>
                <w:sz w:val="22"/>
                <w:szCs w:val="22"/>
              </w:rPr>
              <w:t xml:space="preserve">, the </w:t>
            </w:r>
            <w:r>
              <w:rPr>
                <w:sz w:val="22"/>
                <w:szCs w:val="22"/>
              </w:rPr>
              <w:t>Order</w:t>
            </w:r>
            <w:r w:rsidRPr="00812005">
              <w:rPr>
                <w:sz w:val="22"/>
                <w:szCs w:val="22"/>
              </w:rPr>
              <w:t xml:space="preserve"> </w:t>
            </w:r>
            <w:r w:rsidR="00F022B9" w:rsidRPr="00812005">
              <w:rPr>
                <w:sz w:val="22"/>
                <w:szCs w:val="22"/>
              </w:rPr>
              <w:t>reaffirms that the Commission</w:t>
            </w:r>
            <w:r w:rsidR="00636A50">
              <w:rPr>
                <w:sz w:val="22"/>
                <w:szCs w:val="22"/>
              </w:rPr>
              <w:t>’s commitment to this access structure, while</w:t>
            </w:r>
            <w:r w:rsidR="00412B7D" w:rsidRPr="00812005">
              <w:rPr>
                <w:sz w:val="22"/>
                <w:szCs w:val="22"/>
              </w:rPr>
              <w:t xml:space="preserve"> refin</w:t>
            </w:r>
            <w:r w:rsidR="00636A50">
              <w:rPr>
                <w:sz w:val="22"/>
                <w:szCs w:val="22"/>
              </w:rPr>
              <w:t>ing</w:t>
            </w:r>
            <w:r w:rsidR="00412B7D" w:rsidRPr="00812005">
              <w:rPr>
                <w:sz w:val="22"/>
                <w:szCs w:val="22"/>
              </w:rPr>
              <w:t xml:space="preserve"> some of</w:t>
            </w:r>
            <w:r w:rsidR="004C3C9A" w:rsidRPr="00812005">
              <w:rPr>
                <w:sz w:val="22"/>
                <w:szCs w:val="22"/>
              </w:rPr>
              <w:t xml:space="preserve"> the</w:t>
            </w:r>
            <w:r w:rsidR="00412B7D" w:rsidRPr="00812005">
              <w:rPr>
                <w:sz w:val="22"/>
                <w:szCs w:val="22"/>
              </w:rPr>
              <w:t xml:space="preserve"> technical rules</w:t>
            </w:r>
            <w:r w:rsidR="00636A50">
              <w:rPr>
                <w:sz w:val="22"/>
                <w:szCs w:val="22"/>
              </w:rPr>
              <w:t xml:space="preserve"> governing the service</w:t>
            </w:r>
            <w:r w:rsidR="00412B7D" w:rsidRPr="00812005">
              <w:rPr>
                <w:sz w:val="22"/>
                <w:szCs w:val="22"/>
              </w:rPr>
              <w:t xml:space="preserve">. </w:t>
            </w:r>
          </w:p>
          <w:p w14:paraId="329313F1" w14:textId="77777777" w:rsidR="006A1BC6" w:rsidRPr="00812005" w:rsidRDefault="006A1BC6" w:rsidP="00412B7D">
            <w:pPr>
              <w:rPr>
                <w:sz w:val="22"/>
                <w:szCs w:val="22"/>
              </w:rPr>
            </w:pPr>
          </w:p>
          <w:p w14:paraId="42370DDE" w14:textId="0A6FDC6F" w:rsidR="00124529" w:rsidRDefault="00107877" w:rsidP="00316B9E">
            <w:pPr>
              <w:rPr>
                <w:sz w:val="22"/>
                <w:szCs w:val="22"/>
              </w:rPr>
            </w:pPr>
            <w:r>
              <w:rPr>
                <w:sz w:val="22"/>
                <w:szCs w:val="22"/>
              </w:rPr>
              <w:t>Today’s</w:t>
            </w:r>
            <w:r w:rsidRPr="00812005">
              <w:rPr>
                <w:sz w:val="22"/>
                <w:szCs w:val="22"/>
              </w:rPr>
              <w:t xml:space="preserve"> </w:t>
            </w:r>
            <w:r w:rsidR="00636A50">
              <w:rPr>
                <w:sz w:val="22"/>
                <w:szCs w:val="22"/>
              </w:rPr>
              <w:t>Order also</w:t>
            </w:r>
            <w:r w:rsidR="00636A50" w:rsidRPr="00812005">
              <w:rPr>
                <w:sz w:val="22"/>
                <w:szCs w:val="22"/>
              </w:rPr>
              <w:t xml:space="preserve"> </w:t>
            </w:r>
            <w:r w:rsidR="000E197C" w:rsidRPr="00812005">
              <w:rPr>
                <w:sz w:val="22"/>
                <w:szCs w:val="22"/>
              </w:rPr>
              <w:t>resolve</w:t>
            </w:r>
            <w:r w:rsidR="00412B7D" w:rsidRPr="00812005">
              <w:rPr>
                <w:sz w:val="22"/>
                <w:szCs w:val="22"/>
              </w:rPr>
              <w:t>s</w:t>
            </w:r>
            <w:r w:rsidR="000E197C" w:rsidRPr="00812005">
              <w:rPr>
                <w:sz w:val="22"/>
                <w:szCs w:val="22"/>
              </w:rPr>
              <w:t xml:space="preserve"> the </w:t>
            </w:r>
            <w:r w:rsidR="00636A50">
              <w:rPr>
                <w:sz w:val="22"/>
                <w:szCs w:val="22"/>
              </w:rPr>
              <w:t xml:space="preserve">three outstanding issues raised in the </w:t>
            </w:r>
            <w:hyperlink r:id="rId11" w:history="1">
              <w:r w:rsidR="00636A50" w:rsidRPr="00C90150">
                <w:rPr>
                  <w:rStyle w:val="Hyperlink"/>
                  <w:sz w:val="22"/>
                  <w:szCs w:val="22"/>
                </w:rPr>
                <w:t>Second FNPRM</w:t>
              </w:r>
            </w:hyperlink>
            <w:r w:rsidR="003E3EFD" w:rsidRPr="00812005">
              <w:rPr>
                <w:sz w:val="22"/>
                <w:szCs w:val="22"/>
              </w:rPr>
              <w:t>.</w:t>
            </w:r>
            <w:r w:rsidR="00673794" w:rsidRPr="00812005">
              <w:rPr>
                <w:sz w:val="22"/>
                <w:szCs w:val="22"/>
              </w:rPr>
              <w:t xml:space="preserve">  </w:t>
            </w:r>
            <w:r w:rsidR="00FF52D3" w:rsidRPr="00812005">
              <w:rPr>
                <w:sz w:val="22"/>
                <w:szCs w:val="22"/>
              </w:rPr>
              <w:t>First,</w:t>
            </w:r>
            <w:r w:rsidR="00316B9E" w:rsidRPr="00812005">
              <w:rPr>
                <w:sz w:val="22"/>
                <w:szCs w:val="22"/>
              </w:rPr>
              <w:t xml:space="preserve"> it</w:t>
            </w:r>
            <w:r w:rsidR="007B6CF9" w:rsidRPr="00812005">
              <w:rPr>
                <w:sz w:val="22"/>
                <w:szCs w:val="22"/>
              </w:rPr>
              <w:t xml:space="preserve"> </w:t>
            </w:r>
            <w:r w:rsidR="00636A50">
              <w:rPr>
                <w:sz w:val="22"/>
                <w:szCs w:val="22"/>
              </w:rPr>
              <w:t>maximizes efficien</w:t>
            </w:r>
            <w:r w:rsidR="00DA1068">
              <w:rPr>
                <w:sz w:val="22"/>
                <w:szCs w:val="22"/>
              </w:rPr>
              <w:t>t use</w:t>
            </w:r>
            <w:r w:rsidR="00636A50">
              <w:rPr>
                <w:sz w:val="22"/>
                <w:szCs w:val="22"/>
              </w:rPr>
              <w:t xml:space="preserve"> of the spectrum by adopting an engineering-based approach for determining when a Priority Access License area is in use, which will facilitate certainty for </w:t>
            </w:r>
            <w:r w:rsidR="001A7CFC">
              <w:rPr>
                <w:sz w:val="22"/>
                <w:szCs w:val="22"/>
              </w:rPr>
              <w:t>Priority Access L</w:t>
            </w:r>
            <w:r w:rsidR="00636A50">
              <w:rPr>
                <w:sz w:val="22"/>
                <w:szCs w:val="22"/>
              </w:rPr>
              <w:t>icensees and opportunistic access to unused spectrum for G</w:t>
            </w:r>
            <w:r w:rsidR="001506B3">
              <w:rPr>
                <w:sz w:val="22"/>
                <w:szCs w:val="22"/>
              </w:rPr>
              <w:t>eneral Authorized Access</w:t>
            </w:r>
            <w:r w:rsidR="00636A50">
              <w:rPr>
                <w:sz w:val="22"/>
                <w:szCs w:val="22"/>
              </w:rPr>
              <w:t xml:space="preserve"> users.</w:t>
            </w:r>
            <w:r w:rsidR="00812005">
              <w:rPr>
                <w:sz w:val="22"/>
                <w:szCs w:val="22"/>
              </w:rPr>
              <w:t xml:space="preserve"> Second, it</w:t>
            </w:r>
            <w:r w:rsidR="003C7739" w:rsidRPr="00812005">
              <w:rPr>
                <w:sz w:val="22"/>
                <w:szCs w:val="22"/>
              </w:rPr>
              <w:t xml:space="preserve"> adopt</w:t>
            </w:r>
            <w:r w:rsidR="00FF52D3" w:rsidRPr="00812005">
              <w:rPr>
                <w:sz w:val="22"/>
                <w:szCs w:val="22"/>
              </w:rPr>
              <w:t>s</w:t>
            </w:r>
            <w:r w:rsidR="003C7739" w:rsidRPr="00812005">
              <w:rPr>
                <w:sz w:val="22"/>
                <w:szCs w:val="22"/>
              </w:rPr>
              <w:t xml:space="preserve"> </w:t>
            </w:r>
            <w:r w:rsidR="0044140F" w:rsidRPr="00812005">
              <w:rPr>
                <w:sz w:val="22"/>
                <w:szCs w:val="22"/>
              </w:rPr>
              <w:t>a robust</w:t>
            </w:r>
            <w:r w:rsidR="00124529">
              <w:rPr>
                <w:sz w:val="22"/>
                <w:szCs w:val="22"/>
              </w:rPr>
              <w:t xml:space="preserve"> and </w:t>
            </w:r>
            <w:r w:rsidR="000E197C" w:rsidRPr="00812005">
              <w:rPr>
                <w:sz w:val="22"/>
                <w:szCs w:val="22"/>
              </w:rPr>
              <w:t xml:space="preserve">flexible secondary market </w:t>
            </w:r>
            <w:r w:rsidR="003C7739" w:rsidRPr="00812005">
              <w:rPr>
                <w:sz w:val="22"/>
                <w:szCs w:val="22"/>
              </w:rPr>
              <w:t>regime for P</w:t>
            </w:r>
            <w:r w:rsidR="001A7CFC">
              <w:rPr>
                <w:sz w:val="22"/>
                <w:szCs w:val="22"/>
              </w:rPr>
              <w:t xml:space="preserve">riority Access </w:t>
            </w:r>
            <w:r w:rsidR="00124529">
              <w:rPr>
                <w:sz w:val="22"/>
                <w:szCs w:val="22"/>
              </w:rPr>
              <w:t>Licenses</w:t>
            </w:r>
            <w:r w:rsidR="000E197C" w:rsidRPr="00812005">
              <w:rPr>
                <w:sz w:val="22"/>
                <w:szCs w:val="22"/>
              </w:rPr>
              <w:t>.</w:t>
            </w:r>
            <w:r w:rsidR="00FF52D3" w:rsidRPr="00812005">
              <w:rPr>
                <w:sz w:val="22"/>
                <w:szCs w:val="22"/>
              </w:rPr>
              <w:t xml:space="preserve">  Finally, the order </w:t>
            </w:r>
            <w:r w:rsidR="00124529">
              <w:rPr>
                <w:sz w:val="22"/>
                <w:szCs w:val="22"/>
              </w:rPr>
              <w:t>balances the expanded access for wir</w:t>
            </w:r>
            <w:r w:rsidR="00F82329">
              <w:rPr>
                <w:sz w:val="22"/>
                <w:szCs w:val="22"/>
              </w:rPr>
              <w:t>e</w:t>
            </w:r>
            <w:r w:rsidR="00124529">
              <w:rPr>
                <w:sz w:val="22"/>
                <w:szCs w:val="22"/>
              </w:rPr>
              <w:t xml:space="preserve">less broadband </w:t>
            </w:r>
            <w:r w:rsidR="001A7CFC">
              <w:rPr>
                <w:sz w:val="22"/>
                <w:szCs w:val="22"/>
              </w:rPr>
              <w:t xml:space="preserve">operators </w:t>
            </w:r>
            <w:r w:rsidR="00124529">
              <w:rPr>
                <w:sz w:val="22"/>
                <w:szCs w:val="22"/>
              </w:rPr>
              <w:t xml:space="preserve">with the need to protect fixed satellite service operations, and adopts protections that will be tailored to the characteristics of each </w:t>
            </w:r>
            <w:r w:rsidR="001A7CFC">
              <w:rPr>
                <w:sz w:val="22"/>
                <w:szCs w:val="22"/>
              </w:rPr>
              <w:t xml:space="preserve">grandfathered </w:t>
            </w:r>
            <w:r w:rsidR="00124529">
              <w:rPr>
                <w:sz w:val="22"/>
                <w:szCs w:val="22"/>
              </w:rPr>
              <w:t>earth station.</w:t>
            </w:r>
          </w:p>
          <w:p w14:paraId="26607C84" w14:textId="77777777" w:rsidR="00124529" w:rsidRDefault="00124529" w:rsidP="00316B9E">
            <w:pPr>
              <w:rPr>
                <w:sz w:val="22"/>
                <w:szCs w:val="22"/>
              </w:rPr>
            </w:pPr>
          </w:p>
          <w:p w14:paraId="5510D770" w14:textId="3B241205" w:rsidR="00C90150" w:rsidRDefault="00C90150" w:rsidP="00316B9E">
            <w:pPr>
              <w:rPr>
                <w:sz w:val="22"/>
                <w:szCs w:val="22"/>
              </w:rPr>
            </w:pPr>
            <w:r>
              <w:rPr>
                <w:sz w:val="22"/>
                <w:szCs w:val="22"/>
              </w:rPr>
              <w:t xml:space="preserve">As a cumulative result of today’s Order, the </w:t>
            </w:r>
            <w:r w:rsidR="00FA332B">
              <w:rPr>
                <w:sz w:val="22"/>
                <w:szCs w:val="22"/>
              </w:rPr>
              <w:t>r</w:t>
            </w:r>
            <w:r w:rsidR="00107877">
              <w:rPr>
                <w:sz w:val="22"/>
                <w:szCs w:val="22"/>
              </w:rPr>
              <w:t>ules</w:t>
            </w:r>
            <w:r w:rsidR="001A7CFC">
              <w:rPr>
                <w:sz w:val="22"/>
                <w:szCs w:val="22"/>
              </w:rPr>
              <w:t xml:space="preserve"> governing the Citizens Broadband Radio Service</w:t>
            </w:r>
            <w:r w:rsidRPr="00C90150">
              <w:rPr>
                <w:sz w:val="22"/>
                <w:szCs w:val="22"/>
              </w:rPr>
              <w:t xml:space="preserve"> will provide tangible benefits for all Americans. </w:t>
            </w:r>
            <w:r w:rsidR="00E016B4">
              <w:rPr>
                <w:sz w:val="22"/>
                <w:szCs w:val="22"/>
              </w:rPr>
              <w:t xml:space="preserve"> </w:t>
            </w:r>
            <w:r w:rsidRPr="00C90150">
              <w:rPr>
                <w:sz w:val="22"/>
                <w:szCs w:val="22"/>
              </w:rPr>
              <w:t xml:space="preserve">First, </w:t>
            </w:r>
            <w:r w:rsidR="000C5360" w:rsidRPr="00C90150">
              <w:rPr>
                <w:sz w:val="22"/>
                <w:szCs w:val="22"/>
              </w:rPr>
              <w:t xml:space="preserve">the </w:t>
            </w:r>
            <w:r w:rsidR="000C5360">
              <w:rPr>
                <w:sz w:val="22"/>
                <w:szCs w:val="22"/>
              </w:rPr>
              <w:t>service</w:t>
            </w:r>
            <w:r w:rsidR="000C5360" w:rsidRPr="00C90150">
              <w:rPr>
                <w:sz w:val="22"/>
                <w:szCs w:val="22"/>
              </w:rPr>
              <w:t xml:space="preserve"> will further increase the speed, capacity, and adaptability of wireless networks, leading to better mobile Internet performance for everyone. </w:t>
            </w:r>
            <w:r w:rsidR="000C5360">
              <w:rPr>
                <w:sz w:val="22"/>
                <w:szCs w:val="22"/>
              </w:rPr>
              <w:t xml:space="preserve"> Second</w:t>
            </w:r>
            <w:r w:rsidR="00CF17D8">
              <w:rPr>
                <w:sz w:val="22"/>
                <w:szCs w:val="22"/>
              </w:rPr>
              <w:t>,</w:t>
            </w:r>
            <w:r w:rsidR="000C5360">
              <w:rPr>
                <w:sz w:val="22"/>
                <w:szCs w:val="22"/>
              </w:rPr>
              <w:t xml:space="preserve"> </w:t>
            </w:r>
            <w:r w:rsidR="000C5360" w:rsidRPr="00C90150">
              <w:rPr>
                <w:sz w:val="22"/>
                <w:szCs w:val="22"/>
              </w:rPr>
              <w:t xml:space="preserve">we expect to see wide deployment of wireless broadband in industrial </w:t>
            </w:r>
            <w:r w:rsidR="000C5360" w:rsidRPr="00C90150">
              <w:rPr>
                <w:sz w:val="22"/>
                <w:szCs w:val="22"/>
              </w:rPr>
              <w:lastRenderedPageBreak/>
              <w:t>applications – advanced manufacturing, energy, healthcare, etc. – supporting innovation and growth throughout our economy.</w:t>
            </w:r>
            <w:r w:rsidR="000C5360">
              <w:rPr>
                <w:sz w:val="22"/>
                <w:szCs w:val="22"/>
              </w:rPr>
              <w:t xml:space="preserve">  Finally, this new service is being made available in a way that enables effective sharing with federal incumbents to protect </w:t>
            </w:r>
            <w:r w:rsidRPr="00C90150">
              <w:rPr>
                <w:sz w:val="22"/>
                <w:szCs w:val="22"/>
              </w:rPr>
              <w:t>important national defense missions</w:t>
            </w:r>
            <w:r w:rsidR="000C5360">
              <w:rPr>
                <w:sz w:val="22"/>
                <w:szCs w:val="22"/>
              </w:rPr>
              <w:t>.</w:t>
            </w:r>
          </w:p>
          <w:p w14:paraId="3D8509EA" w14:textId="77777777" w:rsidR="004D143C" w:rsidRPr="004D143C" w:rsidRDefault="002B65D6" w:rsidP="004D143C">
            <w:pPr>
              <w:rPr>
                <w:sz w:val="22"/>
                <w:szCs w:val="22"/>
              </w:rPr>
            </w:pPr>
            <w:r w:rsidRPr="004D143C">
              <w:rPr>
                <w:sz w:val="22"/>
                <w:szCs w:val="22"/>
              </w:rPr>
              <w:br/>
            </w:r>
            <w:r w:rsidR="004D143C" w:rsidRPr="004D143C">
              <w:rPr>
                <w:sz w:val="22"/>
                <w:szCs w:val="22"/>
              </w:rPr>
              <w:t xml:space="preserve">Action by the Commission April 28, 2016 by Order on Reconsideration and a Second Report and Order (FCC 16-55).  Chairman Wheeler, Commissioners Clyburn and Rosenworcel approving.  Commissioner Pai approving in part and concurring in part.  Commissioner O’Rielly approving in part and dissenting in part.  Chairman Wheeler, Commissioners Clyburn, Rosenworcel, Pai and O’Rielly issuing separate statements.  </w:t>
            </w:r>
          </w:p>
          <w:p w14:paraId="33DA2F2C" w14:textId="77777777" w:rsidR="004D143C" w:rsidRPr="004D143C" w:rsidRDefault="004D143C" w:rsidP="004D143C">
            <w:pPr>
              <w:rPr>
                <w:sz w:val="22"/>
                <w:szCs w:val="22"/>
              </w:rPr>
            </w:pPr>
          </w:p>
          <w:p w14:paraId="54508AAB" w14:textId="77777777" w:rsidR="004D143C" w:rsidRPr="004D143C" w:rsidRDefault="004D143C" w:rsidP="004D143C">
            <w:pPr>
              <w:rPr>
                <w:sz w:val="22"/>
                <w:szCs w:val="22"/>
              </w:rPr>
            </w:pPr>
            <w:r w:rsidRPr="004D143C">
              <w:rPr>
                <w:sz w:val="22"/>
                <w:szCs w:val="22"/>
              </w:rPr>
              <w:t>GN Docket No. 12-354</w:t>
            </w:r>
          </w:p>
          <w:p w14:paraId="7E04E35F" w14:textId="649B8688" w:rsidR="00661C40" w:rsidRPr="00812005" w:rsidRDefault="00661C40" w:rsidP="006A4DED">
            <w:pPr>
              <w:rPr>
                <w:sz w:val="22"/>
                <w:szCs w:val="22"/>
              </w:rPr>
            </w:pPr>
          </w:p>
          <w:p w14:paraId="467FAA14" w14:textId="77777777" w:rsidR="00661C40" w:rsidRDefault="00661C40" w:rsidP="006A4DED">
            <w:pPr>
              <w:rPr>
                <w:sz w:val="22"/>
                <w:szCs w:val="22"/>
              </w:rPr>
            </w:pPr>
          </w:p>
          <w:p w14:paraId="11E37C85" w14:textId="77777777" w:rsidR="004F0F1F" w:rsidRPr="008A3940" w:rsidRDefault="00F708E3" w:rsidP="00BB4E29">
            <w:pPr>
              <w:ind w:right="240"/>
              <w:jc w:val="center"/>
              <w:rPr>
                <w:sz w:val="22"/>
                <w:szCs w:val="22"/>
              </w:rPr>
            </w:pPr>
            <w:r w:rsidRPr="008A3940">
              <w:rPr>
                <w:sz w:val="22"/>
                <w:szCs w:val="22"/>
              </w:rPr>
              <w:t>###</w:t>
            </w:r>
          </w:p>
          <w:p w14:paraId="5F2CAF70"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50535392"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27B9F9DB" w14:textId="77777777" w:rsidR="00CC5E08" w:rsidRPr="006B0A70" w:rsidRDefault="006A2FC5" w:rsidP="00BB4E29">
            <w:pPr>
              <w:ind w:right="498"/>
              <w:jc w:val="center"/>
              <w:rPr>
                <w:b/>
                <w:bCs/>
                <w:sz w:val="18"/>
                <w:szCs w:val="18"/>
              </w:rPr>
            </w:pPr>
            <w:r>
              <w:rPr>
                <w:b/>
                <w:bCs/>
                <w:sz w:val="18"/>
                <w:szCs w:val="18"/>
              </w:rPr>
              <w:t>Twitter: @FCC</w:t>
            </w:r>
          </w:p>
          <w:p w14:paraId="24B31D07" w14:textId="628AC761" w:rsidR="00CC5E08" w:rsidRPr="00EE0E90" w:rsidRDefault="00EE0E90" w:rsidP="00BB4E29">
            <w:pPr>
              <w:ind w:right="498"/>
              <w:jc w:val="center"/>
              <w:rPr>
                <w:b/>
                <w:bCs/>
                <w:sz w:val="18"/>
                <w:szCs w:val="18"/>
              </w:rPr>
            </w:pPr>
            <w:r w:rsidRPr="00BB37AB">
              <w:rPr>
                <w:b/>
                <w:bCs/>
                <w:sz w:val="18"/>
                <w:szCs w:val="18"/>
              </w:rPr>
              <w:t>www.fcc.gov/office-media-relations</w:t>
            </w:r>
          </w:p>
          <w:p w14:paraId="066D608D" w14:textId="77777777" w:rsidR="00EE0E90" w:rsidRDefault="00EE0E90" w:rsidP="00BB4E29">
            <w:pPr>
              <w:ind w:right="498"/>
              <w:jc w:val="center"/>
              <w:rPr>
                <w:b/>
                <w:bCs/>
                <w:sz w:val="18"/>
                <w:szCs w:val="18"/>
              </w:rPr>
            </w:pPr>
          </w:p>
          <w:p w14:paraId="66A47477" w14:textId="460F90F1" w:rsidR="00EE0E90" w:rsidRPr="004B5906" w:rsidRDefault="00EE0E90" w:rsidP="004B5906">
            <w:pPr>
              <w:ind w:right="498"/>
              <w:jc w:val="center"/>
              <w:rPr>
                <w:bCs/>
                <w:i/>
                <w:sz w:val="18"/>
                <w:szCs w:val="18"/>
              </w:rPr>
            </w:pPr>
            <w:r w:rsidRPr="00986C92">
              <w:rPr>
                <w:bCs/>
                <w:i/>
                <w:sz w:val="18"/>
                <w:szCs w:val="18"/>
              </w:rPr>
              <w:t>This is an unofficial announcement of Commission action.</w:t>
            </w:r>
            <w:r w:rsidR="004B5906">
              <w:rPr>
                <w:bCs/>
                <w:i/>
                <w:sz w:val="18"/>
                <w:szCs w:val="18"/>
              </w:rPr>
              <w:t xml:space="preserve"> </w:t>
            </w:r>
            <w:r w:rsidRPr="00986C92">
              <w:rPr>
                <w:bCs/>
                <w:i/>
                <w:sz w:val="18"/>
                <w:szCs w:val="18"/>
              </w:rPr>
              <w:t>Release of the full text of a Commission order constitutes official action.</w:t>
            </w:r>
            <w:r w:rsidR="004B5906">
              <w:rPr>
                <w:bCs/>
                <w:i/>
                <w:sz w:val="18"/>
                <w:szCs w:val="18"/>
              </w:rPr>
              <w:t xml:space="preserve"> </w:t>
            </w:r>
            <w:r w:rsidRPr="00986C92">
              <w:rPr>
                <w:bCs/>
                <w:i/>
                <w:sz w:val="18"/>
                <w:szCs w:val="18"/>
              </w:rPr>
              <w:t>See MCI v. FCC. 515 F 2d 385 (D.C. Circ 1974)</w:t>
            </w:r>
          </w:p>
        </w:tc>
      </w:tr>
    </w:tbl>
    <w:p w14:paraId="7B29CFAB" w14:textId="77777777" w:rsidR="00D24C3D" w:rsidRDefault="00D24C3D" w:rsidP="004B5906">
      <w:pPr>
        <w:rPr>
          <w:b/>
          <w:bCs/>
          <w:sz w:val="32"/>
          <w:szCs w:val="32"/>
        </w:rPr>
      </w:pPr>
    </w:p>
    <w:sectPr w:rsidR="00D24C3D" w:rsidSect="006A4DED">
      <w:headerReference w:type="even" r:id="rId12"/>
      <w:headerReference w:type="default" r:id="rId13"/>
      <w:footerReference w:type="even" r:id="rId14"/>
      <w:footerReference w:type="default" r:id="rId15"/>
      <w:headerReference w:type="first" r:id="rId16"/>
      <w:footerReference w:type="first" r:id="rId17"/>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DB4B9" w14:textId="77777777" w:rsidR="0000433E" w:rsidRDefault="0000433E" w:rsidP="00FA0A2B">
      <w:r>
        <w:separator/>
      </w:r>
    </w:p>
  </w:endnote>
  <w:endnote w:type="continuationSeparator" w:id="0">
    <w:p w14:paraId="54A5B336" w14:textId="77777777" w:rsidR="0000433E" w:rsidRDefault="0000433E"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B0DE" w14:textId="77777777" w:rsidR="00B43C45" w:rsidRDefault="00B43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5772" w14:textId="77777777" w:rsidR="00B43C45" w:rsidRDefault="00B43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B04E" w14:textId="77777777" w:rsidR="00B43C45" w:rsidRDefault="00B43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08C0" w14:textId="77777777" w:rsidR="0000433E" w:rsidRDefault="0000433E" w:rsidP="00FA0A2B">
      <w:r>
        <w:separator/>
      </w:r>
    </w:p>
  </w:footnote>
  <w:footnote w:type="continuationSeparator" w:id="0">
    <w:p w14:paraId="597065F0" w14:textId="77777777" w:rsidR="0000433E" w:rsidRDefault="0000433E"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AD57" w14:textId="77777777" w:rsidR="00B43C45" w:rsidRDefault="00B43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8D36" w14:textId="77777777" w:rsidR="00B43C45" w:rsidRDefault="00B43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5E4B" w14:textId="77777777" w:rsidR="00B43C45" w:rsidRDefault="00B43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429A"/>
    <w:multiLevelType w:val="hybridMultilevel"/>
    <w:tmpl w:val="C676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514A586F"/>
    <w:multiLevelType w:val="hybridMultilevel"/>
    <w:tmpl w:val="AD48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433E"/>
    <w:rsid w:val="000111B6"/>
    <w:rsid w:val="0002500C"/>
    <w:rsid w:val="000311FC"/>
    <w:rsid w:val="00040127"/>
    <w:rsid w:val="0005277C"/>
    <w:rsid w:val="00053D14"/>
    <w:rsid w:val="00065B02"/>
    <w:rsid w:val="000760B0"/>
    <w:rsid w:val="00081232"/>
    <w:rsid w:val="00082C29"/>
    <w:rsid w:val="00091D47"/>
    <w:rsid w:val="00091E65"/>
    <w:rsid w:val="00096D4A"/>
    <w:rsid w:val="000A38EA"/>
    <w:rsid w:val="000C1E47"/>
    <w:rsid w:val="000C26F3"/>
    <w:rsid w:val="000C5360"/>
    <w:rsid w:val="000D06D1"/>
    <w:rsid w:val="000E049E"/>
    <w:rsid w:val="000E197C"/>
    <w:rsid w:val="00107877"/>
    <w:rsid w:val="0010799B"/>
    <w:rsid w:val="00117DB2"/>
    <w:rsid w:val="00122CA8"/>
    <w:rsid w:val="00123ED2"/>
    <w:rsid w:val="00124529"/>
    <w:rsid w:val="00125BE0"/>
    <w:rsid w:val="0014035C"/>
    <w:rsid w:val="001429A3"/>
    <w:rsid w:val="00142C13"/>
    <w:rsid w:val="001455A1"/>
    <w:rsid w:val="001506B3"/>
    <w:rsid w:val="00152776"/>
    <w:rsid w:val="00153222"/>
    <w:rsid w:val="001577D3"/>
    <w:rsid w:val="001726BC"/>
    <w:rsid w:val="001733A6"/>
    <w:rsid w:val="00173D02"/>
    <w:rsid w:val="001865A9"/>
    <w:rsid w:val="00187DB2"/>
    <w:rsid w:val="001A3BA1"/>
    <w:rsid w:val="001A7CFC"/>
    <w:rsid w:val="001B20BB"/>
    <w:rsid w:val="001C4370"/>
    <w:rsid w:val="001D3779"/>
    <w:rsid w:val="001F0469"/>
    <w:rsid w:val="001F1E15"/>
    <w:rsid w:val="00203A98"/>
    <w:rsid w:val="002046FF"/>
    <w:rsid w:val="00206EDD"/>
    <w:rsid w:val="0021247E"/>
    <w:rsid w:val="002146F6"/>
    <w:rsid w:val="00231C32"/>
    <w:rsid w:val="00240345"/>
    <w:rsid w:val="002421F0"/>
    <w:rsid w:val="002462A0"/>
    <w:rsid w:val="00246DCA"/>
    <w:rsid w:val="00247274"/>
    <w:rsid w:val="00266966"/>
    <w:rsid w:val="00294C0C"/>
    <w:rsid w:val="00295367"/>
    <w:rsid w:val="00297316"/>
    <w:rsid w:val="002A0934"/>
    <w:rsid w:val="002B1013"/>
    <w:rsid w:val="002B65D6"/>
    <w:rsid w:val="002D03E5"/>
    <w:rsid w:val="002E3F1D"/>
    <w:rsid w:val="002F04DB"/>
    <w:rsid w:val="002F31D0"/>
    <w:rsid w:val="002F66B1"/>
    <w:rsid w:val="00300359"/>
    <w:rsid w:val="00310ABE"/>
    <w:rsid w:val="00312CDC"/>
    <w:rsid w:val="00316B9E"/>
    <w:rsid w:val="0031773E"/>
    <w:rsid w:val="00347716"/>
    <w:rsid w:val="003506E1"/>
    <w:rsid w:val="003727E3"/>
    <w:rsid w:val="003736D8"/>
    <w:rsid w:val="00385A93"/>
    <w:rsid w:val="003910F1"/>
    <w:rsid w:val="00397DB8"/>
    <w:rsid w:val="003A5B45"/>
    <w:rsid w:val="003A5FB7"/>
    <w:rsid w:val="003B05D8"/>
    <w:rsid w:val="003B6B63"/>
    <w:rsid w:val="003C7739"/>
    <w:rsid w:val="003E2D83"/>
    <w:rsid w:val="003E3EFD"/>
    <w:rsid w:val="003E42FC"/>
    <w:rsid w:val="003E4EE9"/>
    <w:rsid w:val="003E5991"/>
    <w:rsid w:val="003F344A"/>
    <w:rsid w:val="00403FF0"/>
    <w:rsid w:val="00412B7D"/>
    <w:rsid w:val="0042046D"/>
    <w:rsid w:val="00425AEF"/>
    <w:rsid w:val="00426518"/>
    <w:rsid w:val="00427B06"/>
    <w:rsid w:val="00431D6B"/>
    <w:rsid w:val="00434E5B"/>
    <w:rsid w:val="0044140F"/>
    <w:rsid w:val="00441F59"/>
    <w:rsid w:val="00444E07"/>
    <w:rsid w:val="00444FA9"/>
    <w:rsid w:val="00473E9C"/>
    <w:rsid w:val="00480099"/>
    <w:rsid w:val="00497858"/>
    <w:rsid w:val="004B01DE"/>
    <w:rsid w:val="004B4FEA"/>
    <w:rsid w:val="004B5906"/>
    <w:rsid w:val="004C0ADA"/>
    <w:rsid w:val="004C3C9A"/>
    <w:rsid w:val="004C433E"/>
    <w:rsid w:val="004C4512"/>
    <w:rsid w:val="004C4F36"/>
    <w:rsid w:val="004C5D31"/>
    <w:rsid w:val="004D143C"/>
    <w:rsid w:val="004D3D85"/>
    <w:rsid w:val="004D7438"/>
    <w:rsid w:val="004E1BA2"/>
    <w:rsid w:val="004E2BD8"/>
    <w:rsid w:val="004F0F1F"/>
    <w:rsid w:val="005022AA"/>
    <w:rsid w:val="00504845"/>
    <w:rsid w:val="0050757F"/>
    <w:rsid w:val="005120AF"/>
    <w:rsid w:val="00516AD2"/>
    <w:rsid w:val="00530028"/>
    <w:rsid w:val="00545DAE"/>
    <w:rsid w:val="00557DF4"/>
    <w:rsid w:val="00571AE5"/>
    <w:rsid w:val="00571B83"/>
    <w:rsid w:val="00575A00"/>
    <w:rsid w:val="0058673C"/>
    <w:rsid w:val="00586F90"/>
    <w:rsid w:val="005A7972"/>
    <w:rsid w:val="005B17E7"/>
    <w:rsid w:val="005B2643"/>
    <w:rsid w:val="005D17FD"/>
    <w:rsid w:val="005F0D55"/>
    <w:rsid w:val="005F183E"/>
    <w:rsid w:val="00600DDA"/>
    <w:rsid w:val="00601EE2"/>
    <w:rsid w:val="00603EC7"/>
    <w:rsid w:val="00604211"/>
    <w:rsid w:val="0060761C"/>
    <w:rsid w:val="00613498"/>
    <w:rsid w:val="00617B94"/>
    <w:rsid w:val="00620BED"/>
    <w:rsid w:val="00626D56"/>
    <w:rsid w:val="00636A50"/>
    <w:rsid w:val="006415B4"/>
    <w:rsid w:val="00644E3D"/>
    <w:rsid w:val="00651B9E"/>
    <w:rsid w:val="00652019"/>
    <w:rsid w:val="00657EC9"/>
    <w:rsid w:val="00661C40"/>
    <w:rsid w:val="006646F1"/>
    <w:rsid w:val="00665633"/>
    <w:rsid w:val="006675C3"/>
    <w:rsid w:val="00673794"/>
    <w:rsid w:val="00674C86"/>
    <w:rsid w:val="0068015E"/>
    <w:rsid w:val="006861AB"/>
    <w:rsid w:val="00686B89"/>
    <w:rsid w:val="00693DF0"/>
    <w:rsid w:val="006A1BC6"/>
    <w:rsid w:val="006A2FC5"/>
    <w:rsid w:val="006A4DED"/>
    <w:rsid w:val="006A556B"/>
    <w:rsid w:val="006A7D75"/>
    <w:rsid w:val="006B0A70"/>
    <w:rsid w:val="006B606A"/>
    <w:rsid w:val="006C33AF"/>
    <w:rsid w:val="006C7ADB"/>
    <w:rsid w:val="006D5D22"/>
    <w:rsid w:val="006E0324"/>
    <w:rsid w:val="006E4A76"/>
    <w:rsid w:val="006E7300"/>
    <w:rsid w:val="006F1DBD"/>
    <w:rsid w:val="00700556"/>
    <w:rsid w:val="007030B2"/>
    <w:rsid w:val="007167DD"/>
    <w:rsid w:val="0072478B"/>
    <w:rsid w:val="0073414D"/>
    <w:rsid w:val="00746A1C"/>
    <w:rsid w:val="0075235E"/>
    <w:rsid w:val="00754B04"/>
    <w:rsid w:val="007732CC"/>
    <w:rsid w:val="00774079"/>
    <w:rsid w:val="0077752B"/>
    <w:rsid w:val="007845DE"/>
    <w:rsid w:val="00793D6F"/>
    <w:rsid w:val="00794090"/>
    <w:rsid w:val="007A0A57"/>
    <w:rsid w:val="007A44F8"/>
    <w:rsid w:val="007B6CF9"/>
    <w:rsid w:val="007D005B"/>
    <w:rsid w:val="007D21BF"/>
    <w:rsid w:val="007F3C12"/>
    <w:rsid w:val="007F5205"/>
    <w:rsid w:val="00811DE2"/>
    <w:rsid w:val="00812005"/>
    <w:rsid w:val="008215E7"/>
    <w:rsid w:val="00830FC6"/>
    <w:rsid w:val="0085598C"/>
    <w:rsid w:val="00865EAA"/>
    <w:rsid w:val="00866F06"/>
    <w:rsid w:val="008728F5"/>
    <w:rsid w:val="008824C2"/>
    <w:rsid w:val="00892B29"/>
    <w:rsid w:val="008960E4"/>
    <w:rsid w:val="008A3940"/>
    <w:rsid w:val="008B13C9"/>
    <w:rsid w:val="008C248C"/>
    <w:rsid w:val="008C5432"/>
    <w:rsid w:val="008C7BF1"/>
    <w:rsid w:val="008D00D6"/>
    <w:rsid w:val="008D4D00"/>
    <w:rsid w:val="008D4E5E"/>
    <w:rsid w:val="008D7ABD"/>
    <w:rsid w:val="008E1213"/>
    <w:rsid w:val="008E55A2"/>
    <w:rsid w:val="008F1609"/>
    <w:rsid w:val="008F78D8"/>
    <w:rsid w:val="0093435E"/>
    <w:rsid w:val="00961620"/>
    <w:rsid w:val="009618A2"/>
    <w:rsid w:val="009734B6"/>
    <w:rsid w:val="009766E8"/>
    <w:rsid w:val="0098096F"/>
    <w:rsid w:val="0098437A"/>
    <w:rsid w:val="00986C92"/>
    <w:rsid w:val="00993C47"/>
    <w:rsid w:val="009B4B16"/>
    <w:rsid w:val="009C6BCB"/>
    <w:rsid w:val="009D233A"/>
    <w:rsid w:val="009E54A1"/>
    <w:rsid w:val="009F4E25"/>
    <w:rsid w:val="009F5B1F"/>
    <w:rsid w:val="00A25FF4"/>
    <w:rsid w:val="00A30E39"/>
    <w:rsid w:val="00A35DFD"/>
    <w:rsid w:val="00A46565"/>
    <w:rsid w:val="00A56B86"/>
    <w:rsid w:val="00A702DF"/>
    <w:rsid w:val="00A775A3"/>
    <w:rsid w:val="00A801A0"/>
    <w:rsid w:val="00A81B5B"/>
    <w:rsid w:val="00A82FAD"/>
    <w:rsid w:val="00A9673A"/>
    <w:rsid w:val="00A96EF2"/>
    <w:rsid w:val="00AA5C35"/>
    <w:rsid w:val="00AA5ED9"/>
    <w:rsid w:val="00AC0A38"/>
    <w:rsid w:val="00AC1F0F"/>
    <w:rsid w:val="00AC38CA"/>
    <w:rsid w:val="00AC4E0E"/>
    <w:rsid w:val="00AC517B"/>
    <w:rsid w:val="00AD0D19"/>
    <w:rsid w:val="00AD34E6"/>
    <w:rsid w:val="00AF051B"/>
    <w:rsid w:val="00B037A2"/>
    <w:rsid w:val="00B15B2C"/>
    <w:rsid w:val="00B30804"/>
    <w:rsid w:val="00B31870"/>
    <w:rsid w:val="00B320B8"/>
    <w:rsid w:val="00B35EE2"/>
    <w:rsid w:val="00B36DEF"/>
    <w:rsid w:val="00B43C45"/>
    <w:rsid w:val="00B534A1"/>
    <w:rsid w:val="00B57131"/>
    <w:rsid w:val="00B6012F"/>
    <w:rsid w:val="00B62F2C"/>
    <w:rsid w:val="00B727C9"/>
    <w:rsid w:val="00B735C8"/>
    <w:rsid w:val="00B76A63"/>
    <w:rsid w:val="00B84C28"/>
    <w:rsid w:val="00BA6350"/>
    <w:rsid w:val="00BB37AB"/>
    <w:rsid w:val="00BB4E29"/>
    <w:rsid w:val="00BB74C9"/>
    <w:rsid w:val="00BB774D"/>
    <w:rsid w:val="00BC3AB6"/>
    <w:rsid w:val="00BD19E8"/>
    <w:rsid w:val="00BD33D4"/>
    <w:rsid w:val="00BD4273"/>
    <w:rsid w:val="00BE75F6"/>
    <w:rsid w:val="00C0439A"/>
    <w:rsid w:val="00C208A8"/>
    <w:rsid w:val="00C323DF"/>
    <w:rsid w:val="00C323FF"/>
    <w:rsid w:val="00C432E4"/>
    <w:rsid w:val="00C650F9"/>
    <w:rsid w:val="00C70C26"/>
    <w:rsid w:val="00C72001"/>
    <w:rsid w:val="00C772B7"/>
    <w:rsid w:val="00C80347"/>
    <w:rsid w:val="00C90150"/>
    <w:rsid w:val="00C90EC4"/>
    <w:rsid w:val="00CA3604"/>
    <w:rsid w:val="00CB7C1A"/>
    <w:rsid w:val="00CC5E08"/>
    <w:rsid w:val="00CD492C"/>
    <w:rsid w:val="00CF17D8"/>
    <w:rsid w:val="00CF3DCB"/>
    <w:rsid w:val="00CF6860"/>
    <w:rsid w:val="00D02AC6"/>
    <w:rsid w:val="00D03F0C"/>
    <w:rsid w:val="00D04312"/>
    <w:rsid w:val="00D16A7F"/>
    <w:rsid w:val="00D16AD2"/>
    <w:rsid w:val="00D22596"/>
    <w:rsid w:val="00D22691"/>
    <w:rsid w:val="00D24C3D"/>
    <w:rsid w:val="00D2715F"/>
    <w:rsid w:val="00D35315"/>
    <w:rsid w:val="00D46CB1"/>
    <w:rsid w:val="00D47FD0"/>
    <w:rsid w:val="00D723F0"/>
    <w:rsid w:val="00D8133F"/>
    <w:rsid w:val="00D95B05"/>
    <w:rsid w:val="00D97E2D"/>
    <w:rsid w:val="00DA103D"/>
    <w:rsid w:val="00DA1068"/>
    <w:rsid w:val="00DA1F1F"/>
    <w:rsid w:val="00DA45D3"/>
    <w:rsid w:val="00DA4772"/>
    <w:rsid w:val="00DA57F6"/>
    <w:rsid w:val="00DB2667"/>
    <w:rsid w:val="00DB2966"/>
    <w:rsid w:val="00DB306F"/>
    <w:rsid w:val="00DB67B7"/>
    <w:rsid w:val="00DC15A9"/>
    <w:rsid w:val="00DC40AA"/>
    <w:rsid w:val="00DC5984"/>
    <w:rsid w:val="00DD1750"/>
    <w:rsid w:val="00DF61E4"/>
    <w:rsid w:val="00E01294"/>
    <w:rsid w:val="00E016B4"/>
    <w:rsid w:val="00E224F4"/>
    <w:rsid w:val="00E349AA"/>
    <w:rsid w:val="00E406B8"/>
    <w:rsid w:val="00E41390"/>
    <w:rsid w:val="00E41CA0"/>
    <w:rsid w:val="00E4366B"/>
    <w:rsid w:val="00E50A4A"/>
    <w:rsid w:val="00E606DE"/>
    <w:rsid w:val="00E644FE"/>
    <w:rsid w:val="00E656B5"/>
    <w:rsid w:val="00E70AB0"/>
    <w:rsid w:val="00E72733"/>
    <w:rsid w:val="00E742FA"/>
    <w:rsid w:val="00E74D76"/>
    <w:rsid w:val="00E76816"/>
    <w:rsid w:val="00E83DBF"/>
    <w:rsid w:val="00E87C13"/>
    <w:rsid w:val="00E9291F"/>
    <w:rsid w:val="00E94CD9"/>
    <w:rsid w:val="00EA1A76"/>
    <w:rsid w:val="00EA290B"/>
    <w:rsid w:val="00EB5A8B"/>
    <w:rsid w:val="00EB6545"/>
    <w:rsid w:val="00EC0566"/>
    <w:rsid w:val="00EC2D18"/>
    <w:rsid w:val="00EC3EFA"/>
    <w:rsid w:val="00EE0E90"/>
    <w:rsid w:val="00EE4843"/>
    <w:rsid w:val="00EE4974"/>
    <w:rsid w:val="00EF3BCA"/>
    <w:rsid w:val="00F01B0D"/>
    <w:rsid w:val="00F022B9"/>
    <w:rsid w:val="00F1238F"/>
    <w:rsid w:val="00F14EEF"/>
    <w:rsid w:val="00F16485"/>
    <w:rsid w:val="00F228ED"/>
    <w:rsid w:val="00F26E31"/>
    <w:rsid w:val="00F27C6C"/>
    <w:rsid w:val="00F34A8D"/>
    <w:rsid w:val="00F367B1"/>
    <w:rsid w:val="00F50D25"/>
    <w:rsid w:val="00F535D8"/>
    <w:rsid w:val="00F61155"/>
    <w:rsid w:val="00F65C35"/>
    <w:rsid w:val="00F708E3"/>
    <w:rsid w:val="00F72095"/>
    <w:rsid w:val="00F76561"/>
    <w:rsid w:val="00F81EA2"/>
    <w:rsid w:val="00F82329"/>
    <w:rsid w:val="00F84736"/>
    <w:rsid w:val="00FA0A2B"/>
    <w:rsid w:val="00FA332B"/>
    <w:rsid w:val="00FA468E"/>
    <w:rsid w:val="00FA5EF8"/>
    <w:rsid w:val="00FA7BD2"/>
    <w:rsid w:val="00FB3FBB"/>
    <w:rsid w:val="00FC0924"/>
    <w:rsid w:val="00FC6C29"/>
    <w:rsid w:val="00FD0C5D"/>
    <w:rsid w:val="00FD2780"/>
    <w:rsid w:val="00FD58E0"/>
    <w:rsid w:val="00FE0198"/>
    <w:rsid w:val="00FE3A7C"/>
    <w:rsid w:val="00FF1C0B"/>
    <w:rsid w:val="00FF232D"/>
    <w:rsid w:val="00FF52D3"/>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uiPriority w:val="99"/>
    <w:semiHidden/>
    <w:unhideWhenUsed/>
    <w:rsid w:val="004B01DE"/>
    <w:rPr>
      <w:sz w:val="16"/>
      <w:szCs w:val="16"/>
    </w:rPr>
  </w:style>
  <w:style w:type="paragraph" w:styleId="CommentText">
    <w:name w:val="annotation text"/>
    <w:basedOn w:val="Normal"/>
    <w:link w:val="CommentTextChar"/>
    <w:uiPriority w:val="99"/>
    <w:semiHidden/>
    <w:unhideWhenUsed/>
    <w:rsid w:val="004B01DE"/>
    <w:rPr>
      <w:sz w:val="20"/>
      <w:szCs w:val="20"/>
    </w:rPr>
  </w:style>
  <w:style w:type="character" w:customStyle="1" w:styleId="CommentTextChar">
    <w:name w:val="Comment Text Char"/>
    <w:basedOn w:val="DefaultParagraphFont"/>
    <w:link w:val="CommentText"/>
    <w:uiPriority w:val="99"/>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uiPriority w:val="99"/>
    <w:semiHidden/>
    <w:unhideWhenUsed/>
    <w:rsid w:val="004B01DE"/>
    <w:rPr>
      <w:sz w:val="16"/>
      <w:szCs w:val="16"/>
    </w:rPr>
  </w:style>
  <w:style w:type="paragraph" w:styleId="CommentText">
    <w:name w:val="annotation text"/>
    <w:basedOn w:val="Normal"/>
    <w:link w:val="CommentTextChar"/>
    <w:uiPriority w:val="99"/>
    <w:semiHidden/>
    <w:unhideWhenUsed/>
    <w:rsid w:val="004B01DE"/>
    <w:rPr>
      <w:sz w:val="20"/>
      <w:szCs w:val="20"/>
    </w:rPr>
  </w:style>
  <w:style w:type="character" w:customStyle="1" w:styleId="CommentTextChar">
    <w:name w:val="Comment Text Char"/>
    <w:basedOn w:val="DefaultParagraphFont"/>
    <w:link w:val="CommentText"/>
    <w:uiPriority w:val="99"/>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1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22068824">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citizens-broadband-radio-service-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rulemaking/12-3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cilia.sulhoff@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3542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2016-04-28T16:31:00Z</dcterms:created>
  <dcterms:modified xsi:type="dcterms:W3CDTF">2016-04-28T16:31:00Z</dcterms:modified>
  <cp:category> </cp:category>
  <cp:contentStatus> </cp:contentStatus>
</cp:coreProperties>
</file>