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880DDC" w:rsidRDefault="00880DDC" w:rsidP="00880DDC">
            <w:pPr>
              <w:widowControl/>
              <w:tabs>
                <w:tab w:val="center" w:pos="4680"/>
              </w:tabs>
              <w:suppressAutoHyphens/>
              <w:rPr>
                <w:spacing w:val="-2"/>
              </w:rPr>
            </w:pPr>
            <w:r>
              <w:rPr>
                <w:spacing w:val="-2"/>
              </w:rPr>
              <w:t>Connect America Fund</w:t>
            </w:r>
          </w:p>
          <w:p w:rsidR="00880DDC" w:rsidRDefault="00880DDC" w:rsidP="00880DDC">
            <w:pPr>
              <w:widowControl/>
              <w:tabs>
                <w:tab w:val="center" w:pos="4680"/>
              </w:tabs>
              <w:suppressAutoHyphens/>
              <w:rPr>
                <w:spacing w:val="-2"/>
              </w:rPr>
            </w:pPr>
          </w:p>
          <w:p w:rsidR="00880DDC" w:rsidRDefault="00880DDC" w:rsidP="00880DDC">
            <w:pPr>
              <w:widowControl/>
              <w:tabs>
                <w:tab w:val="center" w:pos="4680"/>
              </w:tabs>
              <w:suppressAutoHyphens/>
              <w:rPr>
                <w:spacing w:val="-2"/>
              </w:rPr>
            </w:pPr>
            <w:r>
              <w:rPr>
                <w:spacing w:val="-2"/>
              </w:rPr>
              <w:t>ETC Annual Reports and Certifications</w:t>
            </w:r>
          </w:p>
          <w:p w:rsidR="00880DDC" w:rsidRDefault="00880DDC" w:rsidP="00880DDC">
            <w:pPr>
              <w:widowControl/>
              <w:tabs>
                <w:tab w:val="center" w:pos="4680"/>
              </w:tabs>
              <w:suppressAutoHyphens/>
              <w:rPr>
                <w:spacing w:val="-2"/>
              </w:rPr>
            </w:pPr>
          </w:p>
          <w:p w:rsidR="00880DDC" w:rsidRDefault="00880DDC" w:rsidP="00880DDC">
            <w:pPr>
              <w:widowControl/>
              <w:tabs>
                <w:tab w:val="center" w:pos="4680"/>
              </w:tabs>
              <w:suppressAutoHyphens/>
              <w:rPr>
                <w:spacing w:val="-2"/>
              </w:rPr>
            </w:pPr>
            <w:r>
              <w:rPr>
                <w:spacing w:val="-2"/>
              </w:rPr>
              <w:t>Developing a Unified Intercarrier Compensation Regime</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880DDC" w:rsidRDefault="00880DDC" w:rsidP="00880DDC">
            <w:pPr>
              <w:widowControl/>
              <w:tabs>
                <w:tab w:val="center" w:pos="4680"/>
              </w:tabs>
              <w:suppressAutoHyphens/>
              <w:rPr>
                <w:spacing w:val="-2"/>
              </w:rPr>
            </w:pPr>
            <w:r>
              <w:rPr>
                <w:spacing w:val="-2"/>
              </w:rPr>
              <w:t>WC Docket No. 10-90</w:t>
            </w:r>
          </w:p>
          <w:p w:rsidR="00880DDC" w:rsidRDefault="00880DDC" w:rsidP="00880DDC">
            <w:pPr>
              <w:widowControl/>
              <w:tabs>
                <w:tab w:val="center" w:pos="4680"/>
              </w:tabs>
              <w:suppressAutoHyphens/>
              <w:rPr>
                <w:spacing w:val="-2"/>
              </w:rPr>
            </w:pPr>
          </w:p>
          <w:p w:rsidR="00880DDC" w:rsidRDefault="00880DDC" w:rsidP="00880DDC">
            <w:pPr>
              <w:widowControl/>
              <w:tabs>
                <w:tab w:val="center" w:pos="4680"/>
              </w:tabs>
              <w:suppressAutoHyphens/>
              <w:rPr>
                <w:spacing w:val="-2"/>
              </w:rPr>
            </w:pPr>
            <w:r>
              <w:rPr>
                <w:spacing w:val="-2"/>
              </w:rPr>
              <w:t>WC Docket No. 14-58</w:t>
            </w:r>
          </w:p>
          <w:p w:rsidR="00880DDC" w:rsidRDefault="00880DDC" w:rsidP="00880DDC">
            <w:pPr>
              <w:widowControl/>
              <w:tabs>
                <w:tab w:val="center" w:pos="4680"/>
              </w:tabs>
              <w:suppressAutoHyphens/>
              <w:rPr>
                <w:spacing w:val="-2"/>
              </w:rPr>
            </w:pPr>
          </w:p>
          <w:p w:rsidR="00880DDC" w:rsidRDefault="00880DDC" w:rsidP="00880DDC">
            <w:pPr>
              <w:widowControl/>
              <w:tabs>
                <w:tab w:val="center" w:pos="4680"/>
              </w:tabs>
              <w:suppressAutoHyphens/>
              <w:rPr>
                <w:spacing w:val="-2"/>
              </w:rPr>
            </w:pPr>
            <w:r>
              <w:rPr>
                <w:spacing w:val="-2"/>
              </w:rPr>
              <w:t>CC Docket No. 01-92</w:t>
            </w:r>
          </w:p>
          <w:p w:rsidR="004C2EE3" w:rsidRDefault="004C2EE3">
            <w:pPr>
              <w:tabs>
                <w:tab w:val="center" w:pos="4680"/>
              </w:tabs>
              <w:suppressAutoHyphens/>
              <w:rPr>
                <w:spacing w:val="-2"/>
              </w:rPr>
            </w:pPr>
          </w:p>
        </w:tc>
      </w:tr>
    </w:tbl>
    <w:p w:rsidR="004C2EE3" w:rsidRDefault="004C2EE3" w:rsidP="0070224F"/>
    <w:p w:rsidR="00841AB1" w:rsidRDefault="00880DDC" w:rsidP="00F021FA">
      <w:pPr>
        <w:pStyle w:val="StyleBoldCentered"/>
      </w:pPr>
      <w:r>
        <w:t>ERRATUM</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ab/>
      </w:r>
      <w:r w:rsidR="00880DDC">
        <w:rPr>
          <w:b/>
          <w:spacing w:val="-2"/>
        </w:rPr>
        <w:tab/>
      </w:r>
      <w:r w:rsidR="00822CE0">
        <w:rPr>
          <w:b/>
          <w:spacing w:val="-2"/>
        </w:rPr>
        <w:t>Released</w:t>
      </w:r>
      <w:r>
        <w:rPr>
          <w:b/>
          <w:spacing w:val="-2"/>
        </w:rPr>
        <w:t>:</w:t>
      </w:r>
      <w:r w:rsidR="00822CE0">
        <w:rPr>
          <w:b/>
          <w:spacing w:val="-2"/>
        </w:rPr>
        <w:t xml:space="preserve"> </w:t>
      </w:r>
      <w:r>
        <w:rPr>
          <w:b/>
          <w:spacing w:val="-2"/>
        </w:rPr>
        <w:t xml:space="preserve"> </w:t>
      </w:r>
      <w:r w:rsidR="0069225D">
        <w:rPr>
          <w:b/>
          <w:spacing w:val="-2"/>
        </w:rPr>
        <w:t>May 4, 2016</w:t>
      </w:r>
    </w:p>
    <w:p w:rsidR="00822CE0" w:rsidRDefault="00822CE0"/>
    <w:p w:rsidR="004C2EE3" w:rsidRDefault="004C2EE3">
      <w:pPr>
        <w:rPr>
          <w:spacing w:val="-2"/>
        </w:rPr>
      </w:pPr>
      <w:r>
        <w:t xml:space="preserve">By </w:t>
      </w:r>
      <w:r w:rsidR="004E4A22">
        <w:t>the</w:t>
      </w:r>
      <w:r w:rsidR="002A2D2E">
        <w:t xml:space="preserve"> </w:t>
      </w:r>
      <w:r w:rsidR="00880DDC">
        <w:rPr>
          <w:spacing w:val="-2"/>
        </w:rPr>
        <w:t>Chief, Wireline Competition Bureau</w:t>
      </w:r>
      <w:r>
        <w:rPr>
          <w:spacing w:val="-2"/>
        </w:rPr>
        <w:t>:</w:t>
      </w:r>
    </w:p>
    <w:p w:rsidR="00412FC5" w:rsidRDefault="00412FC5" w:rsidP="00412FC5"/>
    <w:p w:rsidR="00880DDC" w:rsidRDefault="00880DDC" w:rsidP="00880DDC">
      <w:pPr>
        <w:pStyle w:val="Paratitle"/>
        <w:ind w:firstLine="720"/>
      </w:pPr>
      <w:r>
        <w:t>On March 30, 2016, the Commission released a Report and Order, Order and Order on Reconsideration, and Further Notice of Proposed Rulemaking (</w:t>
      </w:r>
      <w:r>
        <w:rPr>
          <w:i/>
        </w:rPr>
        <w:t>Rate-of-Return Reform Order and FNPRM</w:t>
      </w:r>
      <w:r>
        <w:t xml:space="preserve">), FCC 16-33, in the above captioned proceedings.  This Erratum amends the </w:t>
      </w:r>
      <w:r>
        <w:rPr>
          <w:i/>
        </w:rPr>
        <w:t xml:space="preserve">Rate-of-Return Reform Order and FNPRM </w:t>
      </w:r>
      <w:r>
        <w:t>as indicated below:</w:t>
      </w:r>
    </w:p>
    <w:p w:rsidR="00FB0231" w:rsidRPr="00880DDC" w:rsidRDefault="00FB0231" w:rsidP="00FB0231">
      <w:pPr>
        <w:pStyle w:val="ParaNum"/>
        <w:tabs>
          <w:tab w:val="clear" w:pos="1440"/>
          <w:tab w:val="num" w:pos="720"/>
        </w:tabs>
        <w:ind w:firstLine="360"/>
        <w:rPr>
          <w:szCs w:val="22"/>
        </w:rPr>
      </w:pPr>
      <w:r>
        <w:rPr>
          <w:szCs w:val="22"/>
        </w:rPr>
        <w:t xml:space="preserve">In </w:t>
      </w:r>
      <w:r w:rsidRPr="00880DDC">
        <w:rPr>
          <w:szCs w:val="22"/>
        </w:rPr>
        <w:t xml:space="preserve">paragraph 3, </w:t>
      </w:r>
      <w:r>
        <w:rPr>
          <w:szCs w:val="22"/>
        </w:rPr>
        <w:t xml:space="preserve">in </w:t>
      </w:r>
      <w:r w:rsidRPr="00880DDC">
        <w:rPr>
          <w:szCs w:val="22"/>
        </w:rPr>
        <w:t>the fourth sentence</w:t>
      </w:r>
      <w:r>
        <w:rPr>
          <w:szCs w:val="22"/>
        </w:rPr>
        <w:t>,</w:t>
      </w:r>
      <w:r w:rsidRPr="00880DDC">
        <w:rPr>
          <w:szCs w:val="22"/>
        </w:rPr>
        <w:t xml:space="preserve"> delete “are”.</w:t>
      </w:r>
    </w:p>
    <w:p w:rsidR="00FB0231" w:rsidRPr="00880DDC" w:rsidRDefault="00FB0231" w:rsidP="00FB0231">
      <w:pPr>
        <w:pStyle w:val="ParaNum"/>
        <w:tabs>
          <w:tab w:val="clear" w:pos="1440"/>
          <w:tab w:val="num" w:pos="720"/>
        </w:tabs>
        <w:ind w:firstLine="360"/>
        <w:rPr>
          <w:szCs w:val="22"/>
        </w:rPr>
      </w:pPr>
      <w:r>
        <w:rPr>
          <w:szCs w:val="22"/>
        </w:rPr>
        <w:t xml:space="preserve">In </w:t>
      </w:r>
      <w:r w:rsidRPr="00880DDC">
        <w:rPr>
          <w:szCs w:val="22"/>
        </w:rPr>
        <w:t xml:space="preserve">footnote 39, </w:t>
      </w:r>
      <w:r>
        <w:rPr>
          <w:szCs w:val="22"/>
        </w:rPr>
        <w:t>replace</w:t>
      </w:r>
      <w:r w:rsidRPr="00880DDC">
        <w:rPr>
          <w:szCs w:val="22"/>
        </w:rPr>
        <w:t xml:space="preserve"> “DA 16-164” </w:t>
      </w:r>
      <w:r>
        <w:rPr>
          <w:szCs w:val="22"/>
        </w:rPr>
        <w:t>with</w:t>
      </w:r>
      <w:r w:rsidRPr="00880DDC">
        <w:rPr>
          <w:szCs w:val="22"/>
        </w:rPr>
        <w:t xml:space="preserve"> “31 FCC Rcd 1139” and </w:t>
      </w:r>
      <w:r>
        <w:rPr>
          <w:szCs w:val="22"/>
        </w:rPr>
        <w:t>replace</w:t>
      </w:r>
      <w:r w:rsidRPr="00880DDC">
        <w:rPr>
          <w:szCs w:val="22"/>
        </w:rPr>
        <w:t xml:space="preserve"> “2015” </w:t>
      </w:r>
      <w:r>
        <w:rPr>
          <w:szCs w:val="22"/>
        </w:rPr>
        <w:t>with</w:t>
      </w:r>
      <w:r w:rsidRPr="00880DDC">
        <w:rPr>
          <w:szCs w:val="22"/>
        </w:rPr>
        <w:t xml:space="preserve"> “2016”.</w:t>
      </w:r>
    </w:p>
    <w:p w:rsidR="00FB0231" w:rsidRDefault="00FB0231" w:rsidP="00FB0231">
      <w:pPr>
        <w:pStyle w:val="ParaNum"/>
        <w:tabs>
          <w:tab w:val="clear" w:pos="1440"/>
          <w:tab w:val="num" w:pos="720"/>
        </w:tabs>
        <w:ind w:firstLine="360"/>
        <w:rPr>
          <w:szCs w:val="22"/>
        </w:rPr>
      </w:pPr>
      <w:r>
        <w:rPr>
          <w:szCs w:val="22"/>
        </w:rPr>
        <w:t xml:space="preserve">In </w:t>
      </w:r>
      <w:r w:rsidRPr="00880DDC">
        <w:rPr>
          <w:szCs w:val="22"/>
        </w:rPr>
        <w:t>paragraph 32, the last sentence is corrected to read</w:t>
      </w:r>
      <w:r>
        <w:rPr>
          <w:szCs w:val="22"/>
        </w:rPr>
        <w:t xml:space="preserve"> as follows</w:t>
      </w:r>
      <w:r w:rsidRPr="00880DDC">
        <w:rPr>
          <w:szCs w:val="22"/>
        </w:rPr>
        <w:t>:</w:t>
      </w:r>
    </w:p>
    <w:p w:rsidR="00FB0231" w:rsidRPr="00880DDC" w:rsidRDefault="00FB0231" w:rsidP="00FB0231">
      <w:pPr>
        <w:pStyle w:val="ParaNum"/>
        <w:numPr>
          <w:ilvl w:val="0"/>
          <w:numId w:val="0"/>
        </w:numPr>
        <w:ind w:left="720"/>
        <w:rPr>
          <w:szCs w:val="22"/>
        </w:rPr>
      </w:pPr>
      <w:r w:rsidRPr="00880DDC">
        <w:rPr>
          <w:szCs w:val="22"/>
        </w:rPr>
        <w:t xml:space="preserve">“We do not set interim milestones for the deployment of broadband speeds of 25/3 Mbps; we require carriers receiving model-based support to offer at least 25/3 Mbps broadband service </w:t>
      </w:r>
      <w:r w:rsidRPr="00880DDC">
        <w:rPr>
          <w:rStyle w:val="CommentReference"/>
          <w:sz w:val="22"/>
          <w:szCs w:val="22"/>
        </w:rPr>
        <w:t xml:space="preserve">to 25 percent, 50 percent or 75 percent of the requisite locations by the end of the 10-year term, depending upon the state-level density </w:t>
      </w:r>
      <w:r w:rsidRPr="00880DDC">
        <w:rPr>
          <w:szCs w:val="22"/>
        </w:rPr>
        <w:t>discussed above.”</w:t>
      </w:r>
    </w:p>
    <w:p w:rsidR="00FB0231" w:rsidRPr="00880DDC" w:rsidRDefault="00FB0231" w:rsidP="00FB0231">
      <w:pPr>
        <w:pStyle w:val="ParaNum"/>
        <w:tabs>
          <w:tab w:val="clear" w:pos="1440"/>
          <w:tab w:val="num" w:pos="720"/>
        </w:tabs>
        <w:ind w:firstLine="360"/>
        <w:rPr>
          <w:szCs w:val="22"/>
        </w:rPr>
      </w:pPr>
      <w:r>
        <w:rPr>
          <w:szCs w:val="22"/>
        </w:rPr>
        <w:t xml:space="preserve">In </w:t>
      </w:r>
      <w:r w:rsidRPr="00880DDC">
        <w:rPr>
          <w:szCs w:val="22"/>
        </w:rPr>
        <w:t xml:space="preserve">paragraph 36, </w:t>
      </w:r>
      <w:r>
        <w:rPr>
          <w:szCs w:val="22"/>
        </w:rPr>
        <w:t xml:space="preserve">in </w:t>
      </w:r>
      <w:r w:rsidRPr="00880DDC">
        <w:rPr>
          <w:szCs w:val="22"/>
        </w:rPr>
        <w:t>the first sentence</w:t>
      </w:r>
      <w:r>
        <w:rPr>
          <w:szCs w:val="22"/>
        </w:rPr>
        <w:t>,</w:t>
      </w:r>
      <w:r w:rsidRPr="00880DDC">
        <w:rPr>
          <w:szCs w:val="22"/>
        </w:rPr>
        <w:t xml:space="preserve"> </w:t>
      </w:r>
      <w:r>
        <w:rPr>
          <w:szCs w:val="22"/>
        </w:rPr>
        <w:t>replace</w:t>
      </w:r>
      <w:r w:rsidRPr="00880DDC">
        <w:rPr>
          <w:szCs w:val="22"/>
        </w:rPr>
        <w:t xml:space="preserve"> “version A-CAM” </w:t>
      </w:r>
      <w:r>
        <w:rPr>
          <w:szCs w:val="22"/>
        </w:rPr>
        <w:t>with</w:t>
      </w:r>
      <w:r w:rsidRPr="00880DDC">
        <w:rPr>
          <w:szCs w:val="22"/>
        </w:rPr>
        <w:t xml:space="preserve"> “version of A-CAM”.</w:t>
      </w:r>
    </w:p>
    <w:p w:rsidR="00FB0231" w:rsidRPr="00880DDC" w:rsidRDefault="00FB0231" w:rsidP="00FB0231">
      <w:pPr>
        <w:pStyle w:val="ParaNum"/>
        <w:tabs>
          <w:tab w:val="clear" w:pos="1440"/>
          <w:tab w:val="num" w:pos="720"/>
        </w:tabs>
        <w:ind w:firstLine="360"/>
        <w:rPr>
          <w:szCs w:val="22"/>
        </w:rPr>
      </w:pPr>
      <w:r>
        <w:rPr>
          <w:szCs w:val="22"/>
        </w:rPr>
        <w:t xml:space="preserve">In </w:t>
      </w:r>
      <w:r w:rsidRPr="00880DDC">
        <w:rPr>
          <w:szCs w:val="22"/>
        </w:rPr>
        <w:t xml:space="preserve">paragraph 37, </w:t>
      </w:r>
      <w:r>
        <w:rPr>
          <w:szCs w:val="22"/>
        </w:rPr>
        <w:t xml:space="preserve">in </w:t>
      </w:r>
      <w:r w:rsidRPr="00880DDC">
        <w:rPr>
          <w:szCs w:val="22"/>
        </w:rPr>
        <w:t>the third sentence</w:t>
      </w:r>
      <w:r>
        <w:rPr>
          <w:szCs w:val="22"/>
        </w:rPr>
        <w:t>, replace</w:t>
      </w:r>
      <w:r w:rsidRPr="00880DDC">
        <w:rPr>
          <w:szCs w:val="22"/>
        </w:rPr>
        <w:t xml:space="preserve"> “the” </w:t>
      </w:r>
      <w:r>
        <w:rPr>
          <w:szCs w:val="22"/>
        </w:rPr>
        <w:t>with</w:t>
      </w:r>
      <w:r w:rsidRPr="00880DDC">
        <w:rPr>
          <w:szCs w:val="22"/>
        </w:rPr>
        <w:t xml:space="preserve"> “an”.</w:t>
      </w:r>
    </w:p>
    <w:p w:rsidR="00FB0231" w:rsidRDefault="00FB0231" w:rsidP="00FB0231">
      <w:pPr>
        <w:pStyle w:val="ParaNum"/>
        <w:tabs>
          <w:tab w:val="clear" w:pos="1440"/>
          <w:tab w:val="num" w:pos="720"/>
        </w:tabs>
        <w:ind w:firstLine="360"/>
        <w:rPr>
          <w:szCs w:val="22"/>
        </w:rPr>
      </w:pPr>
      <w:r>
        <w:rPr>
          <w:szCs w:val="22"/>
        </w:rPr>
        <w:t xml:space="preserve">In </w:t>
      </w:r>
      <w:r w:rsidRPr="00880DDC">
        <w:rPr>
          <w:szCs w:val="22"/>
        </w:rPr>
        <w:t xml:space="preserve">paragraph 114, </w:t>
      </w:r>
      <w:r>
        <w:rPr>
          <w:szCs w:val="22"/>
        </w:rPr>
        <w:t xml:space="preserve">in </w:t>
      </w:r>
      <w:r w:rsidRPr="00880DDC">
        <w:rPr>
          <w:szCs w:val="22"/>
        </w:rPr>
        <w:t>the first sentence</w:t>
      </w:r>
      <w:r>
        <w:rPr>
          <w:szCs w:val="22"/>
        </w:rPr>
        <w:t>,</w:t>
      </w:r>
      <w:r w:rsidRPr="00880DDC">
        <w:rPr>
          <w:szCs w:val="22"/>
        </w:rPr>
        <w:t xml:space="preserve"> </w:t>
      </w:r>
      <w:r>
        <w:rPr>
          <w:szCs w:val="22"/>
        </w:rPr>
        <w:t>replace</w:t>
      </w:r>
      <w:r w:rsidRPr="00880DDC">
        <w:rPr>
          <w:szCs w:val="22"/>
        </w:rPr>
        <w:t xml:space="preserve"> “Within 30 days of the effective date of this Report and Order” </w:t>
      </w:r>
      <w:r>
        <w:rPr>
          <w:szCs w:val="22"/>
        </w:rPr>
        <w:t>with</w:t>
      </w:r>
      <w:r w:rsidRPr="00880DDC">
        <w:rPr>
          <w:szCs w:val="22"/>
        </w:rPr>
        <w:t xml:space="preserve"> “Within 30 days of the release of a Public Notice announcing that the Commission has obtained the appropriate Paperwork Reduction Act approval”.</w:t>
      </w:r>
    </w:p>
    <w:p w:rsidR="00FB0231" w:rsidRPr="00880DDC" w:rsidRDefault="00FB0231" w:rsidP="00FB0231">
      <w:pPr>
        <w:pStyle w:val="ParaNum"/>
        <w:keepNext/>
        <w:widowControl/>
        <w:tabs>
          <w:tab w:val="clear" w:pos="1440"/>
          <w:tab w:val="num" w:pos="720"/>
        </w:tabs>
        <w:ind w:firstLine="360"/>
        <w:rPr>
          <w:szCs w:val="22"/>
        </w:rPr>
      </w:pPr>
      <w:r>
        <w:rPr>
          <w:szCs w:val="22"/>
        </w:rPr>
        <w:t>I</w:t>
      </w:r>
      <w:r w:rsidRPr="00880DDC">
        <w:rPr>
          <w:szCs w:val="22"/>
        </w:rPr>
        <w:t>n paragraph 142, the chart is corrected as follows:</w:t>
      </w:r>
    </w:p>
    <w:tbl>
      <w:tblPr>
        <w:tblW w:w="0" w:type="auto"/>
        <w:jc w:val="center"/>
        <w:tblLook w:val="04A0" w:firstRow="1" w:lastRow="0" w:firstColumn="1" w:lastColumn="0" w:noHBand="0" w:noVBand="1"/>
      </w:tblPr>
      <w:tblGrid>
        <w:gridCol w:w="1616"/>
        <w:gridCol w:w="1617"/>
      </w:tblGrid>
      <w:tr w:rsidR="00FB0231" w:rsidTr="00765240">
        <w:trPr>
          <w:trHeight w:val="547"/>
          <w:jc w:val="center"/>
        </w:trPr>
        <w:tc>
          <w:tcPr>
            <w:tcW w:w="1616" w:type="dxa"/>
            <w:shd w:val="clear" w:color="auto" w:fill="auto"/>
          </w:tcPr>
          <w:p w:rsidR="00FB0231" w:rsidRPr="00C93E3A" w:rsidRDefault="00FB0231" w:rsidP="00FB0231">
            <w:pPr>
              <w:pStyle w:val="ParaNum"/>
              <w:numPr>
                <w:ilvl w:val="0"/>
                <w:numId w:val="0"/>
              </w:numPr>
              <w:tabs>
                <w:tab w:val="left" w:pos="720"/>
              </w:tabs>
              <w:spacing w:after="0"/>
              <w:jc w:val="center"/>
              <w:rPr>
                <w:b/>
              </w:rPr>
            </w:pPr>
            <w:r w:rsidRPr="00C93E3A">
              <w:rPr>
                <w:b/>
              </w:rPr>
              <w:t>Competitive Ratio</w:t>
            </w:r>
          </w:p>
        </w:tc>
        <w:tc>
          <w:tcPr>
            <w:tcW w:w="1617" w:type="dxa"/>
            <w:shd w:val="clear" w:color="auto" w:fill="auto"/>
          </w:tcPr>
          <w:p w:rsidR="00FB0231" w:rsidRPr="00C93E3A" w:rsidRDefault="00FB0231" w:rsidP="00FB0231">
            <w:pPr>
              <w:pStyle w:val="ParaNum"/>
              <w:numPr>
                <w:ilvl w:val="0"/>
                <w:numId w:val="0"/>
              </w:numPr>
              <w:tabs>
                <w:tab w:val="left" w:pos="720"/>
              </w:tabs>
              <w:spacing w:after="0"/>
              <w:jc w:val="center"/>
              <w:rPr>
                <w:b/>
              </w:rPr>
            </w:pPr>
            <w:r w:rsidRPr="00C93E3A">
              <w:rPr>
                <w:b/>
              </w:rPr>
              <w:t>Reduction Ratio</w:t>
            </w:r>
          </w:p>
        </w:tc>
      </w:tr>
      <w:tr w:rsidR="00FB0231" w:rsidTr="00765240">
        <w:trPr>
          <w:trHeight w:val="210"/>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0%-20%</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N/A</w:t>
            </w:r>
          </w:p>
        </w:tc>
      </w:tr>
      <w:tr w:rsidR="00FB0231" w:rsidTr="00765240">
        <w:trPr>
          <w:trHeight w:val="312"/>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25%</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3.3%</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30%</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6.7%</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35%</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10.0%</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40%</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13.3%</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45%</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16.7%</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lastRenderedPageBreak/>
              <w:t>50%</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20.0%</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55%</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25.0%</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60%</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30.0%</w:t>
            </w:r>
          </w:p>
        </w:tc>
      </w:tr>
      <w:tr w:rsidR="00FB0231" w:rsidTr="00765240">
        <w:trPr>
          <w:trHeight w:val="312"/>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65%</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35.0%</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70%</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40.0%</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75%</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45.0%</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80%</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50.0%</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85%</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62.5%</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90%</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75%</w:t>
            </w:r>
          </w:p>
        </w:tc>
      </w:tr>
      <w:tr w:rsidR="00FB0231" w:rsidTr="00765240">
        <w:trPr>
          <w:trHeight w:val="325"/>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95%</w:t>
            </w:r>
          </w:p>
        </w:tc>
        <w:tc>
          <w:tcPr>
            <w:tcW w:w="1617" w:type="dxa"/>
            <w:shd w:val="clear" w:color="auto" w:fill="auto"/>
          </w:tcPr>
          <w:p w:rsidR="00FB0231" w:rsidRDefault="00FB0231" w:rsidP="00FB0231">
            <w:pPr>
              <w:pStyle w:val="ParaNum"/>
              <w:numPr>
                <w:ilvl w:val="0"/>
                <w:numId w:val="0"/>
              </w:numPr>
              <w:tabs>
                <w:tab w:val="left" w:pos="720"/>
              </w:tabs>
              <w:spacing w:after="0"/>
              <w:jc w:val="center"/>
            </w:pPr>
            <w:r>
              <w:t>87.5%</w:t>
            </w:r>
          </w:p>
        </w:tc>
      </w:tr>
      <w:tr w:rsidR="00FB0231" w:rsidTr="00765240">
        <w:trPr>
          <w:trHeight w:val="312"/>
          <w:jc w:val="center"/>
        </w:trPr>
        <w:tc>
          <w:tcPr>
            <w:tcW w:w="1616" w:type="dxa"/>
            <w:shd w:val="clear" w:color="auto" w:fill="auto"/>
          </w:tcPr>
          <w:p w:rsidR="00FB0231" w:rsidRDefault="00FB0231" w:rsidP="00FB0231">
            <w:pPr>
              <w:pStyle w:val="ParaNum"/>
              <w:numPr>
                <w:ilvl w:val="0"/>
                <w:numId w:val="0"/>
              </w:numPr>
              <w:tabs>
                <w:tab w:val="left" w:pos="720"/>
              </w:tabs>
              <w:spacing w:after="0"/>
              <w:jc w:val="center"/>
            </w:pPr>
            <w:r>
              <w:t>100%</w:t>
            </w:r>
          </w:p>
        </w:tc>
        <w:tc>
          <w:tcPr>
            <w:tcW w:w="1617" w:type="dxa"/>
            <w:shd w:val="clear" w:color="auto" w:fill="auto"/>
          </w:tcPr>
          <w:p w:rsidR="00FB0231" w:rsidRDefault="00FB0231" w:rsidP="00FB0231">
            <w:pPr>
              <w:pStyle w:val="ParaNum"/>
              <w:numPr>
                <w:ilvl w:val="0"/>
                <w:numId w:val="0"/>
              </w:numPr>
              <w:tabs>
                <w:tab w:val="left" w:pos="720"/>
              </w:tabs>
              <w:jc w:val="center"/>
            </w:pPr>
            <w:r>
              <w:t>100%</w:t>
            </w:r>
          </w:p>
        </w:tc>
      </w:tr>
    </w:tbl>
    <w:p w:rsidR="00FB0231" w:rsidRDefault="00FB0231" w:rsidP="00FB0231">
      <w:pPr>
        <w:pStyle w:val="ParaNum"/>
        <w:tabs>
          <w:tab w:val="clear" w:pos="1440"/>
          <w:tab w:val="num" w:pos="720"/>
        </w:tabs>
        <w:ind w:firstLine="360"/>
      </w:pPr>
      <w:r>
        <w:t>In footnote 373, replace “within 60 days of the effective date of this Order” with “</w:t>
      </w:r>
      <w:r w:rsidRPr="00C209F1">
        <w:t>within 60 days of the release of a Public Notice announcing that the Commission has obtained the appropriate P</w:t>
      </w:r>
      <w:r>
        <w:t>aperwork Reduction Act approval”.</w:t>
      </w:r>
    </w:p>
    <w:p w:rsidR="00FB0231" w:rsidRDefault="00FB0231" w:rsidP="00FB0231">
      <w:pPr>
        <w:pStyle w:val="ParaNum"/>
        <w:tabs>
          <w:tab w:val="clear" w:pos="1440"/>
          <w:tab w:val="num" w:pos="720"/>
        </w:tabs>
        <w:ind w:firstLine="360"/>
      </w:pPr>
      <w:r>
        <w:t xml:space="preserve">In paragraph 171, in the third sentence, replace “specific five-year” with “specific amount of”.  </w:t>
      </w:r>
    </w:p>
    <w:p w:rsidR="00FB0231" w:rsidRDefault="00FB0231" w:rsidP="00FB0231">
      <w:pPr>
        <w:pStyle w:val="ParaNum"/>
        <w:tabs>
          <w:tab w:val="clear" w:pos="1440"/>
          <w:tab w:val="num" w:pos="720"/>
        </w:tabs>
        <w:ind w:firstLine="360"/>
      </w:pPr>
      <w:r>
        <w:t>In paragraph 181, in the third sentence, replace “</w:t>
      </w:r>
      <w:r w:rsidRPr="000A09E4">
        <w:t>$647.42</w:t>
      </w:r>
      <w:r>
        <w:t xml:space="preserve">” </w:t>
      </w:r>
      <w:r w:rsidR="00A8446B">
        <w:t>with</w:t>
      </w:r>
      <w:r>
        <w:t xml:space="preserve"> “$647.87”; </w:t>
      </w:r>
      <w:r w:rsidR="00A8446B">
        <w:t>replace</w:t>
      </w:r>
      <w:r>
        <w:t xml:space="preserve"> “$744.53” </w:t>
      </w:r>
      <w:r w:rsidR="00A8446B">
        <w:t>with</w:t>
      </w:r>
      <w:r>
        <w:t xml:space="preserve"> “$745.06”; and </w:t>
      </w:r>
      <w:r w:rsidR="00A8446B">
        <w:t>replace</w:t>
      </w:r>
      <w:r>
        <w:t xml:space="preserve"> “$62.04” </w:t>
      </w:r>
      <w:r w:rsidR="00A8446B">
        <w:t>with</w:t>
      </w:r>
      <w:r>
        <w:t xml:space="preserve"> “$62.09”.</w:t>
      </w:r>
    </w:p>
    <w:p w:rsidR="00880DDC" w:rsidRDefault="00FB0231" w:rsidP="00FB0231">
      <w:pPr>
        <w:pStyle w:val="ParaNum"/>
        <w:tabs>
          <w:tab w:val="clear" w:pos="1440"/>
          <w:tab w:val="num" w:pos="720"/>
        </w:tabs>
        <w:spacing w:after="240"/>
        <w:ind w:firstLine="360"/>
      </w:pPr>
      <w:r>
        <w:t>In footnote 501, replace “36.621(a)(1)” with “54.1308(a)(1)”.</w:t>
      </w:r>
    </w:p>
    <w:p w:rsidR="00880DDC" w:rsidRDefault="00880DDC" w:rsidP="00FB0231">
      <w:pPr>
        <w:pStyle w:val="Paratitle"/>
        <w:ind w:firstLine="720"/>
      </w:pPr>
      <w:r>
        <w:t xml:space="preserve">This Erratum also amends </w:t>
      </w:r>
      <w:r w:rsidRPr="00FB0231">
        <w:rPr>
          <w:b/>
        </w:rPr>
        <w:t>APPENDIX B</w:t>
      </w:r>
      <w:r>
        <w:t xml:space="preserve"> of the </w:t>
      </w:r>
      <w:r>
        <w:rPr>
          <w:i/>
        </w:rPr>
        <w:t xml:space="preserve">Rate-of-Return Reform Order and FNPRM </w:t>
      </w:r>
      <w:r>
        <w:t>as indicated below:</w:t>
      </w:r>
    </w:p>
    <w:p w:rsidR="00880DDC" w:rsidRDefault="0029514C" w:rsidP="00FB0231">
      <w:pPr>
        <w:pStyle w:val="ParaNum"/>
        <w:tabs>
          <w:tab w:val="clear" w:pos="1440"/>
          <w:tab w:val="num" w:pos="720"/>
        </w:tabs>
        <w:ind w:firstLine="360"/>
      </w:pPr>
      <w:r>
        <w:t>Paragraph (1)</w:t>
      </w:r>
      <w:r w:rsidR="00A8446B">
        <w:t xml:space="preserve"> of</w:t>
      </w:r>
      <w:r>
        <w:t xml:space="preserve"> </w:t>
      </w:r>
      <w:r w:rsidR="00880DDC">
        <w:t>Section 54.303(a)</w:t>
      </w:r>
      <w:r w:rsidR="00FB0231">
        <w:t xml:space="preserve">, </w:t>
      </w:r>
      <w:r w:rsidR="00880DDC">
        <w:t>is corrected</w:t>
      </w:r>
      <w:r w:rsidR="00C93E3A">
        <w:t xml:space="preserve"> as follows</w:t>
      </w:r>
      <w:r w:rsidR="00880DDC">
        <w:t>:</w:t>
      </w:r>
    </w:p>
    <w:p w:rsidR="00C93E3A" w:rsidRDefault="00C93E3A" w:rsidP="00FB0231">
      <w:pPr>
        <w:pStyle w:val="ParaNum"/>
        <w:numPr>
          <w:ilvl w:val="0"/>
          <w:numId w:val="10"/>
        </w:numPr>
        <w:ind w:left="1440"/>
      </w:pPr>
      <w:r>
        <w:t>D</w:t>
      </w:r>
      <w:r w:rsidR="00880DDC">
        <w:t xml:space="preserve">elete “plus one standard deviation” </w:t>
      </w:r>
    </w:p>
    <w:p w:rsidR="00C93E3A" w:rsidRDefault="00C93E3A" w:rsidP="00FB0231">
      <w:pPr>
        <w:pStyle w:val="ParaNum"/>
        <w:numPr>
          <w:ilvl w:val="0"/>
          <w:numId w:val="10"/>
        </w:numPr>
        <w:ind w:left="1440"/>
      </w:pPr>
      <w:r>
        <w:t>A</w:t>
      </w:r>
      <w:r w:rsidR="00880DDC">
        <w:t>dd the following directly below “follows:” “</w:t>
      </w:r>
      <w:r w:rsidR="00880DDC" w:rsidRPr="00921796">
        <w:t>Cal</w:t>
      </w:r>
      <w:r w:rsidR="00880DDC">
        <w:t>culate Exp(</w:t>
      </w:r>
      <w:r w:rsidR="00880DDC" w:rsidRPr="00C93E3A">
        <w:rPr>
          <w:position w:val="-2"/>
        </w:rPr>
        <w:t>Ŷ</w:t>
      </w:r>
      <w:r w:rsidR="00880DDC" w:rsidRPr="00C93E3A">
        <w:rPr>
          <w:position w:val="-6"/>
        </w:rPr>
        <w:t xml:space="preserve"> </w:t>
      </w:r>
      <w:r w:rsidR="00880DDC" w:rsidRPr="00921796">
        <w:t>+ 1.5 * mean s</w:t>
      </w:r>
      <w:r w:rsidR="00880DDC">
        <w:t xml:space="preserve">quare error of the regression), </w:t>
      </w:r>
      <w:r w:rsidR="00880DDC" w:rsidRPr="00921796">
        <w:t>where</w:t>
      </w:r>
      <w:r>
        <w:t>”</w:t>
      </w:r>
      <w:r w:rsidR="00880DDC" w:rsidRPr="00921796">
        <w:t xml:space="preserve"> </w:t>
      </w:r>
    </w:p>
    <w:p w:rsidR="00C93E3A" w:rsidRDefault="00C93E3A" w:rsidP="00FB0231">
      <w:pPr>
        <w:pStyle w:val="ParaNum"/>
        <w:numPr>
          <w:ilvl w:val="0"/>
          <w:numId w:val="10"/>
        </w:numPr>
        <w:ind w:left="1440"/>
      </w:pPr>
      <w:r>
        <w:t>C</w:t>
      </w:r>
      <w:r w:rsidR="00880DDC">
        <w:t>hange “</w:t>
      </w:r>
      <w:r w:rsidR="00880DDC" w:rsidRPr="003C469A">
        <w:t>Y = α + β</w:t>
      </w:r>
      <w:r w:rsidR="00880DDC" w:rsidRPr="00C93E3A">
        <w:rPr>
          <w:vertAlign w:val="subscript"/>
        </w:rPr>
        <w:t>1</w:t>
      </w:r>
      <w:r w:rsidR="00880DDC" w:rsidRPr="003C469A">
        <w:t>X</w:t>
      </w:r>
      <w:r w:rsidR="00880DDC" w:rsidRPr="00C93E3A">
        <w:rPr>
          <w:vertAlign w:val="subscript"/>
        </w:rPr>
        <w:t>1</w:t>
      </w:r>
      <w:r w:rsidR="00880DDC" w:rsidRPr="003C469A">
        <w:t xml:space="preserve"> + β</w:t>
      </w:r>
      <w:r w:rsidR="00880DDC" w:rsidRPr="00C93E3A">
        <w:rPr>
          <w:vertAlign w:val="subscript"/>
        </w:rPr>
        <w:t>2</w:t>
      </w:r>
      <w:r w:rsidR="00880DDC" w:rsidRPr="003C469A">
        <w:t>X</w:t>
      </w:r>
      <w:r w:rsidR="00880DDC" w:rsidRPr="00C93E3A">
        <w:rPr>
          <w:vertAlign w:val="subscript"/>
        </w:rPr>
        <w:t>2</w:t>
      </w:r>
      <w:r w:rsidR="00880DDC" w:rsidRPr="003C469A">
        <w:t xml:space="preserve"> + β</w:t>
      </w:r>
      <w:r w:rsidR="00880DDC" w:rsidRPr="00C93E3A">
        <w:rPr>
          <w:vertAlign w:val="subscript"/>
        </w:rPr>
        <w:t>3</w:t>
      </w:r>
      <w:r w:rsidR="00880DDC" w:rsidRPr="003C469A">
        <w:t>X</w:t>
      </w:r>
      <w:r w:rsidR="00880DDC" w:rsidRPr="00C93E3A">
        <w:rPr>
          <w:vertAlign w:val="subscript"/>
        </w:rPr>
        <w:t>3</w:t>
      </w:r>
      <w:r w:rsidR="00880DDC" w:rsidRPr="003C469A">
        <w:t>, where</w:t>
      </w:r>
      <w:r w:rsidR="00880DDC">
        <w:t>” to “</w:t>
      </w:r>
      <w:r w:rsidR="00880DDC" w:rsidRPr="00921796">
        <w:t>Ŷ =</w:t>
      </w:r>
      <w:r w:rsidR="00880DDC">
        <w:t xml:space="preserve"> </w:t>
      </w:r>
      <w:r w:rsidR="00880DDC">
        <w:fldChar w:fldCharType="begin"/>
      </w:r>
      <w:r w:rsidR="00880DDC">
        <w:instrText xml:space="preserve"> EQ \O(α,ˆ) </w:instrText>
      </w:r>
      <w:r w:rsidR="00880DDC">
        <w:fldChar w:fldCharType="end"/>
      </w:r>
      <w:r w:rsidR="00880DDC">
        <w:t xml:space="preserve">+ </w:t>
      </w:r>
      <w:r w:rsidR="00880DDC" w:rsidRPr="00C93E3A">
        <w:rPr>
          <w:spacing w:val="-20"/>
        </w:rPr>
        <w:fldChar w:fldCharType="begin"/>
      </w:r>
      <w:r w:rsidR="00880DDC" w:rsidRPr="00C93E3A">
        <w:rPr>
          <w:spacing w:val="-20"/>
        </w:rPr>
        <w:instrText xml:space="preserve"> EQ \O(β,</w:instrText>
      </w:r>
      <w:r w:rsidR="00880DDC" w:rsidRPr="00C93E3A">
        <w:rPr>
          <w:spacing w:val="-20"/>
          <w:position w:val="6"/>
        </w:rPr>
        <w:instrText>ˆ</w:instrText>
      </w:r>
      <w:r w:rsidR="00880DDC" w:rsidRPr="00C93E3A">
        <w:rPr>
          <w:spacing w:val="-20"/>
        </w:rPr>
        <w:instrText xml:space="preserve">) </w:instrText>
      </w:r>
      <w:r w:rsidR="00880DDC" w:rsidRPr="00C93E3A">
        <w:rPr>
          <w:spacing w:val="-20"/>
        </w:rPr>
        <w:fldChar w:fldCharType="end"/>
      </w:r>
      <w:r w:rsidR="00880DDC" w:rsidRPr="00C93E3A">
        <w:rPr>
          <w:spacing w:val="-20"/>
          <w:vertAlign w:val="subscript"/>
        </w:rPr>
        <w:t>1</w:t>
      </w:r>
      <w:r w:rsidR="00880DDC" w:rsidRPr="00C93E3A">
        <w:rPr>
          <w:vertAlign w:val="subscript"/>
        </w:rPr>
        <w:t xml:space="preserve"> </w:t>
      </w:r>
      <w:r w:rsidR="00880DDC" w:rsidRPr="00391829">
        <w:t>X</w:t>
      </w:r>
      <w:r w:rsidR="00880DDC" w:rsidRPr="00C93E3A">
        <w:rPr>
          <w:vertAlign w:val="subscript"/>
        </w:rPr>
        <w:t xml:space="preserve">1 </w:t>
      </w:r>
      <w:r w:rsidR="00880DDC" w:rsidRPr="00391829">
        <w:t xml:space="preserve">+ </w:t>
      </w:r>
      <w:r w:rsidR="00880DDC" w:rsidRPr="00C93E3A">
        <w:rPr>
          <w:spacing w:val="-20"/>
        </w:rPr>
        <w:fldChar w:fldCharType="begin"/>
      </w:r>
      <w:r w:rsidR="00880DDC" w:rsidRPr="00C93E3A">
        <w:rPr>
          <w:spacing w:val="-20"/>
        </w:rPr>
        <w:instrText xml:space="preserve"> EQ \O(β,</w:instrText>
      </w:r>
      <w:r w:rsidR="00880DDC" w:rsidRPr="00C93E3A">
        <w:rPr>
          <w:spacing w:val="-20"/>
          <w:position w:val="6"/>
        </w:rPr>
        <w:instrText>ˆ</w:instrText>
      </w:r>
      <w:r w:rsidR="00880DDC" w:rsidRPr="00C93E3A">
        <w:rPr>
          <w:spacing w:val="-20"/>
        </w:rPr>
        <w:instrText xml:space="preserve">) </w:instrText>
      </w:r>
      <w:r w:rsidR="00880DDC" w:rsidRPr="00C93E3A">
        <w:rPr>
          <w:spacing w:val="-20"/>
        </w:rPr>
        <w:fldChar w:fldCharType="end"/>
      </w:r>
      <w:r w:rsidR="00880DDC" w:rsidRPr="00C93E3A">
        <w:rPr>
          <w:spacing w:val="-20"/>
          <w:vertAlign w:val="subscript"/>
        </w:rPr>
        <w:t xml:space="preserve">2 </w:t>
      </w:r>
      <w:r w:rsidR="00880DDC" w:rsidRPr="00391829">
        <w:t>X</w:t>
      </w:r>
      <w:r w:rsidR="00880DDC" w:rsidRPr="00C93E3A">
        <w:rPr>
          <w:vertAlign w:val="subscript"/>
        </w:rPr>
        <w:t xml:space="preserve">2 </w:t>
      </w:r>
      <w:r w:rsidR="00880DDC" w:rsidRPr="00391829">
        <w:t>+</w:t>
      </w:r>
      <w:r w:rsidR="00880DDC">
        <w:t xml:space="preserve"> </w:t>
      </w:r>
      <w:r w:rsidR="00880DDC" w:rsidRPr="00C93E3A">
        <w:rPr>
          <w:spacing w:val="-20"/>
        </w:rPr>
        <w:fldChar w:fldCharType="begin"/>
      </w:r>
      <w:r w:rsidR="00880DDC" w:rsidRPr="00C93E3A">
        <w:rPr>
          <w:spacing w:val="-20"/>
        </w:rPr>
        <w:instrText xml:space="preserve"> EQ \O(β,</w:instrText>
      </w:r>
      <w:r w:rsidR="00880DDC" w:rsidRPr="00C93E3A">
        <w:rPr>
          <w:spacing w:val="-20"/>
          <w:position w:val="6"/>
        </w:rPr>
        <w:instrText>ˆ</w:instrText>
      </w:r>
      <w:r w:rsidR="00880DDC" w:rsidRPr="00C93E3A">
        <w:rPr>
          <w:spacing w:val="-20"/>
        </w:rPr>
        <w:instrText xml:space="preserve">) </w:instrText>
      </w:r>
      <w:r w:rsidR="00880DDC" w:rsidRPr="00C93E3A">
        <w:rPr>
          <w:spacing w:val="-20"/>
        </w:rPr>
        <w:fldChar w:fldCharType="end"/>
      </w:r>
      <w:r w:rsidR="00880DDC" w:rsidRPr="00C93E3A">
        <w:rPr>
          <w:spacing w:val="-20"/>
          <w:vertAlign w:val="subscript"/>
        </w:rPr>
        <w:t>3</w:t>
      </w:r>
      <w:r w:rsidR="00880DDC" w:rsidRPr="00C93E3A">
        <w:rPr>
          <w:vertAlign w:val="subscript"/>
        </w:rPr>
        <w:t xml:space="preserve"> </w:t>
      </w:r>
      <w:r w:rsidR="00880DDC" w:rsidRPr="00391829">
        <w:t>X</w:t>
      </w:r>
      <w:r w:rsidR="00880DDC" w:rsidRPr="00C93E3A">
        <w:rPr>
          <w:vertAlign w:val="subscript"/>
        </w:rPr>
        <w:t>3</w:t>
      </w:r>
      <w:r w:rsidR="00880DDC" w:rsidRPr="00036DE8">
        <w:t>,</w:t>
      </w:r>
      <w:r w:rsidR="00880DDC" w:rsidRPr="00894395">
        <w:t>”</w:t>
      </w:r>
    </w:p>
    <w:p w:rsidR="00C93E3A" w:rsidRDefault="00C93E3A" w:rsidP="00FB0231">
      <w:pPr>
        <w:pStyle w:val="ParaNum"/>
        <w:numPr>
          <w:ilvl w:val="0"/>
          <w:numId w:val="10"/>
        </w:numPr>
        <w:ind w:left="1440"/>
      </w:pPr>
      <w:r>
        <w:t>D</w:t>
      </w:r>
      <w:r w:rsidR="00880DDC" w:rsidRPr="006767B5">
        <w:t>elete “Y = is the natural log of the total operating cost per housing unit”</w:t>
      </w:r>
    </w:p>
    <w:p w:rsidR="00C93E3A" w:rsidRDefault="00C93E3A" w:rsidP="00FB0231">
      <w:pPr>
        <w:pStyle w:val="ParaNum"/>
        <w:numPr>
          <w:ilvl w:val="0"/>
          <w:numId w:val="10"/>
        </w:numPr>
        <w:ind w:left="1440"/>
      </w:pPr>
      <w:r>
        <w:t>A</w:t>
      </w:r>
      <w:r w:rsidR="00880DDC" w:rsidRPr="006767B5">
        <w:t>dd “</w:t>
      </w:r>
      <w:r w:rsidR="00880DDC" w:rsidRPr="006767B5">
        <w:fldChar w:fldCharType="begin"/>
      </w:r>
      <w:r w:rsidR="00880DDC" w:rsidRPr="006767B5">
        <w:instrText xml:space="preserve"> EQ \O(α,ˆ) </w:instrText>
      </w:r>
      <w:r w:rsidR="00880DDC" w:rsidRPr="006767B5">
        <w:fldChar w:fldCharType="end"/>
      </w:r>
      <w:r w:rsidR="00880DDC" w:rsidRPr="006767B5">
        <w:t>,</w:t>
      </w:r>
      <w:r w:rsidR="00880DDC">
        <w:t xml:space="preserve"> </w:t>
      </w:r>
      <w:r w:rsidR="00880DDC" w:rsidRPr="00C93E3A">
        <w:rPr>
          <w:spacing w:val="-20"/>
        </w:rPr>
        <w:fldChar w:fldCharType="begin"/>
      </w:r>
      <w:r w:rsidR="00880DDC" w:rsidRPr="00C93E3A">
        <w:rPr>
          <w:spacing w:val="-20"/>
        </w:rPr>
        <w:instrText xml:space="preserve"> EQ \O(β,</w:instrText>
      </w:r>
      <w:r w:rsidR="00880DDC" w:rsidRPr="00C93E3A">
        <w:rPr>
          <w:spacing w:val="-20"/>
          <w:position w:val="6"/>
        </w:rPr>
        <w:instrText>ˆ</w:instrText>
      </w:r>
      <w:r w:rsidR="00880DDC" w:rsidRPr="00C93E3A">
        <w:rPr>
          <w:spacing w:val="-20"/>
        </w:rPr>
        <w:instrText xml:space="preserve">) </w:instrText>
      </w:r>
      <w:r w:rsidR="00880DDC" w:rsidRPr="00C93E3A">
        <w:rPr>
          <w:spacing w:val="-20"/>
        </w:rPr>
        <w:fldChar w:fldCharType="end"/>
      </w:r>
      <w:r w:rsidR="00880DDC" w:rsidRPr="00C93E3A">
        <w:rPr>
          <w:spacing w:val="-20"/>
          <w:vertAlign w:val="subscript"/>
        </w:rPr>
        <w:t xml:space="preserve">1 </w:t>
      </w:r>
      <w:r w:rsidR="00880DDC">
        <w:t xml:space="preserve">, </w:t>
      </w:r>
      <w:r w:rsidR="00880DDC" w:rsidRPr="00C93E3A">
        <w:rPr>
          <w:spacing w:val="-20"/>
        </w:rPr>
        <w:fldChar w:fldCharType="begin"/>
      </w:r>
      <w:r w:rsidR="00880DDC" w:rsidRPr="00C93E3A">
        <w:rPr>
          <w:spacing w:val="-20"/>
        </w:rPr>
        <w:instrText xml:space="preserve"> EQ \O(β,</w:instrText>
      </w:r>
      <w:r w:rsidR="00880DDC" w:rsidRPr="00C93E3A">
        <w:rPr>
          <w:spacing w:val="-20"/>
          <w:position w:val="6"/>
        </w:rPr>
        <w:instrText>ˆ</w:instrText>
      </w:r>
      <w:r w:rsidR="00880DDC" w:rsidRPr="00C93E3A">
        <w:rPr>
          <w:spacing w:val="-20"/>
        </w:rPr>
        <w:instrText xml:space="preserve">) </w:instrText>
      </w:r>
      <w:r w:rsidR="00880DDC" w:rsidRPr="00C93E3A">
        <w:rPr>
          <w:spacing w:val="-20"/>
        </w:rPr>
        <w:fldChar w:fldCharType="end"/>
      </w:r>
      <w:r w:rsidR="00880DDC" w:rsidRPr="00C93E3A">
        <w:rPr>
          <w:spacing w:val="-20"/>
          <w:vertAlign w:val="subscript"/>
        </w:rPr>
        <w:t xml:space="preserve">2  </w:t>
      </w:r>
      <w:r w:rsidR="00880DDC">
        <w:t xml:space="preserve">, </w:t>
      </w:r>
      <w:r w:rsidR="00880DDC" w:rsidRPr="00E16B5E">
        <w:t>and</w:t>
      </w:r>
      <w:r w:rsidR="00880DDC" w:rsidRPr="00C93E3A">
        <w:rPr>
          <w:vertAlign w:val="subscript"/>
        </w:rPr>
        <w:t xml:space="preserve"> </w:t>
      </w:r>
      <w:r w:rsidR="00880DDC" w:rsidRPr="00C93E3A">
        <w:rPr>
          <w:spacing w:val="-20"/>
        </w:rPr>
        <w:fldChar w:fldCharType="begin"/>
      </w:r>
      <w:r w:rsidR="00880DDC" w:rsidRPr="00C93E3A">
        <w:rPr>
          <w:spacing w:val="-20"/>
        </w:rPr>
        <w:instrText xml:space="preserve"> EQ \O(β,</w:instrText>
      </w:r>
      <w:r w:rsidR="00880DDC" w:rsidRPr="00C93E3A">
        <w:rPr>
          <w:spacing w:val="-20"/>
          <w:position w:val="6"/>
        </w:rPr>
        <w:instrText>ˆ</w:instrText>
      </w:r>
      <w:r w:rsidR="00880DDC" w:rsidRPr="00C93E3A">
        <w:rPr>
          <w:spacing w:val="-20"/>
        </w:rPr>
        <w:instrText xml:space="preserve">) </w:instrText>
      </w:r>
      <w:r w:rsidR="00880DDC" w:rsidRPr="00C93E3A">
        <w:rPr>
          <w:spacing w:val="-20"/>
        </w:rPr>
        <w:fldChar w:fldCharType="end"/>
      </w:r>
      <w:r w:rsidR="00880DDC" w:rsidRPr="00C93E3A">
        <w:rPr>
          <w:spacing w:val="-20"/>
          <w:vertAlign w:val="subscript"/>
        </w:rPr>
        <w:t>3</w:t>
      </w:r>
      <w:r w:rsidR="00880DDC" w:rsidRPr="00C93E3A">
        <w:rPr>
          <w:spacing w:val="-20"/>
        </w:rPr>
        <w:t xml:space="preserve">  </w:t>
      </w:r>
      <w:r w:rsidR="00880DDC" w:rsidRPr="00C93E3A">
        <w:t>are the coefficients from the regression</w:t>
      </w:r>
      <w:r w:rsidR="00880DDC">
        <w:t xml:space="preserve">”  </w:t>
      </w:r>
    </w:p>
    <w:p w:rsidR="00C93E3A" w:rsidRDefault="00C93E3A" w:rsidP="00FB0231">
      <w:pPr>
        <w:pStyle w:val="ParaNum"/>
        <w:numPr>
          <w:ilvl w:val="0"/>
          <w:numId w:val="10"/>
        </w:numPr>
        <w:ind w:left="1440"/>
      </w:pPr>
      <w:r>
        <w:t>D</w:t>
      </w:r>
      <w:r w:rsidR="00880DDC">
        <w:t>elete “</w:t>
      </w:r>
      <w:r w:rsidR="00880DDC" w:rsidRPr="00894395">
        <w:t>α is the coefficient on the constant</w:t>
      </w:r>
      <w:r>
        <w:t>”</w:t>
      </w:r>
    </w:p>
    <w:p w:rsidR="00880DDC" w:rsidRDefault="00C93E3A" w:rsidP="00FB0231">
      <w:pPr>
        <w:pStyle w:val="ParaNum"/>
        <w:numPr>
          <w:ilvl w:val="0"/>
          <w:numId w:val="10"/>
        </w:numPr>
        <w:spacing w:after="240"/>
        <w:ind w:left="1440"/>
      </w:pPr>
      <w:r>
        <w:t>D</w:t>
      </w:r>
      <w:r w:rsidR="00880DDC">
        <w:t>elete “</w:t>
      </w:r>
      <w:r w:rsidR="00880DDC" w:rsidRPr="00894395">
        <w:t>β is the regression coeffici</w:t>
      </w:r>
      <w:r>
        <w:t>ent for each of the regressions”</w:t>
      </w:r>
    </w:p>
    <w:p w:rsidR="00880DDC" w:rsidRDefault="0029514C" w:rsidP="00FB0231">
      <w:pPr>
        <w:pStyle w:val="ParaNum"/>
        <w:tabs>
          <w:tab w:val="clear" w:pos="1440"/>
          <w:tab w:val="num" w:pos="720"/>
        </w:tabs>
        <w:ind w:firstLine="360"/>
      </w:pPr>
      <w:r>
        <w:t>In paragraph (2)</w:t>
      </w:r>
      <w:r w:rsidR="0047375C">
        <w:t xml:space="preserve"> </w:t>
      </w:r>
      <w:r w:rsidR="00A8446B">
        <w:t>of</w:t>
      </w:r>
      <w:r>
        <w:t xml:space="preserve"> </w:t>
      </w:r>
      <w:r w:rsidR="00880DDC">
        <w:t>Section 54.303(c)</w:t>
      </w:r>
      <w:r w:rsidR="00FB0231">
        <w:t>, replace</w:t>
      </w:r>
      <w:r w:rsidR="00880DDC">
        <w:t xml:space="preserve"> “(b)(1)” </w:t>
      </w:r>
      <w:r w:rsidR="00FB0231">
        <w:t>with</w:t>
      </w:r>
      <w:r w:rsidR="00880DDC">
        <w:t xml:space="preserve"> “(c)(1)”.</w:t>
      </w:r>
    </w:p>
    <w:p w:rsidR="00880DDC" w:rsidRDefault="0029514C" w:rsidP="00FB0231">
      <w:pPr>
        <w:pStyle w:val="ParaNum"/>
        <w:tabs>
          <w:tab w:val="clear" w:pos="1440"/>
          <w:tab w:val="num" w:pos="720"/>
        </w:tabs>
        <w:ind w:firstLine="360"/>
      </w:pPr>
      <w:r>
        <w:t xml:space="preserve">In paragraph (e) of </w:t>
      </w:r>
      <w:r w:rsidR="00880DDC">
        <w:t xml:space="preserve">Section 54.303, </w:t>
      </w:r>
      <w:r w:rsidR="00FB0231">
        <w:t xml:space="preserve">in </w:t>
      </w:r>
      <w:r w:rsidR="00880DDC">
        <w:t>the first sentence</w:t>
      </w:r>
      <w:r w:rsidR="00FB0231">
        <w:t>,</w:t>
      </w:r>
      <w:r w:rsidR="00880DDC">
        <w:t xml:space="preserve"> </w:t>
      </w:r>
      <w:r w:rsidR="00FB0231">
        <w:t>replace</w:t>
      </w:r>
      <w:r w:rsidR="00880DDC">
        <w:t xml:space="preserve"> “</w:t>
      </w:r>
      <w:r w:rsidR="00880DDC" w:rsidRPr="00902208">
        <w:t>(c)</w:t>
      </w:r>
      <w:r w:rsidR="00880DDC">
        <w:t xml:space="preserve">” </w:t>
      </w:r>
      <w:r w:rsidR="00FB0231">
        <w:t>with</w:t>
      </w:r>
      <w:r w:rsidR="00880DDC">
        <w:t xml:space="preserve"> “(d</w:t>
      </w:r>
      <w:r w:rsidR="00880DDC" w:rsidRPr="00902208">
        <w:t>)</w:t>
      </w:r>
      <w:r w:rsidR="00880DDC">
        <w:t>”.</w:t>
      </w:r>
    </w:p>
    <w:p w:rsidR="00880DDC" w:rsidRDefault="0029514C" w:rsidP="00FB0231">
      <w:pPr>
        <w:pStyle w:val="ParaNum"/>
        <w:tabs>
          <w:tab w:val="clear" w:pos="1440"/>
          <w:tab w:val="num" w:pos="720"/>
        </w:tabs>
        <w:ind w:firstLine="360"/>
      </w:pPr>
      <w:r>
        <w:t>In paragraph (1)</w:t>
      </w:r>
      <w:r w:rsidR="0047375C">
        <w:t xml:space="preserve"> of </w:t>
      </w:r>
      <w:r w:rsidR="00880DDC">
        <w:t>Section 54.303(f)</w:t>
      </w:r>
      <w:r>
        <w:t>,</w:t>
      </w:r>
      <w:r w:rsidR="00880DDC">
        <w:t xml:space="preserve"> </w:t>
      </w:r>
      <w:r>
        <w:t xml:space="preserve">replace </w:t>
      </w:r>
      <w:r w:rsidR="00880DDC">
        <w:t xml:space="preserve">“equals the annualized” </w:t>
      </w:r>
      <w:r>
        <w:t xml:space="preserve">with </w:t>
      </w:r>
      <w:r w:rsidR="00880DDC">
        <w:t>“</w:t>
      </w:r>
      <w:r w:rsidR="00880DDC" w:rsidRPr="000930EA">
        <w:t xml:space="preserve">equals </w:t>
      </w:r>
      <w:r w:rsidR="00880DDC" w:rsidRPr="002D21B5">
        <w:t>the lesser of 1.0 or</w:t>
      </w:r>
      <w:r w:rsidR="00880DDC" w:rsidRPr="000930EA">
        <w:t xml:space="preserve"> the a</w:t>
      </w:r>
      <w:r w:rsidR="00880DDC">
        <w:t>nnualized”.</w:t>
      </w:r>
    </w:p>
    <w:p w:rsidR="00880DDC" w:rsidRDefault="0029514C" w:rsidP="00FB0231">
      <w:pPr>
        <w:pStyle w:val="ParaNum"/>
        <w:tabs>
          <w:tab w:val="clear" w:pos="1440"/>
          <w:tab w:val="num" w:pos="720"/>
        </w:tabs>
        <w:ind w:firstLine="360"/>
      </w:pPr>
      <w:r>
        <w:t>In paragraph (B)</w:t>
      </w:r>
      <w:r w:rsidR="0047375C">
        <w:t xml:space="preserve"> of </w:t>
      </w:r>
      <w:r w:rsidR="00880DDC">
        <w:t>Section 54.308(a)(2)(iii)</w:t>
      </w:r>
      <w:r>
        <w:t>,</w:t>
      </w:r>
      <w:r w:rsidR="00880DDC">
        <w:t xml:space="preserve"> delete “$10,000” and </w:t>
      </w:r>
      <w:r>
        <w:t>replace</w:t>
      </w:r>
      <w:r w:rsidR="00880DDC">
        <w:t xml:space="preserve"> “§54.303” </w:t>
      </w:r>
      <w:r>
        <w:t>with</w:t>
      </w:r>
      <w:r w:rsidR="00880DDC">
        <w:t xml:space="preserve"> “§54.303(f)(</w:t>
      </w:r>
      <w:r w:rsidR="00880DDC" w:rsidRPr="008F3DC4">
        <w:t>1</w:t>
      </w:r>
      <w:r w:rsidR="00880DDC">
        <w:t>)”.</w:t>
      </w:r>
    </w:p>
    <w:p w:rsidR="00880DDC" w:rsidRDefault="0029514C" w:rsidP="00FB0231">
      <w:pPr>
        <w:pStyle w:val="ParaNum"/>
        <w:tabs>
          <w:tab w:val="clear" w:pos="1440"/>
          <w:tab w:val="num" w:pos="720"/>
        </w:tabs>
        <w:ind w:firstLine="360"/>
      </w:pPr>
      <w:r>
        <w:t xml:space="preserve">In paragraph </w:t>
      </w:r>
      <w:r w:rsidR="00880DDC">
        <w:t>(d)</w:t>
      </w:r>
      <w:r>
        <w:t xml:space="preserve"> of</w:t>
      </w:r>
      <w:r w:rsidR="00880DDC">
        <w:t xml:space="preserve"> </w:t>
      </w:r>
      <w:r>
        <w:t>Section 54.311, replace</w:t>
      </w:r>
      <w:r w:rsidR="00880DDC">
        <w:t xml:space="preserve"> “</w:t>
      </w:r>
      <w:r w:rsidR="00880DDC" w:rsidRPr="001B73B3">
        <w:t>§54.308(a)(1)(i)-(iii)</w:t>
      </w:r>
      <w:r w:rsidR="00880DDC">
        <w:t xml:space="preserve">” </w:t>
      </w:r>
      <w:r>
        <w:t>with</w:t>
      </w:r>
      <w:r w:rsidR="00880DDC">
        <w:t xml:space="preserve">  “§54.308(a)(1)(i)” and </w:t>
      </w:r>
      <w:r>
        <w:t>replace</w:t>
      </w:r>
      <w:r w:rsidR="00880DDC">
        <w:t xml:space="preserve"> “§54.308(a)(1)(iv)” </w:t>
      </w:r>
      <w:r>
        <w:t>with</w:t>
      </w:r>
      <w:r w:rsidR="00880DDC">
        <w:t xml:space="preserve"> “§54.308(a)(1)(ii)”.  </w:t>
      </w:r>
    </w:p>
    <w:p w:rsidR="00880DDC" w:rsidRDefault="0029514C" w:rsidP="00FB0231">
      <w:pPr>
        <w:pStyle w:val="ParaNum"/>
        <w:tabs>
          <w:tab w:val="clear" w:pos="1440"/>
          <w:tab w:val="num" w:pos="720"/>
        </w:tabs>
        <w:ind w:firstLine="360"/>
      </w:pPr>
      <w:r>
        <w:t>In paragraph (i)</w:t>
      </w:r>
      <w:r w:rsidR="0047375C">
        <w:t xml:space="preserve"> of </w:t>
      </w:r>
      <w:r w:rsidR="00880DDC">
        <w:t>Section 54.316(c)(1)</w:t>
      </w:r>
      <w:r>
        <w:t>,</w:t>
      </w:r>
      <w:r w:rsidR="00880DDC">
        <w:t xml:space="preserve"> </w:t>
      </w:r>
      <w:r>
        <w:t>replace</w:t>
      </w:r>
      <w:r w:rsidR="00880DDC">
        <w:t xml:space="preserve"> “February 7” </w:t>
      </w:r>
      <w:r>
        <w:t>with</w:t>
      </w:r>
      <w:r w:rsidR="00880DDC">
        <w:t xml:space="preserve"> “March 8”.</w:t>
      </w:r>
    </w:p>
    <w:p w:rsidR="0047375C" w:rsidRDefault="00D34D44" w:rsidP="0047375C">
      <w:pPr>
        <w:pStyle w:val="ParaNum"/>
        <w:tabs>
          <w:tab w:val="clear" w:pos="1440"/>
          <w:tab w:val="num" w:pos="720"/>
        </w:tabs>
        <w:ind w:firstLine="360"/>
      </w:pPr>
      <w:r>
        <w:lastRenderedPageBreak/>
        <w:t>In paragraph (ii)</w:t>
      </w:r>
      <w:r w:rsidR="0047375C">
        <w:t xml:space="preserve"> of </w:t>
      </w:r>
      <w:r w:rsidR="00880DDC">
        <w:t>Section 54.316(c)</w:t>
      </w:r>
      <w:r w:rsidR="0047375C">
        <w:t>(1)</w:t>
      </w:r>
      <w:r>
        <w:t>,</w:t>
      </w:r>
      <w:r w:rsidR="00880DDC">
        <w:t xml:space="preserve"> </w:t>
      </w:r>
      <w:r>
        <w:t>replace</w:t>
      </w:r>
      <w:r w:rsidR="00880DDC">
        <w:t xml:space="preserve"> “February 8” </w:t>
      </w:r>
      <w:r>
        <w:t>with</w:t>
      </w:r>
      <w:r w:rsidR="00880DDC">
        <w:t xml:space="preserve"> “March 9”</w:t>
      </w:r>
      <w:r w:rsidR="0047375C">
        <w:t>.</w:t>
      </w:r>
    </w:p>
    <w:p w:rsidR="0047375C" w:rsidRDefault="0047375C" w:rsidP="0047375C">
      <w:pPr>
        <w:pStyle w:val="ParaNum"/>
        <w:tabs>
          <w:tab w:val="clear" w:pos="1440"/>
          <w:tab w:val="num" w:pos="720"/>
        </w:tabs>
        <w:ind w:firstLine="360"/>
      </w:pPr>
      <w:r>
        <w:t>In paragraph (2) of Section 54.316(c), replace “before March 1” with “before March 5”.</w:t>
      </w:r>
    </w:p>
    <w:p w:rsidR="0047375C" w:rsidRDefault="0047375C" w:rsidP="0047375C">
      <w:pPr>
        <w:pStyle w:val="ParaNum"/>
        <w:tabs>
          <w:tab w:val="clear" w:pos="1440"/>
          <w:tab w:val="num" w:pos="720"/>
        </w:tabs>
        <w:ind w:firstLine="360"/>
      </w:pPr>
      <w:r>
        <w:t>In paragraph (a) of Section 54.319, replace “High-cost loop support” with “High-cost universal service support”.</w:t>
      </w:r>
    </w:p>
    <w:p w:rsidR="0047375C" w:rsidRDefault="00D34D44" w:rsidP="007652B5">
      <w:pPr>
        <w:pStyle w:val="ParaNum"/>
        <w:tabs>
          <w:tab w:val="clear" w:pos="1440"/>
          <w:tab w:val="num" w:pos="720"/>
        </w:tabs>
        <w:ind w:firstLine="360"/>
      </w:pPr>
      <w:r>
        <w:t xml:space="preserve">In paragraph (1) </w:t>
      </w:r>
      <w:r w:rsidR="0047375C">
        <w:t>of</w:t>
      </w:r>
      <w:r>
        <w:t xml:space="preserve"> </w:t>
      </w:r>
      <w:r w:rsidR="00880DDC">
        <w:t>Section 54.319(g)</w:t>
      </w:r>
      <w:r w:rsidR="0047375C">
        <w:t>,</w:t>
      </w:r>
      <w:r w:rsidR="0047375C" w:rsidRPr="0047375C">
        <w:t xml:space="preserve"> </w:t>
      </w:r>
      <w:r w:rsidR="0047375C">
        <w:t>replace “85” with “83”.</w:t>
      </w:r>
    </w:p>
    <w:p w:rsidR="0047375C" w:rsidRDefault="0047375C" w:rsidP="0047375C">
      <w:pPr>
        <w:pStyle w:val="ParaNum"/>
        <w:tabs>
          <w:tab w:val="clear" w:pos="1440"/>
          <w:tab w:val="num" w:pos="720"/>
        </w:tabs>
        <w:ind w:firstLine="360"/>
      </w:pPr>
      <w:r>
        <w:t>In paragraph (2) of Section 54.319(g), replace “68” with “66”.</w:t>
      </w:r>
    </w:p>
    <w:p w:rsidR="0047375C" w:rsidRDefault="0047375C" w:rsidP="0047375C">
      <w:pPr>
        <w:pStyle w:val="ParaNum"/>
        <w:tabs>
          <w:tab w:val="clear" w:pos="1440"/>
          <w:tab w:val="num" w:pos="720"/>
        </w:tabs>
        <w:ind w:firstLine="360"/>
      </w:pPr>
      <w:r>
        <w:t>In paragraph (3) of Section 54.319(g), replace “51” with “49”</w:t>
      </w:r>
      <w:r w:rsidR="0069225D">
        <w:t>.</w:t>
      </w:r>
    </w:p>
    <w:p w:rsidR="0047375C" w:rsidRDefault="0047375C" w:rsidP="0047375C">
      <w:pPr>
        <w:pStyle w:val="ParaNum"/>
        <w:tabs>
          <w:tab w:val="clear" w:pos="1440"/>
          <w:tab w:val="num" w:pos="720"/>
        </w:tabs>
        <w:ind w:firstLine="360"/>
      </w:pPr>
      <w:r>
        <w:t>In paragraph (4) of Section 54.319(g), replace “34” with “32”</w:t>
      </w:r>
      <w:r w:rsidR="0069225D">
        <w:t>.</w:t>
      </w:r>
    </w:p>
    <w:p w:rsidR="0047375C" w:rsidRDefault="0047375C" w:rsidP="0047375C">
      <w:pPr>
        <w:pStyle w:val="ParaNum"/>
        <w:tabs>
          <w:tab w:val="clear" w:pos="1440"/>
          <w:tab w:val="num" w:pos="720"/>
        </w:tabs>
        <w:ind w:firstLine="360"/>
      </w:pPr>
      <w:r>
        <w:t>In paragraph (5) of Section 54.319(g), replace “17” with “15”.</w:t>
      </w:r>
    </w:p>
    <w:p w:rsidR="00880DDC" w:rsidRDefault="00880DDC" w:rsidP="00FB0231">
      <w:pPr>
        <w:pStyle w:val="ParaNum"/>
        <w:tabs>
          <w:tab w:val="clear" w:pos="1440"/>
          <w:tab w:val="num" w:pos="720"/>
        </w:tabs>
        <w:ind w:firstLine="360"/>
      </w:pPr>
      <w:r>
        <w:t xml:space="preserve">Add the following </w:t>
      </w:r>
      <w:r w:rsidR="00D34D44">
        <w:t xml:space="preserve">text </w:t>
      </w:r>
      <w:r>
        <w:t xml:space="preserve">on page 165: </w:t>
      </w:r>
    </w:p>
    <w:p w:rsidR="00880DDC" w:rsidRDefault="00D34D44" w:rsidP="00D34D44">
      <w:pPr>
        <w:pStyle w:val="ParaNum"/>
        <w:numPr>
          <w:ilvl w:val="0"/>
          <w:numId w:val="0"/>
        </w:numPr>
        <w:ind w:left="720" w:firstLine="270"/>
      </w:pPr>
      <w:r>
        <w:t>“</w:t>
      </w:r>
      <w:r w:rsidR="00880DDC">
        <w:t>18.     Revise §54.302(b) and (c) to read as follows:</w:t>
      </w:r>
    </w:p>
    <w:p w:rsidR="00880DDC" w:rsidRPr="00BA3FA8" w:rsidRDefault="00880DDC" w:rsidP="00880DDC">
      <w:pPr>
        <w:pStyle w:val="Paratitle"/>
        <w:ind w:left="1080"/>
        <w:rPr>
          <w:rStyle w:val="cohovertext"/>
          <w:b/>
          <w:color w:val="212121"/>
          <w:szCs w:val="22"/>
          <w:u w:val="single"/>
        </w:rPr>
      </w:pPr>
      <w:r w:rsidRPr="00BA3FA8">
        <w:rPr>
          <w:rStyle w:val="cohovertext"/>
          <w:b/>
          <w:color w:val="212121"/>
          <w:szCs w:val="22"/>
          <w:u w:val="single"/>
        </w:rPr>
        <w:t>§54.302 Monthly per-line limit on universal service support.</w:t>
      </w:r>
    </w:p>
    <w:p w:rsidR="00880DDC" w:rsidRDefault="00880DDC" w:rsidP="00880DDC">
      <w:pPr>
        <w:pStyle w:val="Paratitle"/>
        <w:ind w:left="1080"/>
        <w:rPr>
          <w:rStyle w:val="cohovertext"/>
          <w:color w:val="212121"/>
          <w:szCs w:val="22"/>
        </w:rPr>
      </w:pPr>
      <w:r>
        <w:rPr>
          <w:rStyle w:val="cohovertext"/>
          <w:color w:val="212121"/>
          <w:szCs w:val="22"/>
        </w:rPr>
        <w:t>*****</w:t>
      </w:r>
    </w:p>
    <w:p w:rsidR="00880DDC" w:rsidRDefault="00880DDC" w:rsidP="00880DDC">
      <w:pPr>
        <w:pStyle w:val="Paratitle"/>
        <w:ind w:left="1080"/>
        <w:rPr>
          <w:color w:val="212121"/>
          <w:szCs w:val="22"/>
        </w:rPr>
      </w:pPr>
      <w:r w:rsidRPr="007D4C72">
        <w:rPr>
          <w:rStyle w:val="cohovertext"/>
          <w:color w:val="212121"/>
          <w:szCs w:val="22"/>
        </w:rPr>
        <w:t>(b)</w:t>
      </w:r>
      <w:r w:rsidRPr="007D4C72">
        <w:rPr>
          <w:rStyle w:val="apple-converted-space"/>
          <w:color w:val="212121"/>
          <w:szCs w:val="22"/>
        </w:rPr>
        <w:t> </w:t>
      </w:r>
      <w:r w:rsidRPr="007D4C72">
        <w:rPr>
          <w:color w:val="212121"/>
          <w:szCs w:val="22"/>
        </w:rPr>
        <w:t>For purposes of this section, universal service support is defined as the sum of the amounts calculated pursuant to</w:t>
      </w:r>
      <w:r w:rsidRPr="007D4C72">
        <w:rPr>
          <w:rStyle w:val="apple-converted-space"/>
          <w:color w:val="212121"/>
          <w:szCs w:val="22"/>
        </w:rPr>
        <w:t> </w:t>
      </w:r>
      <w:r w:rsidRPr="007D4C72">
        <w:rPr>
          <w:color w:val="212121"/>
          <w:szCs w:val="22"/>
        </w:rPr>
        <w:t>§§ 54.1304 and</w:t>
      </w:r>
      <w:r w:rsidRPr="007D4C72">
        <w:rPr>
          <w:rStyle w:val="apple-converted-space"/>
          <w:color w:val="212121"/>
          <w:szCs w:val="22"/>
        </w:rPr>
        <w:t> </w:t>
      </w:r>
      <w:r w:rsidRPr="007D4C72">
        <w:rPr>
          <w:color w:val="212121"/>
          <w:szCs w:val="22"/>
        </w:rPr>
        <w:t>54.1310, and</w:t>
      </w:r>
      <w:r w:rsidRPr="007D4C72">
        <w:rPr>
          <w:rStyle w:val="apple-converted-space"/>
          <w:color w:val="212121"/>
          <w:szCs w:val="22"/>
        </w:rPr>
        <w:t> </w:t>
      </w:r>
      <w:r w:rsidRPr="007D4C72">
        <w:rPr>
          <w:color w:val="212121"/>
          <w:szCs w:val="22"/>
        </w:rPr>
        <w:t>§§ 54.305, and</w:t>
      </w:r>
      <w:r w:rsidRPr="007D4C72">
        <w:rPr>
          <w:rStyle w:val="apple-converted-space"/>
          <w:color w:val="212121"/>
          <w:szCs w:val="22"/>
        </w:rPr>
        <w:t> </w:t>
      </w:r>
      <w:r w:rsidRPr="007D4C72">
        <w:rPr>
          <w:color w:val="212121"/>
          <w:szCs w:val="22"/>
        </w:rPr>
        <w:t>§§</w:t>
      </w:r>
      <w:r>
        <w:rPr>
          <w:color w:val="212121"/>
          <w:szCs w:val="22"/>
        </w:rPr>
        <w:t xml:space="preserve"> </w:t>
      </w:r>
      <w:r w:rsidRPr="007D4C72">
        <w:rPr>
          <w:color w:val="212121"/>
          <w:szCs w:val="22"/>
        </w:rPr>
        <w:t>54.901</w:t>
      </w:r>
      <w:r w:rsidRPr="007D4C72">
        <w:rPr>
          <w:rStyle w:val="apple-converted-space"/>
          <w:color w:val="212121"/>
          <w:szCs w:val="22"/>
        </w:rPr>
        <w:t> </w:t>
      </w:r>
      <w:r w:rsidRPr="007D4C72">
        <w:rPr>
          <w:color w:val="212121"/>
          <w:szCs w:val="22"/>
        </w:rPr>
        <w:t>through</w:t>
      </w:r>
      <w:r w:rsidRPr="007D4C72">
        <w:rPr>
          <w:rStyle w:val="apple-converted-space"/>
          <w:color w:val="212121"/>
          <w:szCs w:val="22"/>
        </w:rPr>
        <w:t> </w:t>
      </w:r>
      <w:r w:rsidRPr="007D4C72">
        <w:rPr>
          <w:color w:val="212121"/>
          <w:szCs w:val="22"/>
        </w:rPr>
        <w:t>54.904. Line counts for purposes of this section shall be as of the most recent line counts reported pursuant to</w:t>
      </w:r>
      <w:r w:rsidRPr="007D4C72">
        <w:rPr>
          <w:rStyle w:val="apple-converted-space"/>
          <w:color w:val="212121"/>
          <w:szCs w:val="22"/>
        </w:rPr>
        <w:t> </w:t>
      </w:r>
      <w:r w:rsidRPr="007D4C72">
        <w:rPr>
          <w:color w:val="212121"/>
          <w:szCs w:val="22"/>
        </w:rPr>
        <w:t xml:space="preserve">§ 54.903(a)(1).  </w:t>
      </w:r>
    </w:p>
    <w:p w:rsidR="00880DDC" w:rsidRPr="00E84083" w:rsidRDefault="00880DDC" w:rsidP="00880DDC">
      <w:pPr>
        <w:pStyle w:val="Paratitle"/>
        <w:ind w:left="1080"/>
        <w:rPr>
          <w:color w:val="212121"/>
          <w:szCs w:val="22"/>
        </w:rPr>
      </w:pPr>
      <w:r w:rsidRPr="007D4C72">
        <w:rPr>
          <w:rStyle w:val="cohovertext"/>
          <w:color w:val="212121"/>
          <w:szCs w:val="22"/>
        </w:rPr>
        <w:t>(c)</w:t>
      </w:r>
      <w:r w:rsidRPr="007D4C72">
        <w:rPr>
          <w:rStyle w:val="apple-converted-space"/>
          <w:color w:val="212121"/>
          <w:szCs w:val="22"/>
        </w:rPr>
        <w:t> </w:t>
      </w:r>
      <w:r w:rsidRPr="007D4C72">
        <w:rPr>
          <w:color w:val="212121"/>
          <w:szCs w:val="22"/>
        </w:rPr>
        <w:t xml:space="preserve">The Administrator, in order to limit support to $250 for affected carriers, shall reduce safety net additive support, high-cost loop support, safety valve support, and </w:t>
      </w:r>
      <w:r w:rsidRPr="00961F19">
        <w:t>Connect America Fund Broadband Loop Support</w:t>
      </w:r>
      <w:r w:rsidRPr="007D4C72">
        <w:rPr>
          <w:color w:val="212121"/>
          <w:szCs w:val="22"/>
        </w:rPr>
        <w:t xml:space="preserve"> in proportion to the relative amounts of each support the study area would receive absent such limitation.</w:t>
      </w:r>
      <w:r w:rsidR="00D34D44">
        <w:rPr>
          <w:color w:val="212121"/>
          <w:szCs w:val="22"/>
        </w:rPr>
        <w:t>”</w:t>
      </w:r>
    </w:p>
    <w:p w:rsidR="00880DDC" w:rsidRPr="00432B7C" w:rsidRDefault="00AB3654" w:rsidP="00D34D44">
      <w:pPr>
        <w:pStyle w:val="ParaNum"/>
        <w:tabs>
          <w:tab w:val="clear" w:pos="1440"/>
          <w:tab w:val="num" w:pos="720"/>
        </w:tabs>
        <w:ind w:firstLine="360"/>
      </w:pPr>
      <w:r>
        <w:t xml:space="preserve">In paragraph (c) of </w:t>
      </w:r>
      <w:r w:rsidR="00880DDC">
        <w:t>Section 69.132</w:t>
      </w:r>
      <w:r>
        <w:t>,</w:t>
      </w:r>
      <w:r w:rsidR="00880DDC">
        <w:t xml:space="preserve"> </w:t>
      </w:r>
      <w:r>
        <w:t xml:space="preserve">between “category” and “by”, </w:t>
      </w:r>
      <w:r w:rsidR="00880DDC">
        <w:t>add “(</w:t>
      </w:r>
      <w:r w:rsidR="00880DDC" w:rsidRPr="00E84083">
        <w:t xml:space="preserve">net of the projected annual Connect America Fund Broadband Loop Support attributable to </w:t>
      </w:r>
      <w:r w:rsidR="0001721C">
        <w:t xml:space="preserve">consumer </w:t>
      </w:r>
      <w:r w:rsidR="00880DDC" w:rsidRPr="00E84083">
        <w:t>broadband-only loops)</w:t>
      </w:r>
      <w:r>
        <w:t>”.</w:t>
      </w:r>
    </w:p>
    <w:p w:rsidR="00880DDC" w:rsidRPr="00E84444" w:rsidRDefault="00AB3654" w:rsidP="00AB3654">
      <w:pPr>
        <w:pStyle w:val="ParaNum"/>
        <w:tabs>
          <w:tab w:val="clear" w:pos="1440"/>
          <w:tab w:val="num" w:pos="720"/>
        </w:tabs>
        <w:spacing w:after="240"/>
        <w:ind w:firstLine="360"/>
      </w:pPr>
      <w:r>
        <w:t>In paragraph (1)</w:t>
      </w:r>
      <w:r w:rsidR="00014FC0">
        <w:t xml:space="preserve"> of</w:t>
      </w:r>
      <w:r>
        <w:t xml:space="preserve"> </w:t>
      </w:r>
      <w:r w:rsidR="00880DDC">
        <w:t>Section 69.311(b)</w:t>
      </w:r>
      <w:r>
        <w:t>,</w:t>
      </w:r>
      <w:r w:rsidR="00880DDC">
        <w:t xml:space="preserve"> delete “(Category 1.3)” and “Category 1.3”. </w:t>
      </w:r>
      <w:r w:rsidR="00880DDC" w:rsidRPr="00E84444">
        <w:rPr>
          <w:bCs/>
          <w:color w:val="000000"/>
        </w:rPr>
        <w:tab/>
      </w:r>
      <w:r w:rsidR="00880DDC">
        <w:tab/>
      </w:r>
    </w:p>
    <w:p w:rsidR="00C93E3A" w:rsidRDefault="00C93E3A" w:rsidP="00AB3654">
      <w:pPr>
        <w:pStyle w:val="ParaNum"/>
        <w:numPr>
          <w:ilvl w:val="0"/>
          <w:numId w:val="0"/>
        </w:numPr>
        <w:ind w:firstLine="720"/>
      </w:pPr>
      <w:r>
        <w:t xml:space="preserve">This Erratum also amends </w:t>
      </w:r>
      <w:r w:rsidRPr="00AB3654">
        <w:rPr>
          <w:b/>
        </w:rPr>
        <w:t>APPENDIX E</w:t>
      </w:r>
      <w:r>
        <w:t xml:space="preserve"> of the </w:t>
      </w:r>
      <w:r>
        <w:rPr>
          <w:i/>
        </w:rPr>
        <w:t xml:space="preserve">Rate-of-Return Reform Order and FNPRM </w:t>
      </w:r>
      <w:r>
        <w:t>as indicated below:</w:t>
      </w:r>
    </w:p>
    <w:p w:rsidR="00AB3654" w:rsidRDefault="00AB3654" w:rsidP="00D34D44">
      <w:pPr>
        <w:pStyle w:val="ParaNum"/>
        <w:tabs>
          <w:tab w:val="clear" w:pos="1440"/>
          <w:tab w:val="num" w:pos="720"/>
        </w:tabs>
        <w:ind w:firstLine="360"/>
      </w:pPr>
      <w:r>
        <w:t>On page 229, add t</w:t>
      </w:r>
      <w:r w:rsidR="00880DDC">
        <w:t>he following bullet point</w:t>
      </w:r>
      <w:r>
        <w:t>s</w:t>
      </w:r>
      <w:r w:rsidR="00880DDC">
        <w:t xml:space="preserve"> </w:t>
      </w:r>
      <w:r>
        <w:t>to read as follows</w:t>
      </w:r>
      <w:r w:rsidR="00880DDC">
        <w:t>:</w:t>
      </w:r>
    </w:p>
    <w:p w:rsidR="00880DDC" w:rsidRDefault="00880DDC" w:rsidP="00AB3654">
      <w:pPr>
        <w:pStyle w:val="ParaNum"/>
        <w:numPr>
          <w:ilvl w:val="0"/>
          <w:numId w:val="0"/>
        </w:numPr>
        <w:ind w:left="720" w:hanging="90"/>
      </w:pPr>
      <w:r>
        <w:t>“If 2015 data is not yet validated, instead use most recently validated data.”</w:t>
      </w:r>
    </w:p>
    <w:p w:rsidR="00880DDC" w:rsidRDefault="00880DDC" w:rsidP="00AB3654">
      <w:pPr>
        <w:pStyle w:val="ParaNum"/>
        <w:widowControl/>
        <w:numPr>
          <w:ilvl w:val="0"/>
          <w:numId w:val="0"/>
        </w:numPr>
        <w:ind w:left="720" w:hanging="90"/>
      </w:pPr>
      <w:r w:rsidRPr="00154376">
        <w:t>“NECA may use current data to assign converted study areas to a group and exclude their data from the weighted average growth rate calculations for the groups to which they are assigned.  For this calculation, converted study areas are limited to those study areas which converted in the prior year.”</w:t>
      </w:r>
    </w:p>
    <w:p w:rsidR="00880DDC" w:rsidRPr="00154376" w:rsidRDefault="00AB3654" w:rsidP="00BB1143">
      <w:pPr>
        <w:pStyle w:val="ParaNum"/>
        <w:keepNext/>
        <w:keepLines/>
        <w:widowControl/>
        <w:tabs>
          <w:tab w:val="clear" w:pos="1440"/>
          <w:tab w:val="num" w:pos="720"/>
        </w:tabs>
        <w:spacing w:after="240"/>
        <w:ind w:firstLine="360"/>
      </w:pPr>
      <w:r>
        <w:t>In the formula for 2018-2021, o</w:t>
      </w:r>
      <w:r w:rsidR="00880DDC">
        <w:t xml:space="preserve">n page 230, delete “Year – 2017” on both lines.  </w:t>
      </w:r>
    </w:p>
    <w:p w:rsidR="00C93E3A" w:rsidRDefault="00C93E3A" w:rsidP="0029514C">
      <w:pPr>
        <w:keepNext/>
        <w:keepLines/>
        <w:widowControl/>
      </w:pPr>
      <w:r>
        <w:tab/>
      </w:r>
      <w:r>
        <w:tab/>
      </w:r>
      <w:r>
        <w:tab/>
      </w:r>
      <w:r>
        <w:tab/>
      </w:r>
      <w:r>
        <w:tab/>
      </w:r>
      <w:r>
        <w:tab/>
        <w:t>FEDERAL COMMUNICATIONS COMMISSION</w:t>
      </w:r>
    </w:p>
    <w:p w:rsidR="00C93E3A" w:rsidRDefault="00C93E3A" w:rsidP="0029514C">
      <w:pPr>
        <w:keepNext/>
        <w:keepLines/>
        <w:widowControl/>
      </w:pPr>
    </w:p>
    <w:p w:rsidR="00C93E3A" w:rsidRDefault="00C93E3A" w:rsidP="0029514C">
      <w:pPr>
        <w:keepNext/>
        <w:keepLines/>
        <w:widowControl/>
      </w:pPr>
    </w:p>
    <w:p w:rsidR="00C93E3A" w:rsidRDefault="00C93E3A" w:rsidP="0029514C">
      <w:pPr>
        <w:keepNext/>
        <w:keepLines/>
        <w:widowControl/>
      </w:pPr>
    </w:p>
    <w:p w:rsidR="00C93E3A" w:rsidRDefault="00C93E3A" w:rsidP="0029514C">
      <w:pPr>
        <w:keepNext/>
        <w:keepLines/>
        <w:widowControl/>
      </w:pPr>
    </w:p>
    <w:p w:rsidR="00C93E3A" w:rsidRDefault="00C93E3A" w:rsidP="0029514C">
      <w:pPr>
        <w:keepNext/>
        <w:keepLines/>
        <w:widowControl/>
      </w:pPr>
      <w:r>
        <w:tab/>
      </w:r>
      <w:r>
        <w:tab/>
      </w:r>
      <w:r>
        <w:tab/>
      </w:r>
      <w:r>
        <w:tab/>
      </w:r>
      <w:r>
        <w:tab/>
      </w:r>
      <w:r>
        <w:tab/>
        <w:t>Matthew S. DelNero</w:t>
      </w:r>
    </w:p>
    <w:p w:rsidR="00C93E3A" w:rsidRDefault="00C93E3A" w:rsidP="0029514C">
      <w:pPr>
        <w:keepNext/>
        <w:keepLines/>
        <w:widowControl/>
      </w:pPr>
      <w:r>
        <w:tab/>
      </w:r>
      <w:r>
        <w:tab/>
      </w:r>
      <w:r>
        <w:tab/>
      </w:r>
      <w:r>
        <w:tab/>
      </w:r>
      <w:r>
        <w:tab/>
      </w:r>
      <w:r>
        <w:tab/>
        <w:t>Chief</w:t>
      </w:r>
    </w:p>
    <w:p w:rsidR="00C93E3A" w:rsidRDefault="00C93E3A" w:rsidP="0017296B">
      <w:r>
        <w:tab/>
      </w:r>
      <w:r>
        <w:tab/>
      </w:r>
      <w:r>
        <w:tab/>
      </w:r>
      <w:r>
        <w:tab/>
      </w:r>
      <w:r>
        <w:tab/>
      </w:r>
      <w:r>
        <w:tab/>
        <w:t>Wireline Competition Bureau</w:t>
      </w:r>
    </w:p>
    <w:p w:rsidR="002C00E8" w:rsidRPr="002C00E8" w:rsidRDefault="002C00E8" w:rsidP="00880DDC">
      <w:pPr>
        <w:pStyle w:val="Heading1"/>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36" w:rsidRDefault="00032A36">
      <w:pPr>
        <w:spacing w:line="20" w:lineRule="exact"/>
      </w:pPr>
    </w:p>
  </w:endnote>
  <w:endnote w:type="continuationSeparator" w:id="0">
    <w:p w:rsidR="00032A36" w:rsidRDefault="00032A36">
      <w:r>
        <w:t xml:space="preserve"> </w:t>
      </w:r>
    </w:p>
  </w:endnote>
  <w:endnote w:type="continuationNotice" w:id="1">
    <w:p w:rsidR="00032A36" w:rsidRDefault="00032A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97D5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36" w:rsidRDefault="00032A36">
      <w:r>
        <w:separator/>
      </w:r>
    </w:p>
  </w:footnote>
  <w:footnote w:type="continuationSeparator" w:id="0">
    <w:p w:rsidR="00032A36" w:rsidRDefault="00032A36" w:rsidP="00C721AC">
      <w:pPr>
        <w:spacing w:before="120"/>
        <w:rPr>
          <w:sz w:val="20"/>
        </w:rPr>
      </w:pPr>
      <w:r>
        <w:rPr>
          <w:sz w:val="20"/>
        </w:rPr>
        <w:t xml:space="preserve">(Continued from previous page)  </w:t>
      </w:r>
      <w:r>
        <w:rPr>
          <w:sz w:val="20"/>
        </w:rPr>
        <w:separator/>
      </w:r>
    </w:p>
  </w:footnote>
  <w:footnote w:type="continuationNotice" w:id="1">
    <w:p w:rsidR="00032A36" w:rsidRDefault="00032A3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C2" w:rsidRDefault="00600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p>
  <w:p w:rsidR="00D25FB5" w:rsidRDefault="00BB114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FEEDF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B1143"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E2B38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0A41E9"/>
    <w:multiLevelType w:val="hybridMultilevel"/>
    <w:tmpl w:val="77A09CCC"/>
    <w:lvl w:ilvl="0" w:tplc="6C685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FF971B5"/>
    <w:multiLevelType w:val="hybridMultilevel"/>
    <w:tmpl w:val="EF820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0E12D48"/>
    <w:multiLevelType w:val="hybridMultilevel"/>
    <w:tmpl w:val="2496E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7F40BF"/>
    <w:multiLevelType w:val="hybridMultilevel"/>
    <w:tmpl w:val="798A3D66"/>
    <w:lvl w:ilvl="0" w:tplc="A0DA7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9"/>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DC"/>
    <w:rsid w:val="00014FC0"/>
    <w:rsid w:val="0001721C"/>
    <w:rsid w:val="00032A3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9514C"/>
    <w:rsid w:val="002A2D2E"/>
    <w:rsid w:val="002C00E8"/>
    <w:rsid w:val="00343749"/>
    <w:rsid w:val="003660ED"/>
    <w:rsid w:val="003B0550"/>
    <w:rsid w:val="003B694F"/>
    <w:rsid w:val="003F171C"/>
    <w:rsid w:val="00412FC5"/>
    <w:rsid w:val="00422276"/>
    <w:rsid w:val="004242F1"/>
    <w:rsid w:val="00445A00"/>
    <w:rsid w:val="00451B0F"/>
    <w:rsid w:val="0047375C"/>
    <w:rsid w:val="004C2EE3"/>
    <w:rsid w:val="004E4A22"/>
    <w:rsid w:val="00511968"/>
    <w:rsid w:val="0052552E"/>
    <w:rsid w:val="0055614C"/>
    <w:rsid w:val="005564F6"/>
    <w:rsid w:val="005E14C2"/>
    <w:rsid w:val="006004C2"/>
    <w:rsid w:val="00607BA5"/>
    <w:rsid w:val="0061180A"/>
    <w:rsid w:val="00626EB6"/>
    <w:rsid w:val="00655D03"/>
    <w:rsid w:val="00683388"/>
    <w:rsid w:val="00683F84"/>
    <w:rsid w:val="0069225D"/>
    <w:rsid w:val="006A6A81"/>
    <w:rsid w:val="006F7393"/>
    <w:rsid w:val="0070224F"/>
    <w:rsid w:val="007115F7"/>
    <w:rsid w:val="00785689"/>
    <w:rsid w:val="0079754B"/>
    <w:rsid w:val="00797D51"/>
    <w:rsid w:val="007A1E6D"/>
    <w:rsid w:val="007B0EB2"/>
    <w:rsid w:val="00810B6F"/>
    <w:rsid w:val="008165BA"/>
    <w:rsid w:val="00822CE0"/>
    <w:rsid w:val="00841AB1"/>
    <w:rsid w:val="00880DDC"/>
    <w:rsid w:val="008C68F1"/>
    <w:rsid w:val="00921803"/>
    <w:rsid w:val="00926503"/>
    <w:rsid w:val="009726D8"/>
    <w:rsid w:val="009F76DB"/>
    <w:rsid w:val="00A32C3B"/>
    <w:rsid w:val="00A45F4F"/>
    <w:rsid w:val="00A600A9"/>
    <w:rsid w:val="00A8446B"/>
    <w:rsid w:val="00AA55B7"/>
    <w:rsid w:val="00AA5B9E"/>
    <w:rsid w:val="00AB2407"/>
    <w:rsid w:val="00AB3654"/>
    <w:rsid w:val="00AB53DF"/>
    <w:rsid w:val="00AE6758"/>
    <w:rsid w:val="00B07E5C"/>
    <w:rsid w:val="00B70509"/>
    <w:rsid w:val="00B811F7"/>
    <w:rsid w:val="00BA5DC6"/>
    <w:rsid w:val="00BA6196"/>
    <w:rsid w:val="00BB1143"/>
    <w:rsid w:val="00BC6D8C"/>
    <w:rsid w:val="00C34006"/>
    <w:rsid w:val="00C426B1"/>
    <w:rsid w:val="00C63A23"/>
    <w:rsid w:val="00C66160"/>
    <w:rsid w:val="00C721AC"/>
    <w:rsid w:val="00C90D6A"/>
    <w:rsid w:val="00C93E3A"/>
    <w:rsid w:val="00CA247E"/>
    <w:rsid w:val="00CC72B6"/>
    <w:rsid w:val="00D0218D"/>
    <w:rsid w:val="00D25FB5"/>
    <w:rsid w:val="00D34D44"/>
    <w:rsid w:val="00D44223"/>
    <w:rsid w:val="00D73142"/>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880DDC"/>
    <w:rPr>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880DDC"/>
    <w:rPr>
      <w:rFonts w:ascii="Times New Roman Bold" w:hAnsi="Times New Roman Bold"/>
      <w:b/>
      <w:caps/>
      <w:snapToGrid w:val="0"/>
      <w:kern w:val="28"/>
      <w:sz w:val="22"/>
    </w:rPr>
  </w:style>
  <w:style w:type="character" w:styleId="CommentReference">
    <w:name w:val="annotation reference"/>
    <w:uiPriority w:val="99"/>
    <w:rsid w:val="00880DDC"/>
    <w:rPr>
      <w:rFonts w:cs="Times New Roman"/>
      <w:sz w:val="16"/>
      <w:szCs w:val="16"/>
    </w:rPr>
  </w:style>
  <w:style w:type="character" w:customStyle="1" w:styleId="apple-converted-space">
    <w:name w:val="apple-converted-space"/>
    <w:rsid w:val="00880DDC"/>
  </w:style>
  <w:style w:type="table" w:styleId="TableGrid">
    <w:name w:val="Table Grid"/>
    <w:basedOn w:val="TableNormal"/>
    <w:rsid w:val="00880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hovertext">
    <w:name w:val="co_hovertext"/>
    <w:rsid w:val="00880DDC"/>
  </w:style>
  <w:style w:type="paragraph" w:styleId="BalloonText">
    <w:name w:val="Balloon Text"/>
    <w:basedOn w:val="Normal"/>
    <w:link w:val="BalloonTextChar"/>
    <w:rsid w:val="0047375C"/>
    <w:rPr>
      <w:rFonts w:ascii="Segoe UI" w:hAnsi="Segoe UI" w:cs="Segoe UI"/>
      <w:sz w:val="18"/>
      <w:szCs w:val="18"/>
    </w:rPr>
  </w:style>
  <w:style w:type="character" w:customStyle="1" w:styleId="BalloonTextChar">
    <w:name w:val="Balloon Text Char"/>
    <w:basedOn w:val="DefaultParagraphFont"/>
    <w:link w:val="BalloonText"/>
    <w:rsid w:val="0047375C"/>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880DDC"/>
    <w:rPr>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880DDC"/>
    <w:rPr>
      <w:rFonts w:ascii="Times New Roman Bold" w:hAnsi="Times New Roman Bold"/>
      <w:b/>
      <w:caps/>
      <w:snapToGrid w:val="0"/>
      <w:kern w:val="28"/>
      <w:sz w:val="22"/>
    </w:rPr>
  </w:style>
  <w:style w:type="character" w:styleId="CommentReference">
    <w:name w:val="annotation reference"/>
    <w:uiPriority w:val="99"/>
    <w:rsid w:val="00880DDC"/>
    <w:rPr>
      <w:rFonts w:cs="Times New Roman"/>
      <w:sz w:val="16"/>
      <w:szCs w:val="16"/>
    </w:rPr>
  </w:style>
  <w:style w:type="character" w:customStyle="1" w:styleId="apple-converted-space">
    <w:name w:val="apple-converted-space"/>
    <w:rsid w:val="00880DDC"/>
  </w:style>
  <w:style w:type="table" w:styleId="TableGrid">
    <w:name w:val="Table Grid"/>
    <w:basedOn w:val="TableNormal"/>
    <w:rsid w:val="00880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hovertext">
    <w:name w:val="co_hovertext"/>
    <w:rsid w:val="00880DDC"/>
  </w:style>
  <w:style w:type="paragraph" w:styleId="BalloonText">
    <w:name w:val="Balloon Text"/>
    <w:basedOn w:val="Normal"/>
    <w:link w:val="BalloonTextChar"/>
    <w:rsid w:val="0047375C"/>
    <w:rPr>
      <w:rFonts w:ascii="Segoe UI" w:hAnsi="Segoe UI" w:cs="Segoe UI"/>
      <w:sz w:val="18"/>
      <w:szCs w:val="18"/>
    </w:rPr>
  </w:style>
  <w:style w:type="character" w:customStyle="1" w:styleId="BalloonTextChar">
    <w:name w:val="Balloon Text Char"/>
    <w:basedOn w:val="DefaultParagraphFont"/>
    <w:link w:val="BalloonText"/>
    <w:rsid w:val="0047375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1009</Words>
  <Characters>5192</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6143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2016-05-04T16:24:00Z</cp:lastPrinted>
  <dcterms:created xsi:type="dcterms:W3CDTF">2016-05-04T16:37:00Z</dcterms:created>
  <dcterms:modified xsi:type="dcterms:W3CDTF">2016-05-04T16:37:00Z</dcterms:modified>
  <cp:category> </cp:category>
  <cp:contentStatus> </cp:contentStatus>
</cp:coreProperties>
</file>