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4E65F9D" w14:textId="77777777" w:rsidTr="006D5D22">
        <w:trPr>
          <w:trHeight w:val="2181"/>
        </w:trPr>
        <w:tc>
          <w:tcPr>
            <w:tcW w:w="8856" w:type="dxa"/>
          </w:tcPr>
          <w:p w14:paraId="5C2BACB8" w14:textId="77777777" w:rsidR="00FF232D" w:rsidRDefault="00CE14FD" w:rsidP="006A7D75">
            <w:pPr>
              <w:jc w:val="center"/>
              <w:rPr>
                <w:b/>
              </w:rPr>
            </w:pPr>
            <w:bookmarkStart w:id="0" w:name="_GoBack"/>
            <w:bookmarkEnd w:id="0"/>
            <w:r>
              <w:rPr>
                <w:b/>
                <w:i/>
                <w:noProof/>
                <w:sz w:val="28"/>
                <w:szCs w:val="28"/>
              </w:rPr>
              <w:drawing>
                <wp:inline distT="0" distB="0" distL="0" distR="0" wp14:anchorId="4673160E" wp14:editId="4821EA7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128DEEFB" w14:textId="28805AFF" w:rsidR="00426518" w:rsidRDefault="00426518" w:rsidP="00B57131">
            <w:pPr>
              <w:rPr>
                <w:b/>
                <w:bCs/>
              </w:rPr>
            </w:pPr>
          </w:p>
          <w:p w14:paraId="6A15C861" w14:textId="77777777" w:rsidR="007A44F8" w:rsidRPr="008A3940" w:rsidRDefault="007A44F8" w:rsidP="00BB4E29">
            <w:pPr>
              <w:rPr>
                <w:b/>
                <w:bCs/>
                <w:sz w:val="22"/>
                <w:szCs w:val="22"/>
              </w:rPr>
            </w:pPr>
            <w:r w:rsidRPr="008A3940">
              <w:rPr>
                <w:b/>
                <w:bCs/>
                <w:sz w:val="22"/>
                <w:szCs w:val="22"/>
              </w:rPr>
              <w:t xml:space="preserve">Media Contact: </w:t>
            </w:r>
          </w:p>
          <w:p w14:paraId="60B53017" w14:textId="77777777" w:rsidR="007A44F8" w:rsidRPr="008A3940" w:rsidRDefault="00FD3883"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14:paraId="2202D00D" w14:textId="77777777" w:rsidR="00FF232D" w:rsidRPr="008A3940" w:rsidRDefault="00FD3883" w:rsidP="00BB4E29">
            <w:pPr>
              <w:rPr>
                <w:bCs/>
                <w:sz w:val="22"/>
                <w:szCs w:val="22"/>
              </w:rPr>
            </w:pPr>
            <w:r>
              <w:rPr>
                <w:bCs/>
                <w:sz w:val="22"/>
                <w:szCs w:val="22"/>
              </w:rPr>
              <w:t>mark.wigfield</w:t>
            </w:r>
            <w:r w:rsidR="007A44F8" w:rsidRPr="008A3940">
              <w:rPr>
                <w:bCs/>
                <w:sz w:val="22"/>
                <w:szCs w:val="22"/>
              </w:rPr>
              <w:t>@fcc.gov</w:t>
            </w:r>
          </w:p>
          <w:p w14:paraId="60F45990" w14:textId="77777777" w:rsidR="007A44F8" w:rsidRPr="008A3940" w:rsidRDefault="007A44F8" w:rsidP="00BB4E29">
            <w:pPr>
              <w:rPr>
                <w:bCs/>
                <w:sz w:val="22"/>
                <w:szCs w:val="22"/>
              </w:rPr>
            </w:pPr>
          </w:p>
          <w:p w14:paraId="191CD729" w14:textId="77777777" w:rsidR="007A44F8" w:rsidRPr="008A3940" w:rsidRDefault="007A44F8" w:rsidP="00BB4E29">
            <w:pPr>
              <w:rPr>
                <w:b/>
                <w:sz w:val="22"/>
                <w:szCs w:val="22"/>
              </w:rPr>
            </w:pPr>
            <w:r w:rsidRPr="008A3940">
              <w:rPr>
                <w:b/>
                <w:sz w:val="22"/>
                <w:szCs w:val="22"/>
              </w:rPr>
              <w:t>For Immediate Release</w:t>
            </w:r>
          </w:p>
          <w:p w14:paraId="0276FE50" w14:textId="77777777" w:rsidR="007A44F8" w:rsidRDefault="007A44F8" w:rsidP="00BB4E29">
            <w:pPr>
              <w:jc w:val="center"/>
              <w:rPr>
                <w:b/>
                <w:bCs/>
                <w:sz w:val="32"/>
                <w:szCs w:val="32"/>
              </w:rPr>
            </w:pPr>
          </w:p>
          <w:p w14:paraId="2A07024E" w14:textId="77777777" w:rsidR="004C01D0" w:rsidRDefault="004C01D0" w:rsidP="00040127">
            <w:pPr>
              <w:tabs>
                <w:tab w:val="left" w:pos="8625"/>
              </w:tabs>
              <w:jc w:val="center"/>
              <w:rPr>
                <w:b/>
                <w:bCs/>
                <w:sz w:val="26"/>
                <w:szCs w:val="26"/>
              </w:rPr>
            </w:pPr>
            <w:r>
              <w:rPr>
                <w:b/>
                <w:bCs/>
                <w:sz w:val="26"/>
                <w:szCs w:val="26"/>
              </w:rPr>
              <w:t>FCC TAKE</w:t>
            </w:r>
            <w:r w:rsidR="004F33C6">
              <w:rPr>
                <w:b/>
                <w:bCs/>
                <w:sz w:val="26"/>
                <w:szCs w:val="26"/>
              </w:rPr>
              <w:t>S</w:t>
            </w:r>
            <w:r>
              <w:rPr>
                <w:b/>
                <w:bCs/>
                <w:sz w:val="26"/>
                <w:szCs w:val="26"/>
              </w:rPr>
              <w:t xml:space="preserve"> NEXT STEPS IN </w:t>
            </w:r>
            <w:r w:rsidR="004F33C6">
              <w:rPr>
                <w:b/>
                <w:bCs/>
                <w:sz w:val="26"/>
                <w:szCs w:val="26"/>
              </w:rPr>
              <w:t>EXPANDING RURAL BROADBAND ACCESS</w:t>
            </w:r>
          </w:p>
          <w:p w14:paraId="69F02980" w14:textId="77777777" w:rsidR="004C01D0" w:rsidRDefault="004C01D0" w:rsidP="00040127">
            <w:pPr>
              <w:tabs>
                <w:tab w:val="left" w:pos="8625"/>
              </w:tabs>
              <w:jc w:val="center"/>
              <w:rPr>
                <w:b/>
                <w:bCs/>
                <w:sz w:val="26"/>
                <w:szCs w:val="26"/>
              </w:rPr>
            </w:pPr>
          </w:p>
          <w:p w14:paraId="3D750910" w14:textId="77A10B53" w:rsidR="004C01D0" w:rsidRDefault="004C01D0" w:rsidP="00040127">
            <w:pPr>
              <w:tabs>
                <w:tab w:val="left" w:pos="8625"/>
              </w:tabs>
              <w:jc w:val="center"/>
              <w:rPr>
                <w:b/>
                <w:bCs/>
                <w:i/>
                <w:sz w:val="26"/>
                <w:szCs w:val="26"/>
              </w:rPr>
            </w:pPr>
            <w:r>
              <w:rPr>
                <w:b/>
                <w:bCs/>
                <w:i/>
                <w:sz w:val="26"/>
                <w:szCs w:val="26"/>
              </w:rPr>
              <w:t xml:space="preserve">Establishes Rules of the Road for Allocating </w:t>
            </w:r>
            <w:r w:rsidR="004F33C6">
              <w:rPr>
                <w:b/>
                <w:bCs/>
                <w:i/>
                <w:sz w:val="26"/>
                <w:szCs w:val="26"/>
              </w:rPr>
              <w:t xml:space="preserve">Over $2 Billion in </w:t>
            </w:r>
            <w:r>
              <w:rPr>
                <w:b/>
                <w:bCs/>
                <w:i/>
                <w:sz w:val="26"/>
                <w:szCs w:val="26"/>
              </w:rPr>
              <w:t xml:space="preserve">Connect America Fund </w:t>
            </w:r>
            <w:r w:rsidR="00954DEF">
              <w:rPr>
                <w:b/>
                <w:bCs/>
                <w:i/>
                <w:sz w:val="26"/>
                <w:szCs w:val="26"/>
              </w:rPr>
              <w:t xml:space="preserve">Phase II </w:t>
            </w:r>
            <w:r>
              <w:rPr>
                <w:b/>
                <w:bCs/>
                <w:i/>
                <w:sz w:val="26"/>
                <w:szCs w:val="26"/>
              </w:rPr>
              <w:t>Support Through Competitive Bidding</w:t>
            </w:r>
          </w:p>
          <w:p w14:paraId="4DE9846D" w14:textId="77777777" w:rsidR="00F61155" w:rsidRPr="006B0A70" w:rsidRDefault="004C01D0" w:rsidP="00BB4E29">
            <w:pPr>
              <w:tabs>
                <w:tab w:val="left" w:pos="8625"/>
              </w:tabs>
              <w:jc w:val="center"/>
              <w:rPr>
                <w:i/>
                <w:color w:val="F2F2F2" w:themeColor="background1" w:themeShade="F2"/>
                <w:sz w:val="28"/>
              </w:rPr>
            </w:pPr>
            <w:r>
              <w:rPr>
                <w:b/>
                <w:bCs/>
                <w:i/>
                <w:sz w:val="26"/>
                <w:szCs w:val="26"/>
              </w:rPr>
              <w:t xml:space="preserve"> </w:t>
            </w:r>
            <w:r w:rsidR="00F228ED" w:rsidRPr="006B0A70">
              <w:rPr>
                <w:b/>
                <w:bCs/>
                <w:i/>
                <w:sz w:val="28"/>
                <w:szCs w:val="32"/>
              </w:rPr>
              <w:t xml:space="preserve">  </w:t>
            </w:r>
            <w:r w:rsidR="00F228ED"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128A2CBB" w14:textId="783C7798" w:rsidR="00FD3883" w:rsidRDefault="00FF1C0B" w:rsidP="00994F44">
            <w:pPr>
              <w:ind w:left="360"/>
              <w:rPr>
                <w:sz w:val="22"/>
                <w:szCs w:val="22"/>
              </w:rPr>
            </w:pPr>
            <w:r w:rsidRPr="00482285">
              <w:rPr>
                <w:sz w:val="22"/>
                <w:szCs w:val="22"/>
              </w:rPr>
              <w:t xml:space="preserve">WASHINGTON, </w:t>
            </w:r>
            <w:r w:rsidR="00690EE1" w:rsidRPr="00482285">
              <w:rPr>
                <w:sz w:val="22"/>
                <w:szCs w:val="22"/>
              </w:rPr>
              <w:t>May 25, 2016</w:t>
            </w:r>
            <w:r w:rsidR="00482285" w:rsidRPr="00482285">
              <w:rPr>
                <w:sz w:val="22"/>
                <w:szCs w:val="22"/>
              </w:rPr>
              <w:t xml:space="preserve"> – Continuing its push to expand </w:t>
            </w:r>
            <w:r w:rsidR="00482285">
              <w:rPr>
                <w:sz w:val="22"/>
                <w:szCs w:val="22"/>
              </w:rPr>
              <w:t xml:space="preserve">access to </w:t>
            </w:r>
            <w:r w:rsidR="00482285" w:rsidRPr="00482285">
              <w:rPr>
                <w:sz w:val="22"/>
                <w:szCs w:val="22"/>
              </w:rPr>
              <w:t xml:space="preserve">broadband </w:t>
            </w:r>
            <w:r w:rsidR="00482285">
              <w:rPr>
                <w:sz w:val="22"/>
                <w:szCs w:val="22"/>
              </w:rPr>
              <w:t xml:space="preserve">in rural areas, </w:t>
            </w:r>
            <w:r w:rsidR="00482285" w:rsidRPr="00482285">
              <w:rPr>
                <w:sz w:val="22"/>
                <w:szCs w:val="22"/>
              </w:rPr>
              <w:t xml:space="preserve">the Federal Communications Commission today took important steps toward </w:t>
            </w:r>
            <w:r w:rsidR="00FD63BC">
              <w:rPr>
                <w:sz w:val="22"/>
                <w:szCs w:val="22"/>
              </w:rPr>
              <w:t xml:space="preserve">investing </w:t>
            </w:r>
            <w:r w:rsidR="004F33C6">
              <w:rPr>
                <w:sz w:val="22"/>
                <w:szCs w:val="22"/>
              </w:rPr>
              <w:t>an additional $2</w:t>
            </w:r>
            <w:r w:rsidR="00482285">
              <w:rPr>
                <w:sz w:val="22"/>
                <w:szCs w:val="22"/>
              </w:rPr>
              <w:t xml:space="preserve"> billion</w:t>
            </w:r>
            <w:r w:rsidR="00FD63BC">
              <w:rPr>
                <w:sz w:val="22"/>
                <w:szCs w:val="22"/>
              </w:rPr>
              <w:t xml:space="preserve"> in </w:t>
            </w:r>
            <w:r w:rsidR="00482285">
              <w:rPr>
                <w:sz w:val="22"/>
                <w:szCs w:val="22"/>
              </w:rPr>
              <w:t>rural networks over the next decade</w:t>
            </w:r>
            <w:r w:rsidR="00994F44">
              <w:rPr>
                <w:sz w:val="22"/>
                <w:szCs w:val="22"/>
              </w:rPr>
              <w:t>.</w:t>
            </w:r>
          </w:p>
          <w:p w14:paraId="59E2C152" w14:textId="77777777" w:rsidR="00994F44" w:rsidRDefault="00994F44" w:rsidP="00994F44">
            <w:pPr>
              <w:ind w:left="360"/>
              <w:rPr>
                <w:sz w:val="22"/>
                <w:szCs w:val="22"/>
              </w:rPr>
            </w:pPr>
          </w:p>
          <w:p w14:paraId="6B1F5A40" w14:textId="19A78A3F" w:rsidR="004C01D0" w:rsidRDefault="00FD3883" w:rsidP="00482285">
            <w:pPr>
              <w:ind w:left="360"/>
              <w:rPr>
                <w:sz w:val="22"/>
                <w:szCs w:val="22"/>
              </w:rPr>
            </w:pPr>
            <w:r w:rsidRPr="00B37528">
              <w:rPr>
                <w:sz w:val="22"/>
                <w:szCs w:val="22"/>
              </w:rPr>
              <w:t>The item adopted by the Commission today establishes rules of the road for a</w:t>
            </w:r>
            <w:r w:rsidR="00FD63BC">
              <w:rPr>
                <w:sz w:val="22"/>
                <w:szCs w:val="22"/>
              </w:rPr>
              <w:t xml:space="preserve">n </w:t>
            </w:r>
            <w:r w:rsidR="00994F44">
              <w:rPr>
                <w:sz w:val="22"/>
                <w:szCs w:val="22"/>
              </w:rPr>
              <w:t xml:space="preserve">auction that will </w:t>
            </w:r>
            <w:r w:rsidR="00FD63BC">
              <w:rPr>
                <w:sz w:val="22"/>
                <w:szCs w:val="22"/>
              </w:rPr>
              <w:t xml:space="preserve">harness market forces to expand broadband </w:t>
            </w:r>
            <w:r w:rsidRPr="00B37528">
              <w:rPr>
                <w:sz w:val="22"/>
                <w:szCs w:val="22"/>
              </w:rPr>
              <w:t xml:space="preserve">in targeted rural areas. </w:t>
            </w:r>
            <w:r w:rsidR="00B45FA3">
              <w:rPr>
                <w:sz w:val="22"/>
                <w:szCs w:val="22"/>
              </w:rPr>
              <w:t xml:space="preserve"> </w:t>
            </w:r>
            <w:r w:rsidR="00994F44">
              <w:rPr>
                <w:sz w:val="22"/>
                <w:szCs w:val="22"/>
              </w:rPr>
              <w:t xml:space="preserve">The item </w:t>
            </w:r>
            <w:r w:rsidR="004C01D0">
              <w:rPr>
                <w:sz w:val="22"/>
                <w:szCs w:val="22"/>
              </w:rPr>
              <w:t xml:space="preserve">also </w:t>
            </w:r>
            <w:r w:rsidR="00994F44">
              <w:rPr>
                <w:sz w:val="22"/>
                <w:szCs w:val="22"/>
              </w:rPr>
              <w:t>seek</w:t>
            </w:r>
            <w:r w:rsidR="004C01D0">
              <w:rPr>
                <w:sz w:val="22"/>
                <w:szCs w:val="22"/>
              </w:rPr>
              <w:t>s</w:t>
            </w:r>
            <w:r w:rsidR="00994F44">
              <w:rPr>
                <w:sz w:val="22"/>
                <w:szCs w:val="22"/>
              </w:rPr>
              <w:t xml:space="preserve"> comment on a number of issues surrounding the au</w:t>
            </w:r>
            <w:r w:rsidR="004C01D0">
              <w:rPr>
                <w:sz w:val="22"/>
                <w:szCs w:val="22"/>
              </w:rPr>
              <w:t xml:space="preserve">ction so that it can deliver support to </w:t>
            </w:r>
            <w:r w:rsidR="004F33C6">
              <w:rPr>
                <w:sz w:val="22"/>
                <w:szCs w:val="22"/>
              </w:rPr>
              <w:t xml:space="preserve">unserved </w:t>
            </w:r>
            <w:r w:rsidR="004C01D0">
              <w:rPr>
                <w:sz w:val="22"/>
                <w:szCs w:val="22"/>
              </w:rPr>
              <w:t>communities as equitably and efficiently as possible.</w:t>
            </w:r>
          </w:p>
          <w:p w14:paraId="2CD645EF" w14:textId="77777777" w:rsidR="00482285" w:rsidRDefault="00B37528" w:rsidP="00482285">
            <w:pPr>
              <w:ind w:left="360"/>
              <w:rPr>
                <w:sz w:val="22"/>
                <w:szCs w:val="22"/>
              </w:rPr>
            </w:pPr>
            <w:r>
              <w:rPr>
                <w:sz w:val="22"/>
                <w:szCs w:val="22"/>
              </w:rPr>
              <w:t xml:space="preserve"> </w:t>
            </w:r>
          </w:p>
          <w:p w14:paraId="33459EE4" w14:textId="465B1338" w:rsidR="00482285" w:rsidRPr="00535743" w:rsidRDefault="004F33C6" w:rsidP="00482285">
            <w:pPr>
              <w:ind w:left="360"/>
              <w:rPr>
                <w:sz w:val="22"/>
                <w:szCs w:val="22"/>
              </w:rPr>
            </w:pPr>
            <w:r w:rsidRPr="00535743">
              <w:rPr>
                <w:sz w:val="22"/>
                <w:szCs w:val="22"/>
              </w:rPr>
              <w:t>The item builds on the substantial progress the FCC has made</w:t>
            </w:r>
            <w:r w:rsidR="008A6FBE">
              <w:rPr>
                <w:sz w:val="22"/>
                <w:szCs w:val="22"/>
              </w:rPr>
              <w:t xml:space="preserve"> in recent years </w:t>
            </w:r>
            <w:r w:rsidRPr="00535743">
              <w:rPr>
                <w:sz w:val="22"/>
                <w:szCs w:val="22"/>
              </w:rPr>
              <w:t>connecting rural America to broadband.  L</w:t>
            </w:r>
            <w:r w:rsidR="00482285" w:rsidRPr="00535743">
              <w:rPr>
                <w:sz w:val="22"/>
                <w:szCs w:val="22"/>
              </w:rPr>
              <w:t xml:space="preserve">ast year, the nation’s largest carriers </w:t>
            </w:r>
            <w:r w:rsidR="001E65DF">
              <w:rPr>
                <w:sz w:val="22"/>
                <w:szCs w:val="22"/>
              </w:rPr>
              <w:t xml:space="preserve">– known as “price cap” carriers </w:t>
            </w:r>
            <w:r w:rsidR="00B45FA3">
              <w:rPr>
                <w:sz w:val="22"/>
                <w:szCs w:val="22"/>
              </w:rPr>
              <w:t>–</w:t>
            </w:r>
            <w:r w:rsidR="001E65DF">
              <w:rPr>
                <w:sz w:val="22"/>
                <w:szCs w:val="22"/>
              </w:rPr>
              <w:t xml:space="preserve"> </w:t>
            </w:r>
            <w:r w:rsidR="00482285" w:rsidRPr="00535743">
              <w:rPr>
                <w:sz w:val="22"/>
                <w:szCs w:val="22"/>
              </w:rPr>
              <w:t xml:space="preserve">accepted $9 billion </w:t>
            </w:r>
            <w:r w:rsidR="00695EAA">
              <w:rPr>
                <w:sz w:val="22"/>
                <w:szCs w:val="22"/>
              </w:rPr>
              <w:t xml:space="preserve">over six years </w:t>
            </w:r>
            <w:r w:rsidR="001E65DF">
              <w:rPr>
                <w:sz w:val="22"/>
                <w:szCs w:val="22"/>
              </w:rPr>
              <w:t xml:space="preserve">from Phase II of the Connect America Fund </w:t>
            </w:r>
            <w:r w:rsidR="00482285" w:rsidRPr="00535743">
              <w:rPr>
                <w:sz w:val="22"/>
                <w:szCs w:val="22"/>
              </w:rPr>
              <w:t xml:space="preserve">to expand broadband in their rural service areas. </w:t>
            </w:r>
            <w:r w:rsidR="00B45FA3">
              <w:rPr>
                <w:sz w:val="22"/>
                <w:szCs w:val="22"/>
              </w:rPr>
              <w:t xml:space="preserve"> </w:t>
            </w:r>
            <w:r w:rsidR="00482285" w:rsidRPr="00535743">
              <w:rPr>
                <w:sz w:val="22"/>
                <w:szCs w:val="22"/>
              </w:rPr>
              <w:t>And in March, the FCC reformed its broadband support for the nation’s smallest carriers</w:t>
            </w:r>
            <w:r w:rsidR="003E3DDF">
              <w:rPr>
                <w:sz w:val="22"/>
                <w:szCs w:val="22"/>
              </w:rPr>
              <w:t>, providing $2</w:t>
            </w:r>
            <w:r w:rsidR="00F96E14">
              <w:rPr>
                <w:sz w:val="22"/>
                <w:szCs w:val="22"/>
              </w:rPr>
              <w:t>0</w:t>
            </w:r>
            <w:r w:rsidR="00482285" w:rsidRPr="00535743">
              <w:rPr>
                <w:sz w:val="22"/>
                <w:szCs w:val="22"/>
              </w:rPr>
              <w:t xml:space="preserve"> billion over the next </w:t>
            </w:r>
            <w:r w:rsidR="00AD3C6F">
              <w:rPr>
                <w:sz w:val="22"/>
                <w:szCs w:val="22"/>
              </w:rPr>
              <w:t>decade</w:t>
            </w:r>
            <w:r w:rsidRPr="00535743">
              <w:rPr>
                <w:sz w:val="22"/>
                <w:szCs w:val="22"/>
              </w:rPr>
              <w:t>.</w:t>
            </w:r>
          </w:p>
          <w:p w14:paraId="10ED6C18" w14:textId="77777777" w:rsidR="002F64A4" w:rsidRPr="006D7282" w:rsidRDefault="002F64A4" w:rsidP="00482285">
            <w:pPr>
              <w:ind w:left="360"/>
              <w:rPr>
                <w:sz w:val="22"/>
                <w:szCs w:val="22"/>
              </w:rPr>
            </w:pPr>
          </w:p>
          <w:p w14:paraId="327F1640" w14:textId="588F334A" w:rsidR="002C6568" w:rsidRDefault="008A6FBE" w:rsidP="00482285">
            <w:pPr>
              <w:ind w:left="360"/>
              <w:rPr>
                <w:sz w:val="22"/>
                <w:szCs w:val="22"/>
              </w:rPr>
            </w:pPr>
            <w:r w:rsidRPr="006D7282">
              <w:rPr>
                <w:sz w:val="22"/>
                <w:szCs w:val="22"/>
              </w:rPr>
              <w:t xml:space="preserve">The </w:t>
            </w:r>
            <w:r w:rsidR="0094590E">
              <w:rPr>
                <w:sz w:val="22"/>
                <w:szCs w:val="22"/>
              </w:rPr>
              <w:t xml:space="preserve">auction seeks to expand service to census blocks unserved by </w:t>
            </w:r>
            <w:r w:rsidR="001E65DF">
              <w:rPr>
                <w:sz w:val="22"/>
                <w:szCs w:val="22"/>
              </w:rPr>
              <w:t xml:space="preserve">broadband delivering speeds of 10 Mbps downloads/1 Mbps uploads </w:t>
            </w:r>
            <w:r w:rsidR="0094590E">
              <w:rPr>
                <w:sz w:val="22"/>
                <w:szCs w:val="22"/>
              </w:rPr>
              <w:t xml:space="preserve">in </w:t>
            </w:r>
            <w:r w:rsidR="00954DEF">
              <w:rPr>
                <w:sz w:val="22"/>
                <w:szCs w:val="22"/>
              </w:rPr>
              <w:t xml:space="preserve">20 </w:t>
            </w:r>
            <w:r w:rsidR="0094590E">
              <w:rPr>
                <w:sz w:val="22"/>
                <w:szCs w:val="22"/>
              </w:rPr>
              <w:t xml:space="preserve">states where the </w:t>
            </w:r>
            <w:r w:rsidR="001E65DF">
              <w:rPr>
                <w:sz w:val="22"/>
                <w:szCs w:val="22"/>
              </w:rPr>
              <w:t>price cap car</w:t>
            </w:r>
            <w:r w:rsidR="0094590E">
              <w:rPr>
                <w:sz w:val="22"/>
                <w:szCs w:val="22"/>
              </w:rPr>
              <w:t>riers declined</w:t>
            </w:r>
            <w:r w:rsidR="001E65DF">
              <w:rPr>
                <w:sz w:val="22"/>
                <w:szCs w:val="22"/>
              </w:rPr>
              <w:t xml:space="preserve"> last year’s Connect America Fund offer</w:t>
            </w:r>
            <w:r w:rsidR="0094590E">
              <w:rPr>
                <w:sz w:val="22"/>
                <w:szCs w:val="22"/>
              </w:rPr>
              <w:t xml:space="preserve">. </w:t>
            </w:r>
            <w:r w:rsidR="00B45FA3">
              <w:rPr>
                <w:sz w:val="22"/>
                <w:szCs w:val="22"/>
              </w:rPr>
              <w:t xml:space="preserve"> </w:t>
            </w:r>
            <w:r w:rsidR="002C6568">
              <w:rPr>
                <w:sz w:val="22"/>
                <w:szCs w:val="22"/>
              </w:rPr>
              <w:t>Also included in the auction are</w:t>
            </w:r>
            <w:r w:rsidR="00C64CEC">
              <w:rPr>
                <w:sz w:val="22"/>
                <w:szCs w:val="22"/>
              </w:rPr>
              <w:t xml:space="preserve"> locations across the country </w:t>
            </w:r>
            <w:r w:rsidR="0094590E">
              <w:rPr>
                <w:sz w:val="22"/>
                <w:szCs w:val="22"/>
              </w:rPr>
              <w:t xml:space="preserve">with extremely high </w:t>
            </w:r>
            <w:r w:rsidR="002C6568">
              <w:rPr>
                <w:sz w:val="22"/>
                <w:szCs w:val="22"/>
              </w:rPr>
              <w:t xml:space="preserve">deployment </w:t>
            </w:r>
            <w:r w:rsidR="0094590E">
              <w:rPr>
                <w:sz w:val="22"/>
                <w:szCs w:val="22"/>
              </w:rPr>
              <w:t>costs</w:t>
            </w:r>
            <w:r w:rsidR="002C6568">
              <w:rPr>
                <w:sz w:val="22"/>
                <w:szCs w:val="22"/>
              </w:rPr>
              <w:t>.</w:t>
            </w:r>
          </w:p>
          <w:p w14:paraId="2779F442" w14:textId="77777777" w:rsidR="002C6568" w:rsidRDefault="002C6568" w:rsidP="00482285">
            <w:pPr>
              <w:ind w:left="360"/>
              <w:rPr>
                <w:sz w:val="22"/>
                <w:szCs w:val="22"/>
              </w:rPr>
            </w:pPr>
          </w:p>
          <w:p w14:paraId="7F589155" w14:textId="54D3A071" w:rsidR="002F64A4" w:rsidRPr="006D7282" w:rsidRDefault="002C6568" w:rsidP="00482285">
            <w:pPr>
              <w:ind w:left="360"/>
              <w:rPr>
                <w:sz w:val="22"/>
                <w:szCs w:val="22"/>
              </w:rPr>
            </w:pPr>
            <w:r>
              <w:rPr>
                <w:sz w:val="22"/>
                <w:szCs w:val="22"/>
              </w:rPr>
              <w:t xml:space="preserve">The </w:t>
            </w:r>
            <w:r w:rsidR="008A6FBE" w:rsidRPr="006D7282">
              <w:rPr>
                <w:sz w:val="22"/>
                <w:szCs w:val="22"/>
              </w:rPr>
              <w:t>Order portion of the item today s</w:t>
            </w:r>
            <w:r w:rsidR="00535743" w:rsidRPr="006D7282">
              <w:rPr>
                <w:sz w:val="22"/>
                <w:szCs w:val="22"/>
              </w:rPr>
              <w:t>ets key requirements for successful bids in the auction, including:</w:t>
            </w:r>
          </w:p>
          <w:p w14:paraId="03CC6810" w14:textId="77777777" w:rsidR="00535743" w:rsidRDefault="00535743" w:rsidP="00482285">
            <w:pPr>
              <w:ind w:left="360"/>
            </w:pPr>
          </w:p>
          <w:p w14:paraId="53C0DCCB" w14:textId="4A3A7899" w:rsidR="006228F5" w:rsidRDefault="00954DEF" w:rsidP="00954DEF">
            <w:pPr>
              <w:pStyle w:val="ListParagraph"/>
              <w:numPr>
                <w:ilvl w:val="0"/>
                <w:numId w:val="3"/>
              </w:numPr>
              <w:rPr>
                <w:sz w:val="22"/>
                <w:szCs w:val="22"/>
              </w:rPr>
            </w:pPr>
            <w:r>
              <w:rPr>
                <w:sz w:val="22"/>
                <w:szCs w:val="22"/>
              </w:rPr>
              <w:t>Four</w:t>
            </w:r>
            <w:r w:rsidRPr="005F6703">
              <w:rPr>
                <w:sz w:val="22"/>
                <w:szCs w:val="22"/>
              </w:rPr>
              <w:t xml:space="preserve"> </w:t>
            </w:r>
            <w:r w:rsidR="002D02C4" w:rsidRPr="005F6703">
              <w:rPr>
                <w:sz w:val="22"/>
                <w:szCs w:val="22"/>
              </w:rPr>
              <w:t>technology-neutral service standards</w:t>
            </w:r>
            <w:r>
              <w:rPr>
                <w:sz w:val="22"/>
                <w:szCs w:val="22"/>
              </w:rPr>
              <w:t xml:space="preserve">, with </w:t>
            </w:r>
            <w:r w:rsidR="00C322D3">
              <w:rPr>
                <w:sz w:val="22"/>
                <w:szCs w:val="22"/>
              </w:rPr>
              <w:t xml:space="preserve">bidder flexibility to designate </w:t>
            </w:r>
            <w:r>
              <w:rPr>
                <w:sz w:val="22"/>
                <w:szCs w:val="22"/>
              </w:rPr>
              <w:t xml:space="preserve">either low </w:t>
            </w:r>
            <w:r w:rsidR="00C322D3">
              <w:rPr>
                <w:sz w:val="22"/>
                <w:szCs w:val="22"/>
              </w:rPr>
              <w:t xml:space="preserve">or high </w:t>
            </w:r>
            <w:r>
              <w:rPr>
                <w:sz w:val="22"/>
                <w:szCs w:val="22"/>
              </w:rPr>
              <w:t>latency</w:t>
            </w:r>
            <w:r w:rsidR="00B45FA3">
              <w:rPr>
                <w:sz w:val="22"/>
                <w:szCs w:val="22"/>
              </w:rPr>
              <w:t xml:space="preserve"> for each</w:t>
            </w:r>
          </w:p>
          <w:p w14:paraId="2D07A0BF" w14:textId="5597D02B" w:rsidR="00954DEF" w:rsidRPr="00D122B6" w:rsidRDefault="00954DEF" w:rsidP="00954DEF">
            <w:pPr>
              <w:pStyle w:val="ParaNum"/>
              <w:widowControl/>
              <w:numPr>
                <w:ilvl w:val="1"/>
                <w:numId w:val="3"/>
              </w:numPr>
              <w:rPr>
                <w:szCs w:val="22"/>
              </w:rPr>
            </w:pPr>
            <w:r>
              <w:rPr>
                <w:szCs w:val="22"/>
              </w:rPr>
              <w:t xml:space="preserve">A </w:t>
            </w:r>
            <w:r w:rsidRPr="00D122B6">
              <w:rPr>
                <w:szCs w:val="22"/>
              </w:rPr>
              <w:t xml:space="preserve">minimum performance tier </w:t>
            </w:r>
            <w:r>
              <w:rPr>
                <w:szCs w:val="22"/>
              </w:rPr>
              <w:t>that r</w:t>
            </w:r>
            <w:r w:rsidRPr="00D122B6">
              <w:rPr>
                <w:szCs w:val="22"/>
              </w:rPr>
              <w:t xml:space="preserve">equires bidders </w:t>
            </w:r>
            <w:r>
              <w:rPr>
                <w:szCs w:val="22"/>
              </w:rPr>
              <w:t xml:space="preserve">to </w:t>
            </w:r>
            <w:r w:rsidRPr="00D122B6">
              <w:rPr>
                <w:szCs w:val="22"/>
              </w:rPr>
              <w:t>commit to provide broadband speeds of at least 10 Mbps downstream and 1 Mbps upstream (10/1 Mbps) and offer at least 150 gigabytes (GB) of monthly usage.</w:t>
            </w:r>
          </w:p>
          <w:p w14:paraId="18AE8C31" w14:textId="403163D8" w:rsidR="00954DEF" w:rsidRPr="00D122B6" w:rsidRDefault="00954DEF" w:rsidP="00954DEF">
            <w:pPr>
              <w:pStyle w:val="ParaNum"/>
              <w:widowControl/>
              <w:numPr>
                <w:ilvl w:val="1"/>
                <w:numId w:val="3"/>
              </w:numPr>
              <w:rPr>
                <w:szCs w:val="22"/>
              </w:rPr>
            </w:pPr>
            <w:r>
              <w:rPr>
                <w:szCs w:val="22"/>
              </w:rPr>
              <w:t>A</w:t>
            </w:r>
            <w:r w:rsidRPr="00D122B6">
              <w:rPr>
                <w:szCs w:val="22"/>
              </w:rPr>
              <w:t xml:space="preserve"> baseline performance tier </w:t>
            </w:r>
            <w:r>
              <w:rPr>
                <w:szCs w:val="22"/>
              </w:rPr>
              <w:t xml:space="preserve">that </w:t>
            </w:r>
            <w:r w:rsidRPr="00D122B6">
              <w:rPr>
                <w:szCs w:val="22"/>
              </w:rPr>
              <w:t xml:space="preserve">requires bidders </w:t>
            </w:r>
            <w:r>
              <w:rPr>
                <w:szCs w:val="22"/>
              </w:rPr>
              <w:t xml:space="preserve">to </w:t>
            </w:r>
            <w:r w:rsidRPr="00D122B6">
              <w:rPr>
                <w:szCs w:val="22"/>
              </w:rPr>
              <w:t xml:space="preserve">commit to provide at least 25 Mbps downstream and 3 Mbps upstream (25/3 Mbps) and </w:t>
            </w:r>
            <w:r w:rsidRPr="00D122B6">
              <w:t>offer a minimum usage allowance of 150 GB per month, or that reflects the average usage of a majority of fixed broadband customers</w:t>
            </w:r>
            <w:r w:rsidR="00B45FA3">
              <w:t xml:space="preserve"> nationwide</w:t>
            </w:r>
            <w:r w:rsidRPr="00D122B6">
              <w:t>, using Measuring Broadband America data or a similar data source, whichever is higher</w:t>
            </w:r>
            <w:r w:rsidRPr="00D122B6">
              <w:rPr>
                <w:szCs w:val="22"/>
              </w:rPr>
              <w:t>.</w:t>
            </w:r>
          </w:p>
          <w:p w14:paraId="7B44EE3E" w14:textId="602F2A68" w:rsidR="00954DEF" w:rsidRPr="00D122B6" w:rsidRDefault="00954DEF" w:rsidP="00954DEF">
            <w:pPr>
              <w:pStyle w:val="ParaNum"/>
              <w:widowControl/>
              <w:numPr>
                <w:ilvl w:val="1"/>
                <w:numId w:val="3"/>
              </w:numPr>
              <w:rPr>
                <w:szCs w:val="22"/>
              </w:rPr>
            </w:pPr>
            <w:r>
              <w:rPr>
                <w:szCs w:val="22"/>
              </w:rPr>
              <w:t>An a</w:t>
            </w:r>
            <w:r w:rsidRPr="00D122B6">
              <w:rPr>
                <w:szCs w:val="22"/>
              </w:rPr>
              <w:t xml:space="preserve">bove-baseline performance tier </w:t>
            </w:r>
            <w:r>
              <w:rPr>
                <w:szCs w:val="22"/>
              </w:rPr>
              <w:t xml:space="preserve">that </w:t>
            </w:r>
            <w:r w:rsidRPr="00D122B6">
              <w:rPr>
                <w:szCs w:val="22"/>
              </w:rPr>
              <w:t>requires bidders commit to provide at least 100 Mbps downstream and 20 Mbps upstream (100/20 Mbps) and offer an unlimited monthly usage allowance.</w:t>
            </w:r>
          </w:p>
          <w:p w14:paraId="1E74B471" w14:textId="3932C63F" w:rsidR="00954DEF" w:rsidRPr="00D122B6" w:rsidRDefault="00954DEF" w:rsidP="00954DEF">
            <w:pPr>
              <w:pStyle w:val="ParaNum"/>
              <w:widowControl/>
              <w:numPr>
                <w:ilvl w:val="1"/>
                <w:numId w:val="3"/>
              </w:numPr>
              <w:rPr>
                <w:szCs w:val="22"/>
              </w:rPr>
            </w:pPr>
            <w:r>
              <w:rPr>
                <w:szCs w:val="22"/>
              </w:rPr>
              <w:t xml:space="preserve">A </w:t>
            </w:r>
            <w:r w:rsidRPr="00D122B6">
              <w:rPr>
                <w:szCs w:val="22"/>
              </w:rPr>
              <w:t xml:space="preserve">Gigabit performance tier </w:t>
            </w:r>
            <w:r>
              <w:rPr>
                <w:szCs w:val="22"/>
              </w:rPr>
              <w:t xml:space="preserve">that </w:t>
            </w:r>
            <w:r w:rsidRPr="00D122B6">
              <w:rPr>
                <w:szCs w:val="22"/>
              </w:rPr>
              <w:t>requires bidders commit to provide at least 1 Gigabit per second (Gbps) downstream and 500 Mbps upstream and offer an unlimited monthly usage allowance.</w:t>
            </w:r>
          </w:p>
          <w:p w14:paraId="598911BE" w14:textId="77777777" w:rsidR="00034F2D" w:rsidRPr="005F6703" w:rsidRDefault="00034F2D" w:rsidP="00034F2D">
            <w:pPr>
              <w:pStyle w:val="ListParagraph"/>
              <w:ind w:left="2520"/>
              <w:rPr>
                <w:sz w:val="22"/>
                <w:szCs w:val="22"/>
              </w:rPr>
            </w:pPr>
          </w:p>
          <w:p w14:paraId="7A7A8986" w14:textId="1F74DCF9" w:rsidR="008A6FBE" w:rsidRPr="005F6703" w:rsidRDefault="002C6568" w:rsidP="00954DEF">
            <w:pPr>
              <w:pStyle w:val="ListParagraph"/>
              <w:numPr>
                <w:ilvl w:val="0"/>
                <w:numId w:val="3"/>
              </w:numPr>
              <w:rPr>
                <w:sz w:val="22"/>
                <w:szCs w:val="22"/>
              </w:rPr>
            </w:pPr>
            <w:r>
              <w:rPr>
                <w:sz w:val="22"/>
                <w:szCs w:val="22"/>
              </w:rPr>
              <w:t>A</w:t>
            </w:r>
            <w:r w:rsidR="008A6FBE" w:rsidRPr="005F6703">
              <w:rPr>
                <w:sz w:val="22"/>
                <w:szCs w:val="22"/>
              </w:rPr>
              <w:t xml:space="preserve"> $215 million budget for support annually</w:t>
            </w:r>
          </w:p>
          <w:p w14:paraId="1ABD7CE3" w14:textId="2B68B769" w:rsidR="005F6703" w:rsidRDefault="002D02C4" w:rsidP="00954DEF">
            <w:pPr>
              <w:pStyle w:val="ListParagraph"/>
              <w:numPr>
                <w:ilvl w:val="0"/>
                <w:numId w:val="3"/>
              </w:numPr>
              <w:rPr>
                <w:sz w:val="22"/>
                <w:szCs w:val="22"/>
              </w:rPr>
            </w:pPr>
            <w:r w:rsidRPr="005F6703">
              <w:rPr>
                <w:sz w:val="22"/>
                <w:szCs w:val="22"/>
              </w:rPr>
              <w:t>Network build-out requirements: 40% three years after authorization, 60% after four years, 80% after five years, and 100% by six years</w:t>
            </w:r>
          </w:p>
          <w:p w14:paraId="55B8AAE1" w14:textId="5F2FB9A2" w:rsidR="00C322D3" w:rsidRDefault="00C322D3" w:rsidP="00954DEF">
            <w:pPr>
              <w:pStyle w:val="ListParagraph"/>
              <w:numPr>
                <w:ilvl w:val="0"/>
                <w:numId w:val="3"/>
              </w:numPr>
              <w:rPr>
                <w:sz w:val="22"/>
                <w:szCs w:val="22"/>
              </w:rPr>
            </w:pPr>
            <w:r>
              <w:rPr>
                <w:sz w:val="22"/>
                <w:szCs w:val="22"/>
              </w:rPr>
              <w:t>An application process for auction participants, designed to encourage broad participation from a range of providers</w:t>
            </w:r>
          </w:p>
          <w:p w14:paraId="7ABD30AE" w14:textId="03C272BF" w:rsidR="002E35C5" w:rsidRDefault="002E35C5" w:rsidP="00954DEF">
            <w:pPr>
              <w:pStyle w:val="ListParagraph"/>
              <w:numPr>
                <w:ilvl w:val="0"/>
                <w:numId w:val="3"/>
              </w:numPr>
              <w:rPr>
                <w:sz w:val="22"/>
                <w:szCs w:val="22"/>
              </w:rPr>
            </w:pPr>
            <w:r>
              <w:rPr>
                <w:sz w:val="22"/>
                <w:szCs w:val="22"/>
              </w:rPr>
              <w:t>Reporting requirements that will enable the Commission to monitor the progress of deployment</w:t>
            </w:r>
          </w:p>
          <w:p w14:paraId="1DDF44EB" w14:textId="71B7B6C0" w:rsidR="002E35C5" w:rsidRDefault="002C6568" w:rsidP="00954DEF">
            <w:pPr>
              <w:pStyle w:val="ListParagraph"/>
              <w:numPr>
                <w:ilvl w:val="0"/>
                <w:numId w:val="3"/>
              </w:numPr>
              <w:rPr>
                <w:sz w:val="22"/>
                <w:szCs w:val="22"/>
              </w:rPr>
            </w:pPr>
            <w:r>
              <w:rPr>
                <w:sz w:val="22"/>
                <w:szCs w:val="22"/>
              </w:rPr>
              <w:t xml:space="preserve">A </w:t>
            </w:r>
            <w:r w:rsidR="002E35C5">
              <w:rPr>
                <w:sz w:val="22"/>
                <w:szCs w:val="22"/>
              </w:rPr>
              <w:t>fram</w:t>
            </w:r>
            <w:r w:rsidR="006D7282">
              <w:rPr>
                <w:sz w:val="22"/>
                <w:szCs w:val="22"/>
              </w:rPr>
              <w:t>ework for a Remote Areas Fund</w:t>
            </w:r>
            <w:r w:rsidR="00AD3C6F">
              <w:rPr>
                <w:sz w:val="22"/>
                <w:szCs w:val="22"/>
              </w:rPr>
              <w:t xml:space="preserve"> auction </w:t>
            </w:r>
            <w:r w:rsidR="00C322D3">
              <w:rPr>
                <w:sz w:val="22"/>
                <w:szCs w:val="22"/>
              </w:rPr>
              <w:t>to address those</w:t>
            </w:r>
            <w:r w:rsidR="006D7282">
              <w:rPr>
                <w:sz w:val="22"/>
                <w:szCs w:val="22"/>
              </w:rPr>
              <w:t xml:space="preserve"> areas that receive no </w:t>
            </w:r>
            <w:r w:rsidR="00C322D3">
              <w:rPr>
                <w:sz w:val="22"/>
                <w:szCs w:val="22"/>
              </w:rPr>
              <w:t xml:space="preserve">winning </w:t>
            </w:r>
            <w:r w:rsidR="006D7282">
              <w:rPr>
                <w:sz w:val="22"/>
                <w:szCs w:val="22"/>
              </w:rPr>
              <w:t>bids in this auction</w:t>
            </w:r>
          </w:p>
          <w:p w14:paraId="68D7CB79" w14:textId="77777777" w:rsidR="006D7282" w:rsidRPr="006D7282" w:rsidRDefault="006D7282" w:rsidP="006D7282">
            <w:pPr>
              <w:ind w:left="720"/>
              <w:rPr>
                <w:sz w:val="22"/>
                <w:szCs w:val="22"/>
              </w:rPr>
            </w:pPr>
          </w:p>
          <w:p w14:paraId="6B50FC87" w14:textId="77777777" w:rsidR="002E35C5" w:rsidRDefault="002E35C5" w:rsidP="002E35C5">
            <w:pPr>
              <w:rPr>
                <w:sz w:val="22"/>
                <w:szCs w:val="22"/>
              </w:rPr>
            </w:pPr>
          </w:p>
          <w:p w14:paraId="1A9DBDA3" w14:textId="3D7162A7" w:rsidR="002E35C5" w:rsidRDefault="002E35C5" w:rsidP="002E35C5">
            <w:pPr>
              <w:rPr>
                <w:sz w:val="20"/>
                <w:szCs w:val="20"/>
              </w:rPr>
            </w:pPr>
            <w:r>
              <w:rPr>
                <w:sz w:val="22"/>
                <w:szCs w:val="22"/>
              </w:rPr>
              <w:t xml:space="preserve">A Further Notice of Proposed Rulemaking </w:t>
            </w:r>
            <w:r w:rsidR="00954DEF" w:rsidRPr="006C56F6">
              <w:rPr>
                <w:sz w:val="22"/>
                <w:szCs w:val="22"/>
              </w:rPr>
              <w:t>seek</w:t>
            </w:r>
            <w:r w:rsidR="00C322D3">
              <w:rPr>
                <w:sz w:val="22"/>
                <w:szCs w:val="22"/>
              </w:rPr>
              <w:t>s</w:t>
            </w:r>
            <w:r w:rsidR="00954DEF" w:rsidRPr="006C56F6">
              <w:rPr>
                <w:sz w:val="22"/>
                <w:szCs w:val="22"/>
              </w:rPr>
              <w:t xml:space="preserve"> comment on several specific procedures </w:t>
            </w:r>
            <w:r w:rsidR="00F96FD5">
              <w:rPr>
                <w:sz w:val="22"/>
                <w:szCs w:val="22"/>
              </w:rPr>
              <w:t>for</w:t>
            </w:r>
            <w:r w:rsidR="00954DEF" w:rsidRPr="006C56F6">
              <w:rPr>
                <w:sz w:val="22"/>
                <w:szCs w:val="22"/>
              </w:rPr>
              <w:t xml:space="preserve"> the Phase II auction, including how to apply weights to the different levels of performance adopted in the Order, measures to achieve the public interest objective of ensuring appropriate support for all of the states, and measures to achieve the public interest objective of expanding broadband on Tribal lands. </w:t>
            </w:r>
            <w:r w:rsidR="00954DEF" w:rsidRPr="00D122B6">
              <w:t xml:space="preserve"> </w:t>
            </w:r>
            <w:r w:rsidR="00954DEF" w:rsidRPr="006C56F6">
              <w:rPr>
                <w:sz w:val="22"/>
                <w:szCs w:val="22"/>
              </w:rPr>
              <w:t xml:space="preserve">A forthcoming </w:t>
            </w:r>
            <w:r w:rsidR="00954DEF" w:rsidRPr="006C56F6">
              <w:rPr>
                <w:i/>
                <w:sz w:val="22"/>
                <w:szCs w:val="22"/>
              </w:rPr>
              <w:t>Auction Comment PN</w:t>
            </w:r>
            <w:r w:rsidR="00954DEF" w:rsidRPr="006C56F6">
              <w:rPr>
                <w:sz w:val="22"/>
                <w:szCs w:val="22"/>
              </w:rPr>
              <w:t xml:space="preserve"> will seek comment on other auction procedures that must be resolved in order to conduct the auction</w:t>
            </w:r>
            <w:r w:rsidR="00954DEF" w:rsidRPr="006C56F6">
              <w:rPr>
                <w:sz w:val="20"/>
                <w:szCs w:val="20"/>
              </w:rPr>
              <w:t>.</w:t>
            </w:r>
            <w:r w:rsidR="00954DEF" w:rsidRPr="006C56F6" w:rsidDel="00954DEF">
              <w:rPr>
                <w:sz w:val="20"/>
                <w:szCs w:val="20"/>
              </w:rPr>
              <w:t xml:space="preserve"> </w:t>
            </w:r>
          </w:p>
          <w:p w14:paraId="1B6C83E1" w14:textId="77777777" w:rsidR="00690FDF" w:rsidRDefault="00690FDF" w:rsidP="002E35C5">
            <w:pPr>
              <w:rPr>
                <w:sz w:val="20"/>
                <w:szCs w:val="20"/>
              </w:rPr>
            </w:pPr>
          </w:p>
          <w:p w14:paraId="1F891C1E" w14:textId="2C5410D0" w:rsidR="00690FDF" w:rsidRDefault="00690FDF" w:rsidP="00690FDF">
            <w:pPr>
              <w:rPr>
                <w:sz w:val="22"/>
                <w:szCs w:val="22"/>
              </w:rPr>
            </w:pPr>
            <w:r w:rsidRPr="00690FDF">
              <w:rPr>
                <w:sz w:val="22"/>
                <w:szCs w:val="22"/>
              </w:rPr>
              <w:t xml:space="preserve">Action by the Commission May 25, 2016 by Report </w:t>
            </w:r>
            <w:r w:rsidR="00D32310">
              <w:rPr>
                <w:sz w:val="22"/>
                <w:szCs w:val="22"/>
              </w:rPr>
              <w:t>and</w:t>
            </w:r>
            <w:r w:rsidRPr="00690FDF">
              <w:rPr>
                <w:sz w:val="22"/>
                <w:szCs w:val="22"/>
              </w:rPr>
              <w:t xml:space="preserve"> Order and Further Notice of Proposed Rulemaking (FCC 16- 64).  Chairman Wheeler, Commissioners Clyburn, and Rosenworcel approving. Commissioner Pai approving in part and concurring in part. Commissioner O’Rielly approving in part and dissenting in part.  Chairman Wheeler, Commissioners Clyburn, Rosenworcel, Pai and O’Rielly issuing separate statements.  </w:t>
            </w:r>
          </w:p>
          <w:p w14:paraId="6A0879A5" w14:textId="77777777" w:rsidR="00690FDF" w:rsidRPr="00690FDF" w:rsidRDefault="00690FDF" w:rsidP="00690FDF">
            <w:pPr>
              <w:rPr>
                <w:sz w:val="22"/>
                <w:szCs w:val="22"/>
              </w:rPr>
            </w:pPr>
          </w:p>
          <w:p w14:paraId="622FAB78" w14:textId="77777777" w:rsidR="00690FDF" w:rsidRPr="00690FDF" w:rsidRDefault="00690FDF" w:rsidP="00690FDF">
            <w:pPr>
              <w:rPr>
                <w:sz w:val="22"/>
                <w:szCs w:val="22"/>
              </w:rPr>
            </w:pPr>
            <w:r w:rsidRPr="00690FDF">
              <w:rPr>
                <w:sz w:val="22"/>
                <w:szCs w:val="22"/>
              </w:rPr>
              <w:t>WC Docket No. 10-90; WC Docket No. 14-58; WC Docket No. 14-259</w:t>
            </w:r>
          </w:p>
          <w:p w14:paraId="2D0C1E77" w14:textId="77777777" w:rsidR="00690FDF" w:rsidRPr="006C56F6" w:rsidRDefault="00690FDF" w:rsidP="002E35C5">
            <w:pPr>
              <w:rPr>
                <w:sz w:val="20"/>
                <w:szCs w:val="20"/>
              </w:rPr>
            </w:pPr>
          </w:p>
          <w:p w14:paraId="2A8AF192" w14:textId="77777777" w:rsidR="006D7282" w:rsidRDefault="006D7282" w:rsidP="002E35C5">
            <w:pPr>
              <w:rPr>
                <w:sz w:val="22"/>
                <w:szCs w:val="22"/>
              </w:rPr>
            </w:pPr>
          </w:p>
          <w:p w14:paraId="2F624389" w14:textId="77777777" w:rsidR="006D7282" w:rsidRPr="002E35C5" w:rsidRDefault="006D7282" w:rsidP="002E35C5">
            <w:pPr>
              <w:rPr>
                <w:sz w:val="22"/>
                <w:szCs w:val="22"/>
              </w:rPr>
            </w:pPr>
          </w:p>
          <w:p w14:paraId="07DAEBB3" w14:textId="77777777" w:rsidR="004F33C6" w:rsidRDefault="004F33C6" w:rsidP="00482285">
            <w:pPr>
              <w:ind w:left="360"/>
            </w:pPr>
          </w:p>
          <w:p w14:paraId="7490E38D" w14:textId="77777777" w:rsidR="00BD19E8" w:rsidRPr="009972BC" w:rsidRDefault="00BD19E8" w:rsidP="00DA7B44">
            <w:pPr>
              <w:rPr>
                <w:rStyle w:val="Hyperlink"/>
                <w:color w:val="auto"/>
                <w:sz w:val="22"/>
                <w:szCs w:val="22"/>
                <w:u w:val="none"/>
              </w:rPr>
            </w:pPr>
          </w:p>
          <w:p w14:paraId="75769AE5" w14:textId="77777777" w:rsidR="004F0F1F" w:rsidRPr="009972BC" w:rsidRDefault="00F708E3" w:rsidP="00BB4E29">
            <w:pPr>
              <w:ind w:right="240"/>
              <w:jc w:val="center"/>
              <w:rPr>
                <w:sz w:val="22"/>
                <w:szCs w:val="22"/>
              </w:rPr>
            </w:pPr>
            <w:r w:rsidRPr="009972BC">
              <w:rPr>
                <w:sz w:val="22"/>
                <w:szCs w:val="22"/>
              </w:rPr>
              <w:t>###</w:t>
            </w:r>
          </w:p>
          <w:p w14:paraId="62213B00"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FE159ED"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7343944A" w14:textId="77777777" w:rsidR="00CC5E08" w:rsidRPr="006B0A70" w:rsidRDefault="006A2FC5" w:rsidP="00BB4E29">
            <w:pPr>
              <w:ind w:right="498"/>
              <w:jc w:val="center"/>
              <w:rPr>
                <w:b/>
                <w:bCs/>
                <w:sz w:val="18"/>
                <w:szCs w:val="18"/>
              </w:rPr>
            </w:pPr>
            <w:r>
              <w:rPr>
                <w:b/>
                <w:bCs/>
                <w:sz w:val="18"/>
                <w:szCs w:val="18"/>
              </w:rPr>
              <w:t>Twitter: @FCC</w:t>
            </w:r>
          </w:p>
          <w:p w14:paraId="029CC7C2" w14:textId="0ACD0720" w:rsidR="00CC5E08" w:rsidRDefault="003B4E74"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53A80E1B" w14:textId="77777777" w:rsidR="0069420F" w:rsidRPr="00EE0E90" w:rsidRDefault="0069420F" w:rsidP="00BB4E29">
            <w:pPr>
              <w:ind w:right="498"/>
              <w:jc w:val="center"/>
              <w:rPr>
                <w:b/>
                <w:bCs/>
                <w:sz w:val="18"/>
                <w:szCs w:val="18"/>
              </w:rPr>
            </w:pPr>
          </w:p>
          <w:p w14:paraId="7131F73A"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4EEC11C"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A4E8" w14:textId="77777777" w:rsidR="00942288" w:rsidRDefault="00942288" w:rsidP="00942288">
      <w:r>
        <w:separator/>
      </w:r>
    </w:p>
  </w:endnote>
  <w:endnote w:type="continuationSeparator" w:id="0">
    <w:p w14:paraId="44B3F20D" w14:textId="77777777" w:rsidR="00942288" w:rsidRDefault="00942288" w:rsidP="0094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5876" w14:textId="77777777" w:rsidR="00942288" w:rsidRDefault="00942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7074" w14:textId="77777777" w:rsidR="00942288" w:rsidRDefault="00942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ADB7" w14:textId="77777777" w:rsidR="00942288" w:rsidRDefault="00942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5DD4" w14:textId="77777777" w:rsidR="00942288" w:rsidRDefault="00942288" w:rsidP="00942288">
      <w:r>
        <w:separator/>
      </w:r>
    </w:p>
  </w:footnote>
  <w:footnote w:type="continuationSeparator" w:id="0">
    <w:p w14:paraId="54B3CC47" w14:textId="77777777" w:rsidR="00942288" w:rsidRDefault="00942288" w:rsidP="0094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6B18" w14:textId="77777777" w:rsidR="00942288" w:rsidRDefault="00942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1143" w14:textId="77777777" w:rsidR="00942288" w:rsidRDefault="00942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90AD7" w14:textId="77777777" w:rsidR="00942288" w:rsidRDefault="00942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54A"/>
    <w:multiLevelType w:val="hybridMultilevel"/>
    <w:tmpl w:val="E42C2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F88019C"/>
    <w:multiLevelType w:val="hybridMultilevel"/>
    <w:tmpl w:val="6B5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D46AE"/>
    <w:multiLevelType w:val="hybridMultilevel"/>
    <w:tmpl w:val="ACF6C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5C"/>
    <w:rsid w:val="0002500C"/>
    <w:rsid w:val="000311FC"/>
    <w:rsid w:val="00034F2D"/>
    <w:rsid w:val="00040127"/>
    <w:rsid w:val="00041383"/>
    <w:rsid w:val="00045012"/>
    <w:rsid w:val="00081232"/>
    <w:rsid w:val="000852B9"/>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2089"/>
    <w:rsid w:val="001E65DF"/>
    <w:rsid w:val="001F0469"/>
    <w:rsid w:val="00203A98"/>
    <w:rsid w:val="00206EDD"/>
    <w:rsid w:val="0021247E"/>
    <w:rsid w:val="002146F6"/>
    <w:rsid w:val="00215BED"/>
    <w:rsid w:val="00230E8C"/>
    <w:rsid w:val="00231C32"/>
    <w:rsid w:val="00240345"/>
    <w:rsid w:val="002421F0"/>
    <w:rsid w:val="00247274"/>
    <w:rsid w:val="00266966"/>
    <w:rsid w:val="00294C0C"/>
    <w:rsid w:val="002A0934"/>
    <w:rsid w:val="002B1013"/>
    <w:rsid w:val="002C6568"/>
    <w:rsid w:val="002D02C4"/>
    <w:rsid w:val="002D03E5"/>
    <w:rsid w:val="002E35C5"/>
    <w:rsid w:val="002E3F1D"/>
    <w:rsid w:val="002F31D0"/>
    <w:rsid w:val="002F64A4"/>
    <w:rsid w:val="00300359"/>
    <w:rsid w:val="0031773E"/>
    <w:rsid w:val="00347716"/>
    <w:rsid w:val="003506E1"/>
    <w:rsid w:val="003727E3"/>
    <w:rsid w:val="00385A93"/>
    <w:rsid w:val="003910F1"/>
    <w:rsid w:val="003A5BBA"/>
    <w:rsid w:val="003B4E74"/>
    <w:rsid w:val="003B565C"/>
    <w:rsid w:val="003E3DDF"/>
    <w:rsid w:val="003E42FC"/>
    <w:rsid w:val="003E5991"/>
    <w:rsid w:val="003F344A"/>
    <w:rsid w:val="00403FF0"/>
    <w:rsid w:val="0042046D"/>
    <w:rsid w:val="00425AEF"/>
    <w:rsid w:val="00426518"/>
    <w:rsid w:val="00427B06"/>
    <w:rsid w:val="00441F59"/>
    <w:rsid w:val="00444E07"/>
    <w:rsid w:val="00444FA9"/>
    <w:rsid w:val="00473E9C"/>
    <w:rsid w:val="00480099"/>
    <w:rsid w:val="00482285"/>
    <w:rsid w:val="00497858"/>
    <w:rsid w:val="004B4FEA"/>
    <w:rsid w:val="004C01D0"/>
    <w:rsid w:val="004C0ADA"/>
    <w:rsid w:val="004C433E"/>
    <w:rsid w:val="004C4512"/>
    <w:rsid w:val="004C4F36"/>
    <w:rsid w:val="004D3D85"/>
    <w:rsid w:val="004E2BD8"/>
    <w:rsid w:val="004F0795"/>
    <w:rsid w:val="004F0F1F"/>
    <w:rsid w:val="004F33C6"/>
    <w:rsid w:val="005022AA"/>
    <w:rsid w:val="00504845"/>
    <w:rsid w:val="0050757F"/>
    <w:rsid w:val="00516AD2"/>
    <w:rsid w:val="00535743"/>
    <w:rsid w:val="00545DAE"/>
    <w:rsid w:val="00571B83"/>
    <w:rsid w:val="00575A00"/>
    <w:rsid w:val="0058673C"/>
    <w:rsid w:val="005A7972"/>
    <w:rsid w:val="005B17E7"/>
    <w:rsid w:val="005B2643"/>
    <w:rsid w:val="005D17FD"/>
    <w:rsid w:val="005E28AA"/>
    <w:rsid w:val="005F0D55"/>
    <w:rsid w:val="005F183E"/>
    <w:rsid w:val="005F6703"/>
    <w:rsid w:val="00600DDA"/>
    <w:rsid w:val="00604211"/>
    <w:rsid w:val="00613498"/>
    <w:rsid w:val="00617B94"/>
    <w:rsid w:val="00620BED"/>
    <w:rsid w:val="006228F5"/>
    <w:rsid w:val="006415B4"/>
    <w:rsid w:val="00644E3D"/>
    <w:rsid w:val="00651B9E"/>
    <w:rsid w:val="00652019"/>
    <w:rsid w:val="00657EC9"/>
    <w:rsid w:val="00665633"/>
    <w:rsid w:val="00674C86"/>
    <w:rsid w:val="0068015E"/>
    <w:rsid w:val="006861AB"/>
    <w:rsid w:val="00686B89"/>
    <w:rsid w:val="00690EE1"/>
    <w:rsid w:val="00690FDF"/>
    <w:rsid w:val="0069420F"/>
    <w:rsid w:val="00695EAA"/>
    <w:rsid w:val="006A2FC5"/>
    <w:rsid w:val="006A7D75"/>
    <w:rsid w:val="006B0A70"/>
    <w:rsid w:val="006B606A"/>
    <w:rsid w:val="006C33AF"/>
    <w:rsid w:val="006C56F6"/>
    <w:rsid w:val="006D5D22"/>
    <w:rsid w:val="006D728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6FBE"/>
    <w:rsid w:val="008B13C9"/>
    <w:rsid w:val="008C248C"/>
    <w:rsid w:val="008C5432"/>
    <w:rsid w:val="008C7BF1"/>
    <w:rsid w:val="008D00D6"/>
    <w:rsid w:val="008D4D00"/>
    <w:rsid w:val="008D4E5E"/>
    <w:rsid w:val="008D7ABD"/>
    <w:rsid w:val="008E55A2"/>
    <w:rsid w:val="008F1609"/>
    <w:rsid w:val="008F78D8"/>
    <w:rsid w:val="00937F1B"/>
    <w:rsid w:val="00942288"/>
    <w:rsid w:val="0094590E"/>
    <w:rsid w:val="00954DEF"/>
    <w:rsid w:val="00961620"/>
    <w:rsid w:val="009734B6"/>
    <w:rsid w:val="0098096F"/>
    <w:rsid w:val="0098437A"/>
    <w:rsid w:val="00986C92"/>
    <w:rsid w:val="00993C47"/>
    <w:rsid w:val="00994F44"/>
    <w:rsid w:val="009972BC"/>
    <w:rsid w:val="009B4B16"/>
    <w:rsid w:val="009C0CFF"/>
    <w:rsid w:val="009E54A1"/>
    <w:rsid w:val="009F4E25"/>
    <w:rsid w:val="009F5B1F"/>
    <w:rsid w:val="00A35DFD"/>
    <w:rsid w:val="00A405D1"/>
    <w:rsid w:val="00A702DF"/>
    <w:rsid w:val="00A775A3"/>
    <w:rsid w:val="00A81B5B"/>
    <w:rsid w:val="00A82FAD"/>
    <w:rsid w:val="00A9673A"/>
    <w:rsid w:val="00A96EF2"/>
    <w:rsid w:val="00AA5C35"/>
    <w:rsid w:val="00AA5ED9"/>
    <w:rsid w:val="00AC0A38"/>
    <w:rsid w:val="00AC4E0E"/>
    <w:rsid w:val="00AC517B"/>
    <w:rsid w:val="00AD0D19"/>
    <w:rsid w:val="00AD3C6F"/>
    <w:rsid w:val="00AF051B"/>
    <w:rsid w:val="00B037A2"/>
    <w:rsid w:val="00B31870"/>
    <w:rsid w:val="00B320B8"/>
    <w:rsid w:val="00B35EE2"/>
    <w:rsid w:val="00B36DEF"/>
    <w:rsid w:val="00B37528"/>
    <w:rsid w:val="00B45FA3"/>
    <w:rsid w:val="00B57131"/>
    <w:rsid w:val="00B62F2C"/>
    <w:rsid w:val="00B727C9"/>
    <w:rsid w:val="00B735C8"/>
    <w:rsid w:val="00B76A63"/>
    <w:rsid w:val="00BA6350"/>
    <w:rsid w:val="00BB4E29"/>
    <w:rsid w:val="00BB74C9"/>
    <w:rsid w:val="00BC3AB6"/>
    <w:rsid w:val="00BD19E8"/>
    <w:rsid w:val="00BD4273"/>
    <w:rsid w:val="00C322D3"/>
    <w:rsid w:val="00C432E4"/>
    <w:rsid w:val="00C64CEC"/>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2310"/>
    <w:rsid w:val="00D34D77"/>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0F09"/>
    <w:rsid w:val="00E606DE"/>
    <w:rsid w:val="00E644FE"/>
    <w:rsid w:val="00E72733"/>
    <w:rsid w:val="00E742FA"/>
    <w:rsid w:val="00E75232"/>
    <w:rsid w:val="00E76816"/>
    <w:rsid w:val="00E83DBF"/>
    <w:rsid w:val="00E87C13"/>
    <w:rsid w:val="00E94CD9"/>
    <w:rsid w:val="00EA1A76"/>
    <w:rsid w:val="00EA290B"/>
    <w:rsid w:val="00EE0E90"/>
    <w:rsid w:val="00EF3BCA"/>
    <w:rsid w:val="00F01B0D"/>
    <w:rsid w:val="00F113B2"/>
    <w:rsid w:val="00F1238F"/>
    <w:rsid w:val="00F16485"/>
    <w:rsid w:val="00F228ED"/>
    <w:rsid w:val="00F262A3"/>
    <w:rsid w:val="00F26E31"/>
    <w:rsid w:val="00F27C6C"/>
    <w:rsid w:val="00F34A8D"/>
    <w:rsid w:val="00F50D25"/>
    <w:rsid w:val="00F535D8"/>
    <w:rsid w:val="00F61155"/>
    <w:rsid w:val="00F708E3"/>
    <w:rsid w:val="00F76561"/>
    <w:rsid w:val="00F84736"/>
    <w:rsid w:val="00F96E14"/>
    <w:rsid w:val="00F96FD5"/>
    <w:rsid w:val="00FC6C29"/>
    <w:rsid w:val="00FD3883"/>
    <w:rsid w:val="00FD58E0"/>
    <w:rsid w:val="00FD63BC"/>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F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482285"/>
    <w:pPr>
      <w:ind w:left="720"/>
      <w:contextualSpacing/>
    </w:pPr>
    <w:rPr>
      <w:rFonts w:eastAsiaTheme="minorEastAsia"/>
    </w:rPr>
  </w:style>
  <w:style w:type="character" w:styleId="CommentReference">
    <w:name w:val="annotation reference"/>
    <w:basedOn w:val="DefaultParagraphFont"/>
    <w:uiPriority w:val="99"/>
    <w:semiHidden/>
    <w:unhideWhenUsed/>
    <w:rsid w:val="002D02C4"/>
    <w:rPr>
      <w:sz w:val="16"/>
      <w:szCs w:val="16"/>
    </w:rPr>
  </w:style>
  <w:style w:type="paragraph" w:styleId="CommentText">
    <w:name w:val="annotation text"/>
    <w:basedOn w:val="Normal"/>
    <w:link w:val="CommentTextChar"/>
    <w:uiPriority w:val="99"/>
    <w:semiHidden/>
    <w:unhideWhenUsed/>
    <w:rsid w:val="002D02C4"/>
    <w:rPr>
      <w:rFonts w:eastAsiaTheme="minorEastAsia"/>
      <w:sz w:val="20"/>
      <w:szCs w:val="20"/>
    </w:rPr>
  </w:style>
  <w:style w:type="character" w:customStyle="1" w:styleId="CommentTextChar">
    <w:name w:val="Comment Text Char"/>
    <w:basedOn w:val="DefaultParagraphFont"/>
    <w:link w:val="CommentText"/>
    <w:uiPriority w:val="99"/>
    <w:semiHidden/>
    <w:rsid w:val="002D02C4"/>
    <w:rPr>
      <w:rFonts w:eastAsiaTheme="minorEastAsia"/>
    </w:rPr>
  </w:style>
  <w:style w:type="paragraph" w:styleId="BalloonText">
    <w:name w:val="Balloon Text"/>
    <w:basedOn w:val="Normal"/>
    <w:link w:val="BalloonTextChar"/>
    <w:semiHidden/>
    <w:unhideWhenUsed/>
    <w:rsid w:val="002D02C4"/>
    <w:rPr>
      <w:rFonts w:ascii="Segoe UI" w:hAnsi="Segoe UI" w:cs="Segoe UI"/>
      <w:sz w:val="18"/>
      <w:szCs w:val="18"/>
    </w:rPr>
  </w:style>
  <w:style w:type="character" w:customStyle="1" w:styleId="BalloonTextChar">
    <w:name w:val="Balloon Text Char"/>
    <w:basedOn w:val="DefaultParagraphFont"/>
    <w:link w:val="BalloonText"/>
    <w:semiHidden/>
    <w:rsid w:val="002D02C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C6568"/>
    <w:rPr>
      <w:rFonts w:eastAsia="Times New Roman"/>
      <w:b/>
      <w:bCs/>
    </w:rPr>
  </w:style>
  <w:style w:type="character" w:customStyle="1" w:styleId="CommentSubjectChar">
    <w:name w:val="Comment Subject Char"/>
    <w:basedOn w:val="CommentTextChar"/>
    <w:link w:val="CommentSubject"/>
    <w:semiHidden/>
    <w:rsid w:val="002C6568"/>
    <w:rPr>
      <w:rFonts w:eastAsiaTheme="minorEastAsia"/>
      <w:b/>
      <w:bCs/>
    </w:rPr>
  </w:style>
  <w:style w:type="paragraph" w:customStyle="1" w:styleId="ParaNum">
    <w:name w:val="ParaNum"/>
    <w:basedOn w:val="Normal"/>
    <w:link w:val="ParaNumCharChar1"/>
    <w:rsid w:val="00954DEF"/>
    <w:pPr>
      <w:widowControl w:val="0"/>
      <w:numPr>
        <w:numId w:val="4"/>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954DEF"/>
    <w:rPr>
      <w:snapToGrid w:val="0"/>
      <w:kern w:val="28"/>
      <w:sz w:val="22"/>
    </w:rPr>
  </w:style>
  <w:style w:type="paragraph" w:styleId="Header">
    <w:name w:val="header"/>
    <w:basedOn w:val="Normal"/>
    <w:link w:val="HeaderChar"/>
    <w:unhideWhenUsed/>
    <w:rsid w:val="00942288"/>
    <w:pPr>
      <w:tabs>
        <w:tab w:val="center" w:pos="4680"/>
        <w:tab w:val="right" w:pos="9360"/>
      </w:tabs>
    </w:pPr>
  </w:style>
  <w:style w:type="character" w:customStyle="1" w:styleId="HeaderChar">
    <w:name w:val="Header Char"/>
    <w:basedOn w:val="DefaultParagraphFont"/>
    <w:link w:val="Header"/>
    <w:rsid w:val="00942288"/>
    <w:rPr>
      <w:sz w:val="24"/>
      <w:szCs w:val="24"/>
    </w:rPr>
  </w:style>
  <w:style w:type="paragraph" w:styleId="Footer">
    <w:name w:val="footer"/>
    <w:basedOn w:val="Normal"/>
    <w:link w:val="FooterChar"/>
    <w:unhideWhenUsed/>
    <w:rsid w:val="00942288"/>
    <w:pPr>
      <w:tabs>
        <w:tab w:val="center" w:pos="4680"/>
        <w:tab w:val="right" w:pos="9360"/>
      </w:tabs>
    </w:pPr>
  </w:style>
  <w:style w:type="character" w:customStyle="1" w:styleId="FooterChar">
    <w:name w:val="Footer Char"/>
    <w:basedOn w:val="DefaultParagraphFont"/>
    <w:link w:val="Footer"/>
    <w:rsid w:val="009422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482285"/>
    <w:pPr>
      <w:ind w:left="720"/>
      <w:contextualSpacing/>
    </w:pPr>
    <w:rPr>
      <w:rFonts w:eastAsiaTheme="minorEastAsia"/>
    </w:rPr>
  </w:style>
  <w:style w:type="character" w:styleId="CommentReference">
    <w:name w:val="annotation reference"/>
    <w:basedOn w:val="DefaultParagraphFont"/>
    <w:uiPriority w:val="99"/>
    <w:semiHidden/>
    <w:unhideWhenUsed/>
    <w:rsid w:val="002D02C4"/>
    <w:rPr>
      <w:sz w:val="16"/>
      <w:szCs w:val="16"/>
    </w:rPr>
  </w:style>
  <w:style w:type="paragraph" w:styleId="CommentText">
    <w:name w:val="annotation text"/>
    <w:basedOn w:val="Normal"/>
    <w:link w:val="CommentTextChar"/>
    <w:uiPriority w:val="99"/>
    <w:semiHidden/>
    <w:unhideWhenUsed/>
    <w:rsid w:val="002D02C4"/>
    <w:rPr>
      <w:rFonts w:eastAsiaTheme="minorEastAsia"/>
      <w:sz w:val="20"/>
      <w:szCs w:val="20"/>
    </w:rPr>
  </w:style>
  <w:style w:type="character" w:customStyle="1" w:styleId="CommentTextChar">
    <w:name w:val="Comment Text Char"/>
    <w:basedOn w:val="DefaultParagraphFont"/>
    <w:link w:val="CommentText"/>
    <w:uiPriority w:val="99"/>
    <w:semiHidden/>
    <w:rsid w:val="002D02C4"/>
    <w:rPr>
      <w:rFonts w:eastAsiaTheme="minorEastAsia"/>
    </w:rPr>
  </w:style>
  <w:style w:type="paragraph" w:styleId="BalloonText">
    <w:name w:val="Balloon Text"/>
    <w:basedOn w:val="Normal"/>
    <w:link w:val="BalloonTextChar"/>
    <w:semiHidden/>
    <w:unhideWhenUsed/>
    <w:rsid w:val="002D02C4"/>
    <w:rPr>
      <w:rFonts w:ascii="Segoe UI" w:hAnsi="Segoe UI" w:cs="Segoe UI"/>
      <w:sz w:val="18"/>
      <w:szCs w:val="18"/>
    </w:rPr>
  </w:style>
  <w:style w:type="character" w:customStyle="1" w:styleId="BalloonTextChar">
    <w:name w:val="Balloon Text Char"/>
    <w:basedOn w:val="DefaultParagraphFont"/>
    <w:link w:val="BalloonText"/>
    <w:semiHidden/>
    <w:rsid w:val="002D02C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C6568"/>
    <w:rPr>
      <w:rFonts w:eastAsia="Times New Roman"/>
      <w:b/>
      <w:bCs/>
    </w:rPr>
  </w:style>
  <w:style w:type="character" w:customStyle="1" w:styleId="CommentSubjectChar">
    <w:name w:val="Comment Subject Char"/>
    <w:basedOn w:val="CommentTextChar"/>
    <w:link w:val="CommentSubject"/>
    <w:semiHidden/>
    <w:rsid w:val="002C6568"/>
    <w:rPr>
      <w:rFonts w:eastAsiaTheme="minorEastAsia"/>
      <w:b/>
      <w:bCs/>
    </w:rPr>
  </w:style>
  <w:style w:type="paragraph" w:customStyle="1" w:styleId="ParaNum">
    <w:name w:val="ParaNum"/>
    <w:basedOn w:val="Normal"/>
    <w:link w:val="ParaNumCharChar1"/>
    <w:rsid w:val="00954DEF"/>
    <w:pPr>
      <w:widowControl w:val="0"/>
      <w:numPr>
        <w:numId w:val="4"/>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954DEF"/>
    <w:rPr>
      <w:snapToGrid w:val="0"/>
      <w:kern w:val="28"/>
      <w:sz w:val="22"/>
    </w:rPr>
  </w:style>
  <w:style w:type="paragraph" w:styleId="Header">
    <w:name w:val="header"/>
    <w:basedOn w:val="Normal"/>
    <w:link w:val="HeaderChar"/>
    <w:unhideWhenUsed/>
    <w:rsid w:val="00942288"/>
    <w:pPr>
      <w:tabs>
        <w:tab w:val="center" w:pos="4680"/>
        <w:tab w:val="right" w:pos="9360"/>
      </w:tabs>
    </w:pPr>
  </w:style>
  <w:style w:type="character" w:customStyle="1" w:styleId="HeaderChar">
    <w:name w:val="Header Char"/>
    <w:basedOn w:val="DefaultParagraphFont"/>
    <w:link w:val="Header"/>
    <w:rsid w:val="00942288"/>
    <w:rPr>
      <w:sz w:val="24"/>
      <w:szCs w:val="24"/>
    </w:rPr>
  </w:style>
  <w:style w:type="paragraph" w:styleId="Footer">
    <w:name w:val="footer"/>
    <w:basedOn w:val="Normal"/>
    <w:link w:val="FooterChar"/>
    <w:unhideWhenUsed/>
    <w:rsid w:val="00942288"/>
    <w:pPr>
      <w:tabs>
        <w:tab w:val="center" w:pos="4680"/>
        <w:tab w:val="right" w:pos="9360"/>
      </w:tabs>
    </w:pPr>
  </w:style>
  <w:style w:type="character" w:customStyle="1" w:styleId="FooterChar">
    <w:name w:val="Footer Char"/>
    <w:basedOn w:val="DefaultParagraphFont"/>
    <w:link w:val="Footer"/>
    <w:rsid w:val="009422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9614">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3882</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2016-05-25T14:51:00Z</cp:lastPrinted>
  <dcterms:created xsi:type="dcterms:W3CDTF">2016-05-25T16:19:00Z</dcterms:created>
  <dcterms:modified xsi:type="dcterms:W3CDTF">2016-05-25T16:19:00Z</dcterms:modified>
  <cp:category> </cp:category>
  <cp:contentStatus> </cp:contentStatus>
</cp:coreProperties>
</file>