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230101">
        <w:rPr>
          <w:szCs w:val="22"/>
        </w:rPr>
        <w:t>BE</w:t>
      </w:r>
      <w:r w:rsidR="00B75E2C">
        <w:rPr>
          <w:szCs w:val="22"/>
        </w:rPr>
        <w:t>LLSOUTH TELECOMMUNICATIONS, LLC</w:t>
      </w:r>
    </w:p>
    <w:p w:rsidR="008E393B" w:rsidRDefault="008E393B">
      <w:pPr>
        <w:pStyle w:val="Title"/>
        <w:jc w:val="left"/>
        <w:rPr>
          <w:szCs w:val="22"/>
        </w:rPr>
      </w:pPr>
    </w:p>
    <w:p w:rsidR="008E393B" w:rsidRDefault="00FC6E73">
      <w:pPr>
        <w:pStyle w:val="Title"/>
        <w:jc w:val="left"/>
        <w:rPr>
          <w:szCs w:val="22"/>
        </w:rPr>
      </w:pPr>
      <w:r>
        <w:rPr>
          <w:szCs w:val="22"/>
        </w:rPr>
        <w:t>WC Docket No</w:t>
      </w:r>
      <w:r w:rsidR="002D4625">
        <w:rPr>
          <w:szCs w:val="22"/>
        </w:rPr>
        <w:t>s</w:t>
      </w:r>
      <w:r>
        <w:rPr>
          <w:szCs w:val="22"/>
        </w:rPr>
        <w:t>. 1</w:t>
      </w:r>
      <w:r w:rsidR="001033E8">
        <w:rPr>
          <w:szCs w:val="22"/>
        </w:rPr>
        <w:t>6</w:t>
      </w:r>
      <w:r>
        <w:rPr>
          <w:szCs w:val="22"/>
        </w:rPr>
        <w:t>-</w:t>
      </w:r>
      <w:r w:rsidR="00015017">
        <w:rPr>
          <w:szCs w:val="22"/>
        </w:rPr>
        <w:t>16</w:t>
      </w:r>
      <w:r w:rsidR="00B75E2C">
        <w:rPr>
          <w:szCs w:val="22"/>
        </w:rPr>
        <w:t>5</w:t>
      </w:r>
      <w:r w:rsidR="002D4625">
        <w:rPr>
          <w:szCs w:val="22"/>
        </w:rPr>
        <w:t xml:space="preserve">, </w:t>
      </w:r>
      <w:r w:rsidR="00C1785F">
        <w:rPr>
          <w:szCs w:val="22"/>
        </w:rPr>
        <w:t xml:space="preserve">15-65, </w:t>
      </w:r>
      <w:r w:rsidR="002D4625">
        <w:rPr>
          <w:szCs w:val="22"/>
        </w:rPr>
        <w:t>15-60, 15-59, 15-58, 15-57, 15-56, 15-55</w:t>
      </w:r>
      <w:r w:rsidR="00CF27DD">
        <w:rPr>
          <w:szCs w:val="22"/>
        </w:rPr>
        <w:t xml:space="preserve"> &amp; </w:t>
      </w:r>
      <w:r w:rsidR="002D4625">
        <w:rPr>
          <w:szCs w:val="22"/>
        </w:rPr>
        <w:t>15-54</w:t>
      </w:r>
      <w:r>
        <w:rPr>
          <w:szCs w:val="22"/>
        </w:rPr>
        <w:tab/>
        <w:t xml:space="preserve">  </w:t>
      </w:r>
      <w:r w:rsidR="00B75E2C">
        <w:rPr>
          <w:szCs w:val="22"/>
        </w:rPr>
        <w:t xml:space="preserve">June </w:t>
      </w:r>
      <w:r w:rsidR="009E5670">
        <w:rPr>
          <w:szCs w:val="22"/>
        </w:rPr>
        <w:t>13</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w:t>
      </w:r>
      <w:r w:rsidR="00B75E2C">
        <w:rPr>
          <w:szCs w:val="22"/>
        </w:rPr>
        <w:t>21</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CF27DD">
        <w:rPr>
          <w:szCs w:val="22"/>
        </w:rPr>
        <w:t>; REVISION TO NOTICES IN NCD-</w:t>
      </w:r>
      <w:r w:rsidR="00576783">
        <w:rPr>
          <w:szCs w:val="22"/>
        </w:rPr>
        <w:t>2383 (ATT20140730L.1), NCD-2387 (ATT20140806L.1), NCD-2388 (ATT20140806L.2), NCD-2390 (ATT20140807L.1), NCD-2391 (ATT20140807L.2), NCD-2392 (ATT20140807L.3), NCD-2393 (ATT20140807L.4), NCD-2394 (ATT20140807L.5), NCD-2395 (ATT20140808L.2), NCD-2396 (ATT20140808L.3), NCD-2397 (ATT20140808L.4), NCD-2399 (ATT20140808L.1), NCD-2400 (ATT20140808L.5), NCD-2401 (ATT20140812L.1), NCD-2402 (ATT20140812L.2), NCD-2403 (ATT20140812L.3), NCD-2404 (ATT20140812L.4), NCD-2405 (ATT20140812L.</w:t>
      </w:r>
      <w:r w:rsidR="00201983">
        <w:rPr>
          <w:szCs w:val="22"/>
        </w:rPr>
        <w:t>5) &amp; NCD-2418 (ATT20140926</w:t>
      </w:r>
      <w:r w:rsidR="001160CC">
        <w:rPr>
          <w:szCs w:val="22"/>
        </w:rPr>
        <w:t>S</w:t>
      </w:r>
      <w:r w:rsidR="00201983">
        <w:rPr>
          <w:szCs w:val="22"/>
        </w:rPr>
        <w:t>.1)</w:t>
      </w:r>
    </w:p>
    <w:p w:rsidR="008E393B" w:rsidRDefault="008E393B">
      <w:pPr>
        <w:tabs>
          <w:tab w:val="left" w:pos="-720"/>
        </w:tabs>
        <w:suppressAutoHyphens/>
        <w:rPr>
          <w:szCs w:val="22"/>
        </w:rPr>
      </w:pPr>
    </w:p>
    <w:p w:rsidR="009A1DB7" w:rsidRDefault="00230101">
      <w:pPr>
        <w:tabs>
          <w:tab w:val="left" w:pos="-720"/>
        </w:tabs>
        <w:suppressAutoHyphens/>
        <w:rPr>
          <w:szCs w:val="22"/>
        </w:rPr>
      </w:pPr>
      <w:r>
        <w:rPr>
          <w:szCs w:val="22"/>
        </w:rPr>
        <w:t xml:space="preserve">BellSouth Telecommunications, LLC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441CD6">
        <w:trPr>
          <w:trHeight w:val="33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441CD6">
        <w:tc>
          <w:tcPr>
            <w:tcW w:w="1890" w:type="dxa"/>
          </w:tcPr>
          <w:p w:rsidR="00F079D5" w:rsidRDefault="008E393B" w:rsidP="00B75E2C">
            <w:pPr>
              <w:tabs>
                <w:tab w:val="left" w:pos="0"/>
              </w:tabs>
              <w:suppressAutoHyphens/>
              <w:rPr>
                <w:szCs w:val="22"/>
              </w:rPr>
            </w:pPr>
            <w:r>
              <w:rPr>
                <w:szCs w:val="22"/>
              </w:rPr>
              <w:t>ATT201</w:t>
            </w:r>
            <w:r w:rsidR="00314192">
              <w:rPr>
                <w:szCs w:val="22"/>
              </w:rPr>
              <w:t>5</w:t>
            </w:r>
            <w:r w:rsidR="00B75E2C">
              <w:rPr>
                <w:szCs w:val="22"/>
              </w:rPr>
              <w:t>1027</w:t>
            </w:r>
            <w:r w:rsidR="002E3E66">
              <w:rPr>
                <w:szCs w:val="22"/>
              </w:rPr>
              <w:t>L</w:t>
            </w:r>
            <w:r w:rsidR="00866876">
              <w:rPr>
                <w:szCs w:val="22"/>
              </w:rPr>
              <w:t>.</w:t>
            </w:r>
            <w:r w:rsidR="00230101">
              <w:rPr>
                <w:szCs w:val="22"/>
              </w:rPr>
              <w:t>1</w:t>
            </w:r>
          </w:p>
        </w:tc>
        <w:tc>
          <w:tcPr>
            <w:tcW w:w="5130" w:type="dxa"/>
          </w:tcPr>
          <w:p w:rsidR="00F079D5" w:rsidRPr="00DE5202" w:rsidRDefault="003566F9" w:rsidP="004B5F87">
            <w:pPr>
              <w:tabs>
                <w:tab w:val="left" w:pos="0"/>
              </w:tabs>
              <w:suppressAutoHyphens/>
              <w:rPr>
                <w:b/>
                <w:szCs w:val="22"/>
              </w:rPr>
            </w:pPr>
            <w:r>
              <w:rPr>
                <w:b/>
              </w:rPr>
              <w:t>C</w:t>
            </w:r>
            <w:r w:rsidRPr="004F2A5F">
              <w:rPr>
                <w:b/>
              </w:rPr>
              <w:t xml:space="preserve">ancelling </w:t>
            </w:r>
            <w:r>
              <w:rPr>
                <w:b/>
              </w:rPr>
              <w:t xml:space="preserve">19 MDU Network Change Notices.  </w:t>
            </w:r>
            <w:r w:rsidR="00195B2A">
              <w:rPr>
                <w:szCs w:val="22"/>
              </w:rPr>
              <w:t>The original notices involved the migration from the existing Fiber in the Loop (FITL) architectural platform (including DFITL, IFITL, FITLA, MX, EMX) to the newly deployed Gigabit Passive Optical Network (GPON)/Fiber to the Premises (FTTP) architectural platform through the conversion of Optical Network Units.</w:t>
            </w:r>
            <w:r w:rsidR="004B5F87">
              <w:rPr>
                <w:szCs w:val="22"/>
              </w:rPr>
              <w:t xml:space="preserve">  The anticipated network changes will not take place during the foreseeable future.</w:t>
            </w:r>
          </w:p>
        </w:tc>
        <w:tc>
          <w:tcPr>
            <w:tcW w:w="2340" w:type="dxa"/>
          </w:tcPr>
          <w:p w:rsidR="000E6D93" w:rsidRPr="00B75E2C" w:rsidRDefault="00B75E2C" w:rsidP="00A016AB">
            <w:pPr>
              <w:tabs>
                <w:tab w:val="left" w:pos="0"/>
              </w:tabs>
              <w:suppressAutoHyphens/>
              <w:rPr>
                <w:b/>
                <w:szCs w:val="22"/>
                <w:lang w:val="de-DE"/>
              </w:rPr>
            </w:pPr>
            <w:r>
              <w:rPr>
                <w:szCs w:val="22"/>
              </w:rPr>
              <w:t>AL, FL, GA, KY, LA, MS, NC, SC</w:t>
            </w:r>
            <w:r w:rsidR="003566F9">
              <w:rPr>
                <w:szCs w:val="22"/>
              </w:rPr>
              <w:t xml:space="preserve"> &amp;</w:t>
            </w:r>
            <w:r>
              <w:rPr>
                <w:szCs w:val="22"/>
              </w:rPr>
              <w:t xml:space="preserve"> TN</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follow the instructions provided on the Web site for submitting comments.  Generally, only one copy of </w:t>
      </w:r>
      <w:r w:rsidRPr="001454F9">
        <w:rPr>
          <w:szCs w:val="22"/>
        </w:rPr>
        <w:lastRenderedPageBreak/>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78C">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F8" w:rsidRDefault="00EF1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F8" w:rsidRDefault="00EF1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F8" w:rsidRDefault="00EF1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982D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3709A"/>
    <w:rsid w:val="0004103D"/>
    <w:rsid w:val="00043893"/>
    <w:rsid w:val="0004404E"/>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160CC"/>
    <w:rsid w:val="001249FD"/>
    <w:rsid w:val="00124F72"/>
    <w:rsid w:val="00132F61"/>
    <w:rsid w:val="0013640A"/>
    <w:rsid w:val="001478F9"/>
    <w:rsid w:val="00177E4D"/>
    <w:rsid w:val="00184581"/>
    <w:rsid w:val="00191BCE"/>
    <w:rsid w:val="00195B2A"/>
    <w:rsid w:val="001968CA"/>
    <w:rsid w:val="001A2A46"/>
    <w:rsid w:val="001B2827"/>
    <w:rsid w:val="001B5BAB"/>
    <w:rsid w:val="001D1647"/>
    <w:rsid w:val="001E117C"/>
    <w:rsid w:val="001E64A9"/>
    <w:rsid w:val="001F0B75"/>
    <w:rsid w:val="001F4B4F"/>
    <w:rsid w:val="001F52F2"/>
    <w:rsid w:val="00201983"/>
    <w:rsid w:val="00214D10"/>
    <w:rsid w:val="0022161C"/>
    <w:rsid w:val="00230101"/>
    <w:rsid w:val="00244A4A"/>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D4625"/>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566F9"/>
    <w:rsid w:val="00372D68"/>
    <w:rsid w:val="00373735"/>
    <w:rsid w:val="003742BA"/>
    <w:rsid w:val="00377280"/>
    <w:rsid w:val="003776E7"/>
    <w:rsid w:val="0038149C"/>
    <w:rsid w:val="00390BB7"/>
    <w:rsid w:val="003A0841"/>
    <w:rsid w:val="003C3120"/>
    <w:rsid w:val="003C3AF7"/>
    <w:rsid w:val="003C547A"/>
    <w:rsid w:val="003D6B8D"/>
    <w:rsid w:val="003D7031"/>
    <w:rsid w:val="00400E90"/>
    <w:rsid w:val="004055FD"/>
    <w:rsid w:val="00406A98"/>
    <w:rsid w:val="00413CBE"/>
    <w:rsid w:val="00441CD6"/>
    <w:rsid w:val="00443267"/>
    <w:rsid w:val="0044456A"/>
    <w:rsid w:val="00454A59"/>
    <w:rsid w:val="004657B3"/>
    <w:rsid w:val="00467E6D"/>
    <w:rsid w:val="004B5F87"/>
    <w:rsid w:val="004E0CBA"/>
    <w:rsid w:val="004E14AD"/>
    <w:rsid w:val="004E59D2"/>
    <w:rsid w:val="004E6185"/>
    <w:rsid w:val="0050237C"/>
    <w:rsid w:val="005145C7"/>
    <w:rsid w:val="00517CB6"/>
    <w:rsid w:val="005226FA"/>
    <w:rsid w:val="00531849"/>
    <w:rsid w:val="00541D17"/>
    <w:rsid w:val="00542983"/>
    <w:rsid w:val="005518ED"/>
    <w:rsid w:val="00553C12"/>
    <w:rsid w:val="00556EDB"/>
    <w:rsid w:val="005611FE"/>
    <w:rsid w:val="00571CED"/>
    <w:rsid w:val="00575940"/>
    <w:rsid w:val="00576783"/>
    <w:rsid w:val="00577969"/>
    <w:rsid w:val="00585C23"/>
    <w:rsid w:val="0059271C"/>
    <w:rsid w:val="00596870"/>
    <w:rsid w:val="005C58AC"/>
    <w:rsid w:val="005E2A88"/>
    <w:rsid w:val="005E58E5"/>
    <w:rsid w:val="005F2B2E"/>
    <w:rsid w:val="0060267E"/>
    <w:rsid w:val="00607A10"/>
    <w:rsid w:val="0061064A"/>
    <w:rsid w:val="0062478C"/>
    <w:rsid w:val="00633453"/>
    <w:rsid w:val="00634B60"/>
    <w:rsid w:val="00636186"/>
    <w:rsid w:val="00637CBE"/>
    <w:rsid w:val="00663B92"/>
    <w:rsid w:val="00676470"/>
    <w:rsid w:val="00677C5E"/>
    <w:rsid w:val="006859AF"/>
    <w:rsid w:val="006902CE"/>
    <w:rsid w:val="00694FAD"/>
    <w:rsid w:val="006B0A1A"/>
    <w:rsid w:val="006B0AC0"/>
    <w:rsid w:val="006B1D33"/>
    <w:rsid w:val="006B7104"/>
    <w:rsid w:val="006C35C3"/>
    <w:rsid w:val="006C7B38"/>
    <w:rsid w:val="006D6EC3"/>
    <w:rsid w:val="006E4BBC"/>
    <w:rsid w:val="006F0F8E"/>
    <w:rsid w:val="006F7D94"/>
    <w:rsid w:val="00713862"/>
    <w:rsid w:val="007163D8"/>
    <w:rsid w:val="0071763F"/>
    <w:rsid w:val="00730E4B"/>
    <w:rsid w:val="00736522"/>
    <w:rsid w:val="00763699"/>
    <w:rsid w:val="0076644F"/>
    <w:rsid w:val="00774D57"/>
    <w:rsid w:val="007873EF"/>
    <w:rsid w:val="00794181"/>
    <w:rsid w:val="007977C9"/>
    <w:rsid w:val="007A3D54"/>
    <w:rsid w:val="007A5E2E"/>
    <w:rsid w:val="007B49BD"/>
    <w:rsid w:val="007B5A8F"/>
    <w:rsid w:val="007D02DD"/>
    <w:rsid w:val="007D21CF"/>
    <w:rsid w:val="007E21C9"/>
    <w:rsid w:val="007F46D7"/>
    <w:rsid w:val="007F7929"/>
    <w:rsid w:val="0080061C"/>
    <w:rsid w:val="00801B00"/>
    <w:rsid w:val="00835CBB"/>
    <w:rsid w:val="00845916"/>
    <w:rsid w:val="00846DD2"/>
    <w:rsid w:val="00856E8C"/>
    <w:rsid w:val="008576F2"/>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0B39"/>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1DB7"/>
    <w:rsid w:val="009A71C9"/>
    <w:rsid w:val="009B6EF0"/>
    <w:rsid w:val="009C4567"/>
    <w:rsid w:val="009E5670"/>
    <w:rsid w:val="009F31C4"/>
    <w:rsid w:val="00A016AB"/>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C7101"/>
    <w:rsid w:val="00AD7F7C"/>
    <w:rsid w:val="00B07C23"/>
    <w:rsid w:val="00B44339"/>
    <w:rsid w:val="00B47157"/>
    <w:rsid w:val="00B52DFF"/>
    <w:rsid w:val="00B651F3"/>
    <w:rsid w:val="00B73161"/>
    <w:rsid w:val="00B75E2C"/>
    <w:rsid w:val="00B774F4"/>
    <w:rsid w:val="00B800A3"/>
    <w:rsid w:val="00B90286"/>
    <w:rsid w:val="00B91A55"/>
    <w:rsid w:val="00B971E4"/>
    <w:rsid w:val="00BA0FC0"/>
    <w:rsid w:val="00BD1312"/>
    <w:rsid w:val="00BD4D9B"/>
    <w:rsid w:val="00BE3B73"/>
    <w:rsid w:val="00BE4086"/>
    <w:rsid w:val="00BE7CB0"/>
    <w:rsid w:val="00C06F58"/>
    <w:rsid w:val="00C12BC6"/>
    <w:rsid w:val="00C16CF6"/>
    <w:rsid w:val="00C1785F"/>
    <w:rsid w:val="00C47E1C"/>
    <w:rsid w:val="00C5066B"/>
    <w:rsid w:val="00C83230"/>
    <w:rsid w:val="00C90A4A"/>
    <w:rsid w:val="00C92FAB"/>
    <w:rsid w:val="00CB4B28"/>
    <w:rsid w:val="00CB70F2"/>
    <w:rsid w:val="00CC4079"/>
    <w:rsid w:val="00CC501E"/>
    <w:rsid w:val="00CD7FF2"/>
    <w:rsid w:val="00CE1653"/>
    <w:rsid w:val="00CE5CC5"/>
    <w:rsid w:val="00CF27DD"/>
    <w:rsid w:val="00D012BE"/>
    <w:rsid w:val="00D02EFE"/>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17ED9"/>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10F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694</Words>
  <Characters>4354</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2016-06-10T18:30:00Z</dcterms:created>
  <dcterms:modified xsi:type="dcterms:W3CDTF">2016-06-10T18:30:00Z</dcterms:modified>
  <cp:category> </cp:category>
  <cp:contentStatus> </cp:contentStatus>
</cp:coreProperties>
</file>