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1965" w14:textId="77777777" w:rsidR="000E6774" w:rsidRDefault="000E67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FCC Consumer Advisory Committee</w:t>
      </w:r>
    </w:p>
    <w:p w14:paraId="1635F192" w14:textId="77777777" w:rsidR="000E6774" w:rsidRDefault="000E6774">
      <w:pPr>
        <w:rPr>
          <w:sz w:val="28"/>
          <w:szCs w:val="28"/>
        </w:rPr>
      </w:pPr>
    </w:p>
    <w:p w14:paraId="21FE6EF8" w14:textId="38995322" w:rsidR="00FE7582" w:rsidRPr="000E6774" w:rsidRDefault="000E6774">
      <w:pPr>
        <w:rPr>
          <w:sz w:val="28"/>
          <w:szCs w:val="28"/>
        </w:rPr>
      </w:pPr>
      <w:r w:rsidRPr="000E6774">
        <w:rPr>
          <w:sz w:val="28"/>
          <w:szCs w:val="28"/>
        </w:rPr>
        <w:t>R</w:t>
      </w:r>
      <w:r w:rsidR="00FE7582" w:rsidRPr="000E6774">
        <w:rPr>
          <w:sz w:val="28"/>
          <w:szCs w:val="28"/>
        </w:rPr>
        <w:t xml:space="preserve">ecommendation Regarding </w:t>
      </w:r>
      <w:r w:rsidR="007A372C" w:rsidRPr="000E6774">
        <w:rPr>
          <w:sz w:val="28"/>
          <w:szCs w:val="28"/>
        </w:rPr>
        <w:t>Regulatio</w:t>
      </w:r>
      <w:r w:rsidR="00C67CF0" w:rsidRPr="000E6774">
        <w:rPr>
          <w:sz w:val="28"/>
          <w:szCs w:val="28"/>
        </w:rPr>
        <w:t>ns Implementing Exceptions to Consent Requirement for Calls Made</w:t>
      </w:r>
      <w:r w:rsidR="008F5223" w:rsidRPr="000E6774">
        <w:rPr>
          <w:sz w:val="28"/>
          <w:szCs w:val="28"/>
        </w:rPr>
        <w:t xml:space="preserve"> to Cell Phones to Collect Debts Owed the United States.</w:t>
      </w:r>
    </w:p>
    <w:p w14:paraId="38F3F1D7" w14:textId="77777777" w:rsidR="008F5223" w:rsidRPr="000E6774" w:rsidRDefault="008F5223">
      <w:pPr>
        <w:rPr>
          <w:sz w:val="28"/>
          <w:szCs w:val="28"/>
        </w:rPr>
      </w:pPr>
    </w:p>
    <w:p w14:paraId="0191A578" w14:textId="73261023" w:rsidR="00ED3745" w:rsidRPr="00C32609" w:rsidRDefault="008F5223">
      <w:pPr>
        <w:rPr>
          <w:rFonts w:cs="Times New Roman"/>
          <w:sz w:val="28"/>
          <w:szCs w:val="28"/>
        </w:rPr>
      </w:pPr>
      <w:r w:rsidRPr="00C32609">
        <w:rPr>
          <w:rFonts w:cs="Times New Roman"/>
          <w:sz w:val="28"/>
          <w:szCs w:val="28"/>
        </w:rPr>
        <w:t>WHEREAS,</w:t>
      </w:r>
      <w:r w:rsidR="0075659D" w:rsidRPr="00C32609">
        <w:rPr>
          <w:rFonts w:cs="Times New Roman"/>
          <w:sz w:val="28"/>
          <w:szCs w:val="28"/>
        </w:rPr>
        <w:t xml:space="preserve"> the Commission has issued a proposal to implement a provision of the Bipartisan Budget Act of 2015</w:t>
      </w:r>
      <w:r w:rsidR="0075659D" w:rsidRPr="00C32609">
        <w:rPr>
          <w:rStyle w:val="FootnoteReference"/>
          <w:rFonts w:cs="Times New Roman"/>
          <w:sz w:val="28"/>
          <w:szCs w:val="28"/>
        </w:rPr>
        <w:footnoteReference w:id="1"/>
      </w:r>
      <w:r w:rsidR="0075659D" w:rsidRPr="00C32609">
        <w:rPr>
          <w:rFonts w:cs="Times New Roman"/>
          <w:sz w:val="28"/>
          <w:szCs w:val="28"/>
        </w:rPr>
        <w:t xml:space="preserve"> that excepts from the Telephone Consumer Protection Act’s</w:t>
      </w:r>
      <w:r w:rsidR="0075659D" w:rsidRPr="00C32609">
        <w:rPr>
          <w:rStyle w:val="FootnoteReference"/>
          <w:rFonts w:cs="Times New Roman"/>
          <w:sz w:val="28"/>
          <w:szCs w:val="28"/>
        </w:rPr>
        <w:footnoteReference w:id="2"/>
      </w:r>
      <w:r w:rsidR="0075659D" w:rsidRPr="00C32609">
        <w:rPr>
          <w:rFonts w:cs="Times New Roman"/>
          <w:sz w:val="28"/>
          <w:szCs w:val="28"/>
        </w:rPr>
        <w:t xml:space="preserve"> consent requirement </w:t>
      </w:r>
      <w:r w:rsidR="00D47A19">
        <w:rPr>
          <w:rFonts w:cs="Times New Roman"/>
          <w:sz w:val="28"/>
          <w:szCs w:val="28"/>
        </w:rPr>
        <w:t xml:space="preserve">for </w:t>
      </w:r>
      <w:r w:rsidR="0075659D" w:rsidRPr="00C32609">
        <w:rPr>
          <w:rFonts w:cs="Times New Roman"/>
          <w:sz w:val="28"/>
          <w:szCs w:val="28"/>
        </w:rPr>
        <w:t>robocalls “made solely to collect a debt owed to or gu</w:t>
      </w:r>
      <w:r w:rsidR="000F0B02" w:rsidRPr="00C32609">
        <w:rPr>
          <w:rFonts w:cs="Times New Roman"/>
          <w:sz w:val="28"/>
          <w:szCs w:val="28"/>
        </w:rPr>
        <w:t>aranteed by the United States.”</w:t>
      </w:r>
      <w:r w:rsidR="000F0B02" w:rsidRPr="00C32609">
        <w:rPr>
          <w:rStyle w:val="FootnoteReference"/>
          <w:rFonts w:cs="Times New Roman"/>
          <w:sz w:val="28"/>
          <w:szCs w:val="28"/>
        </w:rPr>
        <w:footnoteReference w:id="3"/>
      </w:r>
    </w:p>
    <w:p w14:paraId="4B859056" w14:textId="77777777" w:rsidR="00ED3745" w:rsidRPr="00C32609" w:rsidRDefault="00ED3745">
      <w:pPr>
        <w:rPr>
          <w:rFonts w:cs="Times New Roman"/>
          <w:sz w:val="28"/>
          <w:szCs w:val="28"/>
        </w:rPr>
      </w:pPr>
    </w:p>
    <w:p w14:paraId="5DFEFF5E" w14:textId="77777777" w:rsidR="008F5223" w:rsidRPr="00C32609" w:rsidRDefault="00ED3745">
      <w:pPr>
        <w:rPr>
          <w:rFonts w:cs="Times New Roman"/>
          <w:sz w:val="28"/>
          <w:szCs w:val="28"/>
        </w:rPr>
      </w:pPr>
      <w:r w:rsidRPr="00C32609">
        <w:rPr>
          <w:rFonts w:cs="Times New Roman"/>
          <w:sz w:val="28"/>
          <w:szCs w:val="28"/>
        </w:rPr>
        <w:t xml:space="preserve">WHEREAS, </w:t>
      </w:r>
      <w:r w:rsidR="003C518B" w:rsidRPr="00C32609">
        <w:rPr>
          <w:rFonts w:cs="Times New Roman"/>
          <w:sz w:val="28"/>
          <w:szCs w:val="28"/>
        </w:rPr>
        <w:t>that t</w:t>
      </w:r>
      <w:r w:rsidR="0075659D" w:rsidRPr="00C32609">
        <w:rPr>
          <w:rFonts w:cs="Times New Roman"/>
          <w:sz w:val="28"/>
          <w:szCs w:val="28"/>
        </w:rPr>
        <w:t>he Budget Act requires the Commission to “prescribe regulations to implement the requirements” w</w:t>
      </w:r>
      <w:r w:rsidR="005F6779" w:rsidRPr="00C32609">
        <w:rPr>
          <w:rFonts w:cs="Times New Roman"/>
          <w:sz w:val="28"/>
          <w:szCs w:val="28"/>
        </w:rPr>
        <w:t>ithin nine months of enactment,</w:t>
      </w:r>
      <w:r w:rsidR="005F6779" w:rsidRPr="00C32609">
        <w:rPr>
          <w:rStyle w:val="FootnoteReference"/>
          <w:rFonts w:cs="Times New Roman"/>
          <w:sz w:val="28"/>
          <w:szCs w:val="28"/>
        </w:rPr>
        <w:footnoteReference w:id="4"/>
      </w:r>
      <w:r w:rsidR="0075659D" w:rsidRPr="00C32609">
        <w:rPr>
          <w:rFonts w:cs="Times New Roman"/>
          <w:sz w:val="28"/>
          <w:szCs w:val="28"/>
        </w:rPr>
        <w:t xml:space="preserve"> and authorizes the Commission to adopt rules to “restrict or limit the number and duration” of these covered calls.</w:t>
      </w:r>
      <w:r w:rsidR="005F6779" w:rsidRPr="00C32609">
        <w:rPr>
          <w:rStyle w:val="FootnoteReference"/>
          <w:rFonts w:cs="Times New Roman"/>
          <w:sz w:val="28"/>
          <w:szCs w:val="28"/>
        </w:rPr>
        <w:footnoteReference w:id="5"/>
      </w:r>
    </w:p>
    <w:p w14:paraId="1A97B36F" w14:textId="77777777" w:rsidR="005F6779" w:rsidRPr="00C32609" w:rsidRDefault="005F6779">
      <w:pPr>
        <w:rPr>
          <w:rFonts w:cs="Times New Roman"/>
          <w:sz w:val="28"/>
          <w:szCs w:val="28"/>
        </w:rPr>
      </w:pPr>
    </w:p>
    <w:p w14:paraId="48CB6D95" w14:textId="77777777" w:rsidR="009602E7" w:rsidRPr="00C32609" w:rsidRDefault="009602E7">
      <w:pPr>
        <w:rPr>
          <w:rFonts w:cs="Times New Roman"/>
          <w:sz w:val="28"/>
          <w:szCs w:val="28"/>
        </w:rPr>
      </w:pPr>
      <w:r w:rsidRPr="00C32609">
        <w:rPr>
          <w:rFonts w:cs="Times New Roman"/>
          <w:sz w:val="28"/>
          <w:szCs w:val="28"/>
        </w:rPr>
        <w:t xml:space="preserve">WHEREAS, </w:t>
      </w:r>
      <w:r w:rsidR="003C518B" w:rsidRPr="00C32609">
        <w:rPr>
          <w:rFonts w:cs="Times New Roman"/>
          <w:sz w:val="28"/>
          <w:szCs w:val="28"/>
        </w:rPr>
        <w:t>that b</w:t>
      </w:r>
      <w:r w:rsidR="00F82B70" w:rsidRPr="00C32609">
        <w:rPr>
          <w:rFonts w:cs="Times New Roman"/>
          <w:sz w:val="28"/>
          <w:szCs w:val="28"/>
        </w:rPr>
        <w:t>y issuing its proposed</w:t>
      </w:r>
      <w:r w:rsidR="00D210F4" w:rsidRPr="00C32609">
        <w:rPr>
          <w:rFonts w:cs="Times New Roman"/>
          <w:sz w:val="28"/>
          <w:szCs w:val="28"/>
        </w:rPr>
        <w:t xml:space="preserve"> rules on </w:t>
      </w:r>
      <w:r w:rsidR="00F82B70" w:rsidRPr="00C32609">
        <w:rPr>
          <w:rFonts w:cs="Times New Roman"/>
          <w:sz w:val="28"/>
          <w:szCs w:val="28"/>
        </w:rPr>
        <w:t>May 4, 2016</w:t>
      </w:r>
      <w:r w:rsidR="00D210F4" w:rsidRPr="00C32609">
        <w:rPr>
          <w:rFonts w:cs="Times New Roman"/>
          <w:sz w:val="28"/>
          <w:szCs w:val="28"/>
        </w:rPr>
        <w:t>,</w:t>
      </w:r>
      <w:r w:rsidR="00F82B70" w:rsidRPr="00C32609">
        <w:rPr>
          <w:rStyle w:val="FootnoteReference"/>
          <w:rFonts w:cs="Times New Roman"/>
          <w:sz w:val="28"/>
          <w:szCs w:val="28"/>
        </w:rPr>
        <w:footnoteReference w:id="6"/>
      </w:r>
      <w:r w:rsidR="00F82B70" w:rsidRPr="00C32609">
        <w:rPr>
          <w:rFonts w:cs="Times New Roman"/>
          <w:sz w:val="28"/>
          <w:szCs w:val="28"/>
        </w:rPr>
        <w:t xml:space="preserve"> </w:t>
      </w:r>
      <w:r w:rsidR="00C32609">
        <w:rPr>
          <w:rFonts w:cs="Times New Roman"/>
          <w:sz w:val="28"/>
          <w:szCs w:val="28"/>
        </w:rPr>
        <w:t>the Commission has already</w:t>
      </w:r>
      <w:r w:rsidRPr="00C32609">
        <w:rPr>
          <w:rFonts w:cs="Times New Roman"/>
          <w:sz w:val="28"/>
          <w:szCs w:val="28"/>
        </w:rPr>
        <w:t xml:space="preserve"> recognize</w:t>
      </w:r>
      <w:r w:rsidR="00D210F4" w:rsidRPr="00C32609">
        <w:rPr>
          <w:rFonts w:cs="Times New Roman"/>
          <w:sz w:val="28"/>
          <w:szCs w:val="28"/>
        </w:rPr>
        <w:t xml:space="preserve">d the </w:t>
      </w:r>
      <w:r w:rsidRPr="00C32609">
        <w:rPr>
          <w:rFonts w:cs="Times New Roman"/>
          <w:sz w:val="28"/>
          <w:szCs w:val="28"/>
        </w:rPr>
        <w:t xml:space="preserve">importance of </w:t>
      </w:r>
      <w:r w:rsidR="00661D61" w:rsidRPr="00C32609">
        <w:rPr>
          <w:rFonts w:cs="Times New Roman"/>
          <w:sz w:val="28"/>
          <w:szCs w:val="28"/>
        </w:rPr>
        <w:t xml:space="preserve">preserving consumer choice over the receipt of autodialed and prerecorded calls and texts to cell phones. </w:t>
      </w:r>
    </w:p>
    <w:p w14:paraId="64A29803" w14:textId="7AE86EDA" w:rsidR="005C1400" w:rsidRPr="00C32609" w:rsidRDefault="005C1400" w:rsidP="006F774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>WHEREAS, there is no requirement imposed on callers to have a documented rationale</w:t>
      </w:r>
      <w:r w:rsidR="00CC5F0F" w:rsidRPr="00C32609">
        <w:rPr>
          <w:rFonts w:eastAsia="Times New Roman"/>
          <w:color w:val="222222"/>
          <w:sz w:val="28"/>
          <w:szCs w:val="28"/>
          <w:lang w:eastAsia="en-US"/>
        </w:rPr>
        <w:t xml:space="preserve"> for believing that a particular phone number belongs to th</w:t>
      </w:r>
      <w:r w:rsidR="00387E97">
        <w:rPr>
          <w:rFonts w:eastAsia="Times New Roman"/>
          <w:color w:val="222222"/>
          <w:sz w:val="28"/>
          <w:szCs w:val="28"/>
          <w:lang w:eastAsia="en-US"/>
        </w:rPr>
        <w:t xml:space="preserve">e debtor being </w:t>
      </w:r>
      <w:r w:rsidR="00387E97">
        <w:rPr>
          <w:rFonts w:eastAsia="Times New Roman"/>
          <w:color w:val="222222"/>
          <w:sz w:val="28"/>
          <w:szCs w:val="28"/>
          <w:lang w:eastAsia="en-US"/>
        </w:rPr>
        <w:lastRenderedPageBreak/>
        <w:t>called or texted</w:t>
      </w:r>
      <w:r w:rsidR="00CC5F0F" w:rsidRPr="00C32609">
        <w:rPr>
          <w:rFonts w:eastAsia="Times New Roman"/>
          <w:color w:val="222222"/>
          <w:sz w:val="28"/>
          <w:szCs w:val="28"/>
          <w:lang w:eastAsia="en-US"/>
        </w:rPr>
        <w:t xml:space="preserve"> by the debt collector or servicer, 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>thereby making private enforcement of the consumer protections in the proposed rule more difficult</w:t>
      </w:r>
      <w:r w:rsidR="00AB08FD">
        <w:rPr>
          <w:rFonts w:eastAsia="Times New Roman"/>
          <w:color w:val="222222"/>
          <w:sz w:val="28"/>
          <w:szCs w:val="28"/>
          <w:lang w:eastAsia="en-US"/>
        </w:rPr>
        <w:t>.</w:t>
      </w:r>
    </w:p>
    <w:p w14:paraId="1B48714C" w14:textId="77777777" w:rsidR="005A0011" w:rsidRDefault="003C518B" w:rsidP="003C518B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WHEREAS, that there are still several important outstanding issues to be </w:t>
      </w:r>
      <w:r w:rsidR="000E5FC1" w:rsidRPr="00C32609">
        <w:rPr>
          <w:rFonts w:eastAsia="Times New Roman"/>
          <w:color w:val="222222"/>
          <w:sz w:val="28"/>
          <w:szCs w:val="28"/>
          <w:lang w:eastAsia="en-US"/>
        </w:rPr>
        <w:t xml:space="preserve">addressed 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>by the Commission before it issues its final rule</w:t>
      </w:r>
      <w:r w:rsidR="00844764" w:rsidRPr="00C32609">
        <w:rPr>
          <w:rFonts w:eastAsia="Times New Roman"/>
          <w:color w:val="222222"/>
          <w:sz w:val="28"/>
          <w:szCs w:val="28"/>
          <w:lang w:eastAsia="en-US"/>
        </w:rPr>
        <w:t xml:space="preserve"> implementing the Budget Act amendment</w:t>
      </w:r>
      <w:r w:rsidR="00AB08FD">
        <w:rPr>
          <w:rFonts w:eastAsia="Times New Roman"/>
          <w:color w:val="222222"/>
          <w:sz w:val="28"/>
          <w:szCs w:val="28"/>
          <w:lang w:eastAsia="en-US"/>
        </w:rPr>
        <w:t>.</w:t>
      </w:r>
    </w:p>
    <w:p w14:paraId="4CAEA3A6" w14:textId="41F1976F" w:rsidR="003C518B" w:rsidRPr="000F42AC" w:rsidRDefault="005A0011" w:rsidP="003C518B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 w:rsidRPr="00547495">
        <w:rPr>
          <w:rFonts w:cs="Tahoma"/>
          <w:sz w:val="28"/>
          <w:szCs w:val="28"/>
        </w:rPr>
        <w:t>WHEREAS, the Indiana Attorney General has</w:t>
      </w:r>
      <w:r w:rsidR="000F42AC" w:rsidRPr="000F42AC">
        <w:rPr>
          <w:rFonts w:cs="Tahoma"/>
          <w:sz w:val="28"/>
          <w:szCs w:val="28"/>
        </w:rPr>
        <w:t xml:space="preserve"> testified that his office has </w:t>
      </w:r>
      <w:r w:rsidR="000F42AC">
        <w:rPr>
          <w:rFonts w:cs="Tahoma"/>
          <w:sz w:val="28"/>
          <w:szCs w:val="28"/>
        </w:rPr>
        <w:t>“</w:t>
      </w:r>
      <w:r w:rsidRPr="00547495">
        <w:rPr>
          <w:rFonts w:cs="Tahoma"/>
          <w:sz w:val="28"/>
          <w:szCs w:val="28"/>
        </w:rPr>
        <w:t>had more complaints about the IRS impersonation scam this year than any other telephone privacy complaint, with nearly 1,400 complaints received this year at a rate of 10 complaints per day.</w:t>
      </w:r>
      <w:r w:rsidR="000F42AC">
        <w:rPr>
          <w:rFonts w:eastAsia="Times New Roman"/>
          <w:color w:val="222222"/>
          <w:sz w:val="28"/>
          <w:szCs w:val="28"/>
          <w:lang w:eastAsia="en-US"/>
        </w:rPr>
        <w:t>”</w:t>
      </w:r>
      <w:r w:rsidR="00547495">
        <w:rPr>
          <w:rStyle w:val="FootnoteReference"/>
          <w:rFonts w:eastAsia="Times New Roman"/>
          <w:color w:val="222222"/>
          <w:sz w:val="28"/>
          <w:szCs w:val="28"/>
          <w:lang w:eastAsia="en-US"/>
        </w:rPr>
        <w:footnoteReference w:id="7"/>
      </w:r>
    </w:p>
    <w:p w14:paraId="76C413F8" w14:textId="7E69679F" w:rsidR="00364807" w:rsidRDefault="000E5FC1" w:rsidP="003C518B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>THEREFORE BE IT RESOLVED that the Consumer Advisory C</w:t>
      </w:r>
      <w:r w:rsidR="004B654F" w:rsidRPr="00C32609">
        <w:rPr>
          <w:rFonts w:eastAsia="Times New Roman"/>
          <w:color w:val="222222"/>
          <w:sz w:val="28"/>
          <w:szCs w:val="28"/>
          <w:lang w:eastAsia="en-US"/>
        </w:rPr>
        <w:t>ommittee recommends that the Commission promulgate the Final Rule with the listed consumer protections</w:t>
      </w:r>
      <w:r w:rsidR="00364807">
        <w:rPr>
          <w:rFonts w:eastAsia="Times New Roman"/>
          <w:color w:val="222222"/>
          <w:sz w:val="28"/>
          <w:szCs w:val="28"/>
          <w:lang w:eastAsia="en-US"/>
        </w:rPr>
        <w:t>:</w:t>
      </w:r>
    </w:p>
    <w:p w14:paraId="0E63874D" w14:textId="736DAF09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>Calls pursuant to the exception would only be permitted to be made to the debtors themselves, not to family</w:t>
      </w:r>
      <w:r>
        <w:rPr>
          <w:rFonts w:eastAsia="Times New Roman"/>
          <w:color w:val="222222"/>
          <w:sz w:val="28"/>
          <w:szCs w:val="28"/>
          <w:lang w:eastAsia="en-US"/>
        </w:rPr>
        <w:t>,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 friends</w:t>
      </w:r>
      <w:r>
        <w:rPr>
          <w:rFonts w:eastAsia="Times New Roman"/>
          <w:color w:val="222222"/>
          <w:sz w:val="28"/>
          <w:szCs w:val="28"/>
          <w:lang w:eastAsia="en-US"/>
        </w:rPr>
        <w:t xml:space="preserve"> or</w:t>
      </w:r>
      <w:r w:rsidR="000251AF">
        <w:rPr>
          <w:rFonts w:eastAsia="Times New Roman"/>
          <w:color w:val="222222"/>
          <w:sz w:val="28"/>
          <w:szCs w:val="28"/>
          <w:lang w:eastAsia="en-US"/>
        </w:rPr>
        <w:t xml:space="preserve"> others, including employers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>;</w:t>
      </w:r>
    </w:p>
    <w:p w14:paraId="1B4A42FB" w14:textId="77777777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>The rule would apply to texts as well as to calls to cell phones;</w:t>
      </w:r>
    </w:p>
    <w:p w14:paraId="0AF85EE5" w14:textId="77777777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Calls would be allowed only when related to delinquent or defaulted debt, and only related to the debt status, and no telemarketing messages would be permitted to be included; </w:t>
      </w:r>
    </w:p>
    <w:p w14:paraId="755D2425" w14:textId="16A80188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The number of allowed calls or texts made pursuant to the proposed rule is limited to three calls per month, per </w:t>
      </w:r>
      <w:r w:rsidR="000251AF">
        <w:rPr>
          <w:rFonts w:eastAsia="Times New Roman"/>
          <w:color w:val="222222"/>
          <w:sz w:val="28"/>
          <w:szCs w:val="28"/>
          <w:lang w:eastAsia="en-US"/>
        </w:rPr>
        <w:t xml:space="preserve">servicer or collector 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>and each initiated call would count as one call;</w:t>
      </w:r>
    </w:p>
    <w:p w14:paraId="11409F0C" w14:textId="77777777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>Callers would be required to honor a request for the calls to stop;</w:t>
      </w:r>
    </w:p>
    <w:p w14:paraId="77224FB8" w14:textId="77777777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>Callers would be require to notify consumers of their right to request that calls stop;</w:t>
      </w:r>
    </w:p>
    <w:p w14:paraId="7A59472B" w14:textId="77777777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The rule proposes to apply limitations in the Fair Debt Collection Practices Act to the permissible time of calls </w:t>
      </w:r>
      <w:r>
        <w:rPr>
          <w:rFonts w:eastAsia="Times New Roman"/>
          <w:color w:val="222222"/>
          <w:sz w:val="28"/>
          <w:szCs w:val="28"/>
          <w:lang w:eastAsia="en-US"/>
        </w:rPr>
        <w:t xml:space="preserve">covered by the rule 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>(8:00 a.m. to 9:00 p.m.)</w:t>
      </w:r>
      <w:r>
        <w:rPr>
          <w:rFonts w:eastAsia="Times New Roman"/>
          <w:color w:val="222222"/>
          <w:sz w:val="28"/>
          <w:szCs w:val="28"/>
          <w:lang w:eastAsia="en-US"/>
        </w:rPr>
        <w:t>;</w:t>
      </w:r>
    </w:p>
    <w:p w14:paraId="4E0C2A3E" w14:textId="77777777" w:rsidR="00364807" w:rsidRPr="00C32609" w:rsidRDefault="00364807" w:rsidP="0036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The rule would only permit calls to be made under the exception for debts currently owed to or guaranteed by the United States, so that calls to collect these debts </w:t>
      </w:r>
      <w:r>
        <w:rPr>
          <w:rFonts w:eastAsia="Times New Roman"/>
          <w:color w:val="222222"/>
          <w:sz w:val="28"/>
          <w:szCs w:val="28"/>
          <w:lang w:eastAsia="en-US"/>
        </w:rPr>
        <w:t xml:space="preserve">after they have been sold 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>to independent third parties would not be permitted without consent;</w:t>
      </w:r>
    </w:p>
    <w:p w14:paraId="62C8FB1B" w14:textId="58C885E0" w:rsidR="000E5FC1" w:rsidRPr="00AB08FD" w:rsidRDefault="00364807" w:rsidP="0007236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222222"/>
          <w:sz w:val="28"/>
          <w:szCs w:val="28"/>
          <w:lang w:eastAsia="en-US"/>
        </w:rPr>
      </w:pPr>
      <w:r w:rsidRPr="00C32609">
        <w:rPr>
          <w:rFonts w:eastAsia="Times New Roman"/>
          <w:color w:val="222222"/>
          <w:sz w:val="28"/>
          <w:szCs w:val="28"/>
          <w:lang w:eastAsia="en-US"/>
        </w:rPr>
        <w:lastRenderedPageBreak/>
        <w:t>The same rules for wrong number calls, such as to reassigned numbers, as was required by the FCC's 2015 Omnibus Order</w:t>
      </w:r>
      <w:r w:rsidRPr="00C32609">
        <w:rPr>
          <w:rStyle w:val="FootnoteReference"/>
          <w:rFonts w:eastAsia="Times New Roman"/>
          <w:color w:val="222222"/>
          <w:sz w:val="28"/>
          <w:szCs w:val="28"/>
          <w:lang w:eastAsia="en-US"/>
        </w:rPr>
        <w:footnoteReference w:id="8"/>
      </w: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222222"/>
          <w:sz w:val="28"/>
          <w:szCs w:val="28"/>
          <w:lang w:eastAsia="en-US"/>
        </w:rPr>
        <w:t>would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 apply </w:t>
      </w:r>
      <w:r>
        <w:rPr>
          <w:rFonts w:eastAsia="Times New Roman"/>
          <w:color w:val="222222"/>
          <w:sz w:val="28"/>
          <w:szCs w:val="28"/>
          <w:lang w:eastAsia="en-US"/>
        </w:rPr>
        <w:t xml:space="preserve">to calls made pursuant to this rule </w:t>
      </w:r>
      <w:r w:rsidRPr="00C32609">
        <w:rPr>
          <w:rFonts w:eastAsia="Times New Roman"/>
          <w:color w:val="222222"/>
          <w:sz w:val="28"/>
          <w:szCs w:val="28"/>
          <w:lang w:eastAsia="en-US"/>
        </w:rPr>
        <w:t xml:space="preserve">(this only permits only 1 wrong number call). </w:t>
      </w:r>
      <w:r w:rsidR="004B654F" w:rsidRPr="00AB08FD">
        <w:rPr>
          <w:rFonts w:eastAsia="Times New Roman"/>
          <w:color w:val="222222"/>
          <w:sz w:val="28"/>
          <w:szCs w:val="28"/>
          <w:lang w:eastAsia="en-US"/>
        </w:rPr>
        <w:t>; and</w:t>
      </w:r>
    </w:p>
    <w:p w14:paraId="535638E9" w14:textId="258DE887" w:rsidR="00C2161E" w:rsidRPr="00C32609" w:rsidRDefault="00AB08FD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 xml:space="preserve">BE IT FURTHER </w:t>
      </w:r>
      <w:r w:rsidR="004B654F" w:rsidRPr="00C32609">
        <w:rPr>
          <w:rFonts w:eastAsia="Times New Roman"/>
          <w:color w:val="222222"/>
          <w:sz w:val="28"/>
          <w:szCs w:val="28"/>
          <w:lang w:eastAsia="en-US"/>
        </w:rPr>
        <w:t>RESOLVED</w:t>
      </w:r>
      <w:r w:rsidR="00C2161E" w:rsidRPr="00C32609">
        <w:rPr>
          <w:rFonts w:eastAsia="Times New Roman"/>
          <w:color w:val="222222"/>
          <w:sz w:val="28"/>
          <w:szCs w:val="28"/>
          <w:lang w:eastAsia="en-US"/>
        </w:rPr>
        <w:t xml:space="preserve">, that the Consumer Advisory Committee also recommends </w:t>
      </w:r>
      <w:r w:rsidR="007A372C" w:rsidRPr="00C32609">
        <w:rPr>
          <w:rFonts w:eastAsia="Times New Roman"/>
          <w:color w:val="222222"/>
          <w:sz w:val="28"/>
          <w:szCs w:val="28"/>
          <w:lang w:eastAsia="en-US"/>
        </w:rPr>
        <w:t xml:space="preserve">that </w:t>
      </w:r>
      <w:r w:rsidR="00C2161E" w:rsidRPr="00C32609">
        <w:rPr>
          <w:rFonts w:eastAsia="Times New Roman"/>
          <w:color w:val="222222"/>
          <w:sz w:val="28"/>
          <w:szCs w:val="28"/>
          <w:lang w:eastAsia="en-US"/>
        </w:rPr>
        <w:t xml:space="preserve">all of these </w:t>
      </w:r>
      <w:r w:rsidR="007A372C" w:rsidRPr="00C32609">
        <w:rPr>
          <w:rFonts w:eastAsia="Times New Roman"/>
          <w:color w:val="222222"/>
          <w:sz w:val="28"/>
          <w:szCs w:val="28"/>
          <w:lang w:eastAsia="en-US"/>
        </w:rPr>
        <w:t>consumer protections be placed in the body of the regulation itself, rather than simply in the text accompanying the reg</w:t>
      </w:r>
      <w:r w:rsidR="00C2161E" w:rsidRPr="00C32609">
        <w:rPr>
          <w:rFonts w:eastAsia="Times New Roman"/>
          <w:color w:val="222222"/>
          <w:sz w:val="28"/>
          <w:szCs w:val="28"/>
          <w:lang w:eastAsia="en-US"/>
        </w:rPr>
        <w:t>ulation</w:t>
      </w:r>
      <w:r w:rsidR="00A60CDE" w:rsidRPr="00C32609">
        <w:rPr>
          <w:rFonts w:eastAsia="Times New Roman"/>
          <w:color w:val="222222"/>
          <w:sz w:val="28"/>
          <w:szCs w:val="28"/>
          <w:lang w:eastAsia="en-US"/>
        </w:rPr>
        <w:t xml:space="preserve">; and </w:t>
      </w:r>
    </w:p>
    <w:p w14:paraId="372BE3CB" w14:textId="34E0874C" w:rsidR="00AB08FD" w:rsidRDefault="00AB08FD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 xml:space="preserve">BE IT FURTHER </w:t>
      </w:r>
      <w:r w:rsidR="00A60CDE" w:rsidRPr="00C32609">
        <w:rPr>
          <w:rFonts w:eastAsia="Times New Roman"/>
          <w:color w:val="222222"/>
          <w:sz w:val="28"/>
          <w:szCs w:val="28"/>
          <w:lang w:eastAsia="en-US"/>
        </w:rPr>
        <w:t xml:space="preserve">RESOLVED, that the Consumer Advisory Committee also recommends that the Commission </w:t>
      </w:r>
      <w:r w:rsidR="00CC5F0F" w:rsidRPr="00C32609">
        <w:rPr>
          <w:rFonts w:eastAsia="Times New Roman"/>
          <w:color w:val="222222"/>
          <w:sz w:val="28"/>
          <w:szCs w:val="28"/>
          <w:lang w:eastAsia="en-US"/>
        </w:rPr>
        <w:t>require that callers must have documented rationale for believing that a particular phone number belongs to th</w:t>
      </w:r>
      <w:r w:rsidR="00FB112C" w:rsidRPr="00C32609">
        <w:rPr>
          <w:rFonts w:eastAsia="Times New Roman"/>
          <w:color w:val="222222"/>
          <w:sz w:val="28"/>
          <w:szCs w:val="28"/>
          <w:lang w:eastAsia="en-US"/>
        </w:rPr>
        <w:t>e debtor being called or texted</w:t>
      </w:r>
      <w:r w:rsidR="00CC5F0F" w:rsidRPr="00C32609">
        <w:rPr>
          <w:rFonts w:eastAsia="Times New Roman"/>
          <w:color w:val="222222"/>
          <w:sz w:val="28"/>
          <w:szCs w:val="28"/>
          <w:lang w:eastAsia="en-US"/>
        </w:rPr>
        <w:t xml:space="preserve"> by </w:t>
      </w:r>
      <w:r w:rsidR="00FB112C" w:rsidRPr="00C32609">
        <w:rPr>
          <w:rFonts w:eastAsia="Times New Roman"/>
          <w:color w:val="222222"/>
          <w:sz w:val="28"/>
          <w:szCs w:val="28"/>
          <w:lang w:eastAsia="en-US"/>
        </w:rPr>
        <w:t>the debt collector or servicer</w:t>
      </w:r>
      <w:r>
        <w:rPr>
          <w:rFonts w:eastAsia="Times New Roman"/>
          <w:color w:val="222222"/>
          <w:sz w:val="28"/>
          <w:szCs w:val="28"/>
          <w:lang w:eastAsia="en-US"/>
        </w:rPr>
        <w:t>;</w:t>
      </w:r>
      <w:r w:rsidR="00C85085">
        <w:rPr>
          <w:rFonts w:eastAsia="Times New Roman"/>
          <w:color w:val="222222"/>
          <w:sz w:val="28"/>
          <w:szCs w:val="28"/>
          <w:lang w:eastAsia="en-US"/>
        </w:rPr>
        <w:t xml:space="preserve"> and</w:t>
      </w:r>
    </w:p>
    <w:p w14:paraId="34A8109C" w14:textId="1FC4D6AA" w:rsidR="00C85085" w:rsidRDefault="00AB08FD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>BE IT FURTHER RESOLVED,</w:t>
      </w:r>
      <w:r w:rsidR="00C85085">
        <w:rPr>
          <w:rFonts w:eastAsia="Times New Roman"/>
          <w:color w:val="222222"/>
          <w:sz w:val="28"/>
          <w:szCs w:val="28"/>
          <w:lang w:eastAsia="en-US"/>
        </w:rPr>
        <w:t xml:space="preserve"> that</w:t>
      </w:r>
      <w:r>
        <w:rPr>
          <w:rFonts w:eastAsia="Times New Roman"/>
          <w:color w:val="222222"/>
          <w:sz w:val="28"/>
          <w:szCs w:val="28"/>
          <w:lang w:eastAsia="en-US"/>
        </w:rPr>
        <w:t xml:space="preserve"> to the extent possible </w:t>
      </w:r>
      <w:r w:rsidR="00C85085">
        <w:rPr>
          <w:rFonts w:eastAsia="Times New Roman"/>
          <w:color w:val="222222"/>
          <w:sz w:val="28"/>
          <w:szCs w:val="28"/>
          <w:lang w:eastAsia="en-US"/>
        </w:rPr>
        <w:t xml:space="preserve">the FCC </w:t>
      </w:r>
      <w:r w:rsidR="00DB27D8">
        <w:rPr>
          <w:rFonts w:eastAsia="Times New Roman"/>
          <w:color w:val="222222"/>
          <w:sz w:val="28"/>
          <w:szCs w:val="28"/>
          <w:lang w:eastAsia="en-US"/>
        </w:rPr>
        <w:t>should work</w:t>
      </w:r>
      <w:r>
        <w:rPr>
          <w:rFonts w:eastAsia="Times New Roman"/>
          <w:color w:val="222222"/>
          <w:sz w:val="28"/>
          <w:szCs w:val="28"/>
          <w:lang w:eastAsia="en-US"/>
        </w:rPr>
        <w:t xml:space="preserve"> with the FTC and CFPB to coordinate definitions for terms and protections across the debt collection </w:t>
      </w:r>
      <w:r w:rsidR="00412F83">
        <w:rPr>
          <w:rFonts w:eastAsia="Times New Roman"/>
          <w:color w:val="222222"/>
          <w:sz w:val="28"/>
          <w:szCs w:val="28"/>
          <w:lang w:eastAsia="en-US"/>
        </w:rPr>
        <w:t>landscape</w:t>
      </w:r>
      <w:r w:rsidR="00547495">
        <w:rPr>
          <w:rFonts w:eastAsia="Times New Roman"/>
          <w:color w:val="222222"/>
          <w:sz w:val="28"/>
          <w:szCs w:val="28"/>
          <w:lang w:eastAsia="en-US"/>
        </w:rPr>
        <w:t>.</w:t>
      </w:r>
    </w:p>
    <w:p w14:paraId="2B62211F" w14:textId="77777777" w:rsidR="00C85085" w:rsidRDefault="00C85085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</w:p>
    <w:p w14:paraId="2DD23762" w14:textId="58B18F2A" w:rsidR="00C2161E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>Adopted: June 10, 2016</w:t>
      </w:r>
    </w:p>
    <w:p w14:paraId="5FB37099" w14:textId="77777777" w:rsidR="00EE2004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>Abstentions: Americans for Tax Reform; CenturyLink; International Center for Law and Economics; National Cable and Telecommunications Association; T-Mobile; Verizon</w:t>
      </w:r>
    </w:p>
    <w:p w14:paraId="0DCB4F6D" w14:textId="77777777" w:rsidR="00EE2004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</w:p>
    <w:p w14:paraId="33D83D4C" w14:textId="77777777" w:rsidR="00EE2004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>Respectfully Submitted:</w:t>
      </w:r>
    </w:p>
    <w:p w14:paraId="3617005C" w14:textId="77777777" w:rsidR="00EE2004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>Debra R. Berlyn, Chairperson</w:t>
      </w:r>
    </w:p>
    <w:p w14:paraId="09541126" w14:textId="77777777" w:rsidR="00EE2004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>FCC Consumer Advisory Committee</w:t>
      </w:r>
    </w:p>
    <w:p w14:paraId="3107F188" w14:textId="79228D7B" w:rsidR="00EE2004" w:rsidRPr="00C32609" w:rsidRDefault="00EE2004" w:rsidP="00C2161E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en-US"/>
        </w:rPr>
        <w:t xml:space="preserve"> </w:t>
      </w:r>
    </w:p>
    <w:p w14:paraId="74A3844A" w14:textId="77777777" w:rsidR="007A372C" w:rsidRPr="00C32609" w:rsidRDefault="007A372C">
      <w:pPr>
        <w:rPr>
          <w:sz w:val="28"/>
          <w:szCs w:val="28"/>
        </w:rPr>
      </w:pPr>
    </w:p>
    <w:sectPr w:rsidR="007A372C" w:rsidRPr="00C32609" w:rsidSect="00D93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7F94" w14:textId="77777777" w:rsidR="00011344" w:rsidRDefault="00011344" w:rsidP="0075659D">
      <w:r>
        <w:separator/>
      </w:r>
    </w:p>
  </w:endnote>
  <w:endnote w:type="continuationSeparator" w:id="0">
    <w:p w14:paraId="4225320C" w14:textId="77777777" w:rsidR="00011344" w:rsidRDefault="00011344" w:rsidP="007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A15E" w14:textId="77777777" w:rsidR="009D01AD" w:rsidRDefault="009D0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ABCA1" w14:textId="77777777" w:rsidR="009D01AD" w:rsidRDefault="009D0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E2D1" w14:textId="77777777" w:rsidR="009D01AD" w:rsidRDefault="009D0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3A1D6" w14:textId="77777777" w:rsidR="00011344" w:rsidRDefault="00011344" w:rsidP="0075659D">
      <w:r>
        <w:separator/>
      </w:r>
    </w:p>
  </w:footnote>
  <w:footnote w:type="continuationSeparator" w:id="0">
    <w:p w14:paraId="2CD48E81" w14:textId="77777777" w:rsidR="00011344" w:rsidRDefault="00011344" w:rsidP="0075659D">
      <w:r>
        <w:continuationSeparator/>
      </w:r>
    </w:p>
  </w:footnote>
  <w:footnote w:id="1">
    <w:p w14:paraId="061D2E2D" w14:textId="77777777" w:rsidR="00412F83" w:rsidRPr="00C32609" w:rsidRDefault="00412F83" w:rsidP="0075659D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C32609">
        <w:rPr>
          <w:rStyle w:val="FootnoteReference"/>
        </w:rPr>
        <w:footnoteRef/>
      </w:r>
      <w:r w:rsidRPr="00C32609">
        <w:t xml:space="preserve"> </w:t>
      </w:r>
      <w:r w:rsidRPr="00C32609">
        <w:rPr>
          <w:rFonts w:cs="Times New Roman"/>
        </w:rPr>
        <w:t>Bipartisan Budget Act of 2015, Pub. L. No. 114-74, 129 Stat. 584 (Budget Act). </w:t>
      </w:r>
    </w:p>
  </w:footnote>
  <w:footnote w:id="2">
    <w:p w14:paraId="2881280D" w14:textId="77777777" w:rsidR="00412F83" w:rsidRPr="00C32609" w:rsidRDefault="00412F83" w:rsidP="000F0B02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C32609">
        <w:rPr>
          <w:rStyle w:val="FootnoteReference"/>
        </w:rPr>
        <w:footnoteRef/>
      </w:r>
      <w:r w:rsidRPr="00C32609">
        <w:t xml:space="preserve"> </w:t>
      </w:r>
      <w:r w:rsidRPr="00C32609">
        <w:rPr>
          <w:rFonts w:cs="Times New Roman"/>
        </w:rPr>
        <w:t xml:space="preserve">The Telephone Consumer Protection Act (TCPA) is codified at section 227 of the Communications Act of 1934, as amended. </w:t>
      </w:r>
      <w:r w:rsidRPr="00C32609">
        <w:rPr>
          <w:rFonts w:cs="Times"/>
          <w:i/>
          <w:iCs/>
        </w:rPr>
        <w:t xml:space="preserve">See </w:t>
      </w:r>
      <w:r w:rsidRPr="00C32609">
        <w:rPr>
          <w:rFonts w:cs="Times New Roman"/>
        </w:rPr>
        <w:t xml:space="preserve">47 U.S.C. § 227. </w:t>
      </w:r>
    </w:p>
  </w:footnote>
  <w:footnote w:id="3">
    <w:p w14:paraId="7DEA3AEF" w14:textId="77777777" w:rsidR="00412F83" w:rsidRPr="00C32609" w:rsidRDefault="00412F83" w:rsidP="005F6779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C32609">
        <w:rPr>
          <w:rStyle w:val="FootnoteReference"/>
        </w:rPr>
        <w:footnoteRef/>
      </w:r>
      <w:r w:rsidRPr="00C32609">
        <w:t xml:space="preserve"> </w:t>
      </w:r>
      <w:r w:rsidRPr="00C32609">
        <w:rPr>
          <w:rFonts w:cs="Times New Roman"/>
        </w:rPr>
        <w:t xml:space="preserve">Budget Act § 301(a)(1)(A) (amending 47 U.S.C. § 227(b)(1)(A)); </w:t>
      </w:r>
      <w:r w:rsidRPr="00C32609">
        <w:rPr>
          <w:rFonts w:cs="Times"/>
          <w:i/>
          <w:iCs/>
        </w:rPr>
        <w:t xml:space="preserve">see also id. </w:t>
      </w:r>
      <w:r w:rsidRPr="00C32609">
        <w:rPr>
          <w:rFonts w:cs="Times New Roman"/>
        </w:rPr>
        <w:t xml:space="preserve">§ 301(a)(1)(B) (amending 47 U.S.C. § 227(b)(1)(B) to read, in part, that artificial- or prerecorded-voice calls cannot be made to a residential telephone line without the consent of the called party unless the call is “made solely pursuant to the collection of a debt owed to or guaranteed by the United States”). “Robocalls” include calls made either with an automatic telephone dialing system (“autodialer”) or with a prerecorded or artificial voice. </w:t>
      </w:r>
      <w:r w:rsidRPr="00C32609">
        <w:rPr>
          <w:rFonts w:cs="Times"/>
          <w:i/>
          <w:iCs/>
        </w:rPr>
        <w:t>See Rules and Regulations Implementing the Telephone Consumer Protection Act of 1991</w:t>
      </w:r>
      <w:r w:rsidRPr="00C32609">
        <w:rPr>
          <w:rFonts w:cs="Times New Roman"/>
        </w:rPr>
        <w:t>, CG Docket No. 02-278, Declaratory Ruling and Order, 30 FCC Rcd 7961, 7694, para. 1 n.1 (2015) (</w:t>
      </w:r>
      <w:r w:rsidRPr="00C32609">
        <w:rPr>
          <w:rFonts w:cs="Times"/>
          <w:i/>
          <w:iCs/>
        </w:rPr>
        <w:t>2015 TCPA Declaratory Ruling and Order</w:t>
      </w:r>
      <w:r w:rsidRPr="00C32609">
        <w:rPr>
          <w:rFonts w:cs="Times New Roman"/>
        </w:rPr>
        <w:t xml:space="preserve">). The Commission has interpreted the TCPA to apply both to voice calls and to text messages. </w:t>
      </w:r>
      <w:r w:rsidRPr="00C32609">
        <w:rPr>
          <w:rFonts w:cs="Times"/>
          <w:i/>
          <w:iCs/>
        </w:rPr>
        <w:t xml:space="preserve">Id. </w:t>
      </w:r>
      <w:r w:rsidRPr="00C32609">
        <w:rPr>
          <w:rFonts w:cs="Times New Roman"/>
        </w:rPr>
        <w:t xml:space="preserve">at 8016-17, para. 107. </w:t>
      </w:r>
    </w:p>
  </w:footnote>
  <w:footnote w:id="4">
    <w:p w14:paraId="1DE3D637" w14:textId="77777777" w:rsidR="00412F83" w:rsidRPr="00C32609" w:rsidRDefault="00412F83" w:rsidP="005F6779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C32609">
        <w:rPr>
          <w:rStyle w:val="FootnoteReference"/>
        </w:rPr>
        <w:footnoteRef/>
      </w:r>
      <w:r w:rsidRPr="00C32609">
        <w:t xml:space="preserve"> </w:t>
      </w:r>
      <w:r w:rsidRPr="00C32609">
        <w:rPr>
          <w:rFonts w:cs="Times New Roman"/>
        </w:rPr>
        <w:t>Budget Act § 301(b). </w:t>
      </w:r>
    </w:p>
  </w:footnote>
  <w:footnote w:id="5">
    <w:p w14:paraId="489DCB54" w14:textId="77777777" w:rsidR="00412F83" w:rsidRPr="00C32609" w:rsidRDefault="00412F83" w:rsidP="005F6779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C32609">
        <w:rPr>
          <w:rStyle w:val="FootnoteReference"/>
        </w:rPr>
        <w:footnoteRef/>
      </w:r>
      <w:r w:rsidRPr="00C32609">
        <w:t xml:space="preserve"> </w:t>
      </w:r>
      <w:r w:rsidRPr="00C32609">
        <w:rPr>
          <w:rFonts w:cs="Times New Roman"/>
        </w:rPr>
        <w:t xml:space="preserve">Budget Act § 301(a)(2) (amending 47 U.S.C. § 227(b)(2)). </w:t>
      </w:r>
    </w:p>
  </w:footnote>
  <w:footnote w:id="6">
    <w:p w14:paraId="688E3D10" w14:textId="77777777" w:rsidR="00412F83" w:rsidRPr="00C32609" w:rsidRDefault="00412F83">
      <w:pPr>
        <w:pStyle w:val="FootnoteText"/>
      </w:pPr>
      <w:r w:rsidRPr="00C32609">
        <w:rPr>
          <w:rStyle w:val="FootnoteReference"/>
        </w:rPr>
        <w:footnoteRef/>
      </w:r>
      <w:r w:rsidRPr="00C32609">
        <w:t xml:space="preserve"> http://transition.fcc.gov/Daily_Releases/Daily_Business/2016/db0506/FCC-16-57A1.pdf.</w:t>
      </w:r>
    </w:p>
  </w:footnote>
  <w:footnote w:id="7">
    <w:p w14:paraId="0886338C" w14:textId="5E6CC61C" w:rsidR="00547495" w:rsidRDefault="005474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7495">
        <w:rPr>
          <w:i/>
        </w:rPr>
        <w:t>See</w:t>
      </w:r>
      <w:r>
        <w:t xml:space="preserve"> Testimony of Indiana Attorney General Greg Zoeller Re: TCPA and HANGUP Act before the U.S. Senate Committee on Commerce, Science, and Transportation, Wednesday, May 18, 2016. </w:t>
      </w:r>
    </w:p>
  </w:footnote>
  <w:footnote w:id="8">
    <w:p w14:paraId="52916087" w14:textId="77777777" w:rsidR="00412F83" w:rsidRPr="00FB112C" w:rsidRDefault="00412F83" w:rsidP="0036480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</w:rPr>
      </w:pPr>
      <w:r w:rsidRPr="00C32609">
        <w:rPr>
          <w:rStyle w:val="FootnoteReference"/>
        </w:rPr>
        <w:footnoteRef/>
      </w:r>
      <w:r w:rsidRPr="00C32609">
        <w:t xml:space="preserve"> </w:t>
      </w:r>
      <w:r w:rsidRPr="00C32609">
        <w:rPr>
          <w:rFonts w:cs="Times"/>
          <w:i/>
          <w:iCs/>
        </w:rPr>
        <w:t>See 2015 TCPA Declaratory Ruling and Order</w:t>
      </w:r>
      <w:r w:rsidRPr="00C32609">
        <w:rPr>
          <w:rFonts w:cs="Times New Roman"/>
        </w:rPr>
        <w:t>, 30 FCC Rcd at 8006-10, paras. 85-92.</w:t>
      </w:r>
      <w:r w:rsidRPr="00FB112C">
        <w:rPr>
          <w:rFonts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C4A7" w14:textId="77777777" w:rsidR="009D01AD" w:rsidRDefault="009D0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C5B9" w14:textId="77777777" w:rsidR="009D01AD" w:rsidRDefault="009D0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578CA" w14:textId="77777777" w:rsidR="009D01AD" w:rsidRDefault="009D0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928"/>
    <w:multiLevelType w:val="multilevel"/>
    <w:tmpl w:val="E90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2"/>
    <w:rsid w:val="00011344"/>
    <w:rsid w:val="000251AF"/>
    <w:rsid w:val="0007236C"/>
    <w:rsid w:val="000C7A12"/>
    <w:rsid w:val="000E5FC1"/>
    <w:rsid w:val="000E6774"/>
    <w:rsid w:val="000F0B02"/>
    <w:rsid w:val="000F42AC"/>
    <w:rsid w:val="00364807"/>
    <w:rsid w:val="00387E97"/>
    <w:rsid w:val="003B2352"/>
    <w:rsid w:val="003C518B"/>
    <w:rsid w:val="003F284D"/>
    <w:rsid w:val="00412F83"/>
    <w:rsid w:val="00415225"/>
    <w:rsid w:val="00474CC8"/>
    <w:rsid w:val="004B654F"/>
    <w:rsid w:val="005159B1"/>
    <w:rsid w:val="0054654A"/>
    <w:rsid w:val="00547495"/>
    <w:rsid w:val="005767C3"/>
    <w:rsid w:val="005A0011"/>
    <w:rsid w:val="005C1400"/>
    <w:rsid w:val="005F6779"/>
    <w:rsid w:val="00646041"/>
    <w:rsid w:val="00661D61"/>
    <w:rsid w:val="006623B9"/>
    <w:rsid w:val="00663746"/>
    <w:rsid w:val="006F774E"/>
    <w:rsid w:val="0075659D"/>
    <w:rsid w:val="007A372C"/>
    <w:rsid w:val="0081501F"/>
    <w:rsid w:val="00844764"/>
    <w:rsid w:val="008F5223"/>
    <w:rsid w:val="009602E7"/>
    <w:rsid w:val="009D01AD"/>
    <w:rsid w:val="009F04A6"/>
    <w:rsid w:val="00A2478E"/>
    <w:rsid w:val="00A2661D"/>
    <w:rsid w:val="00A60CDE"/>
    <w:rsid w:val="00A933DE"/>
    <w:rsid w:val="00AB08FD"/>
    <w:rsid w:val="00B9100F"/>
    <w:rsid w:val="00C2161E"/>
    <w:rsid w:val="00C32609"/>
    <w:rsid w:val="00C67CF0"/>
    <w:rsid w:val="00C74142"/>
    <w:rsid w:val="00C85085"/>
    <w:rsid w:val="00C85514"/>
    <w:rsid w:val="00CC5F0F"/>
    <w:rsid w:val="00D210F4"/>
    <w:rsid w:val="00D47A19"/>
    <w:rsid w:val="00D93829"/>
    <w:rsid w:val="00DA6B11"/>
    <w:rsid w:val="00DB27D8"/>
    <w:rsid w:val="00E455FC"/>
    <w:rsid w:val="00ED1FB5"/>
    <w:rsid w:val="00ED3745"/>
    <w:rsid w:val="00EE2004"/>
    <w:rsid w:val="00F82B70"/>
    <w:rsid w:val="00FB112C"/>
    <w:rsid w:val="00FB6285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08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D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5659D"/>
  </w:style>
  <w:style w:type="character" w:customStyle="1" w:styleId="FootnoteTextChar">
    <w:name w:val="Footnote Text Char"/>
    <w:basedOn w:val="DefaultParagraphFont"/>
    <w:link w:val="FootnoteText"/>
    <w:uiPriority w:val="99"/>
    <w:rsid w:val="0075659D"/>
  </w:style>
  <w:style w:type="character" w:styleId="FootnoteReference">
    <w:name w:val="footnote reference"/>
    <w:basedOn w:val="DefaultParagraphFont"/>
    <w:uiPriority w:val="99"/>
    <w:unhideWhenUsed/>
    <w:rsid w:val="00756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41"/>
  </w:style>
  <w:style w:type="paragraph" w:styleId="Footer">
    <w:name w:val="footer"/>
    <w:basedOn w:val="Normal"/>
    <w:link w:val="FooterChar"/>
    <w:uiPriority w:val="99"/>
    <w:unhideWhenUsed/>
    <w:rsid w:val="0064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D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5659D"/>
  </w:style>
  <w:style w:type="character" w:customStyle="1" w:styleId="FootnoteTextChar">
    <w:name w:val="Footnote Text Char"/>
    <w:basedOn w:val="DefaultParagraphFont"/>
    <w:link w:val="FootnoteText"/>
    <w:uiPriority w:val="99"/>
    <w:rsid w:val="0075659D"/>
  </w:style>
  <w:style w:type="character" w:styleId="FootnoteReference">
    <w:name w:val="footnote reference"/>
    <w:basedOn w:val="DefaultParagraphFont"/>
    <w:uiPriority w:val="99"/>
    <w:unhideWhenUsed/>
    <w:rsid w:val="00756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41"/>
  </w:style>
  <w:style w:type="paragraph" w:styleId="Footer">
    <w:name w:val="footer"/>
    <w:basedOn w:val="Normal"/>
    <w:link w:val="FooterChar"/>
    <w:uiPriority w:val="99"/>
    <w:unhideWhenUsed/>
    <w:rsid w:val="0064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3540</Characters>
  <Application>Microsoft Office Word</Application>
  <DocSecurity>0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2016-06-14T17:34:00Z</dcterms:created>
  <dcterms:modified xsi:type="dcterms:W3CDTF">2016-06-14T17:34:00Z</dcterms:modified>
  <cp:category> </cp:category>
  <cp:contentStatus> </cp:contentStatus>
</cp:coreProperties>
</file>