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92"/>
      </w:tblGrid>
      <w:tr w:rsidR="00A6667C" w:rsidRPr="003042E6" w:rsidTr="006D5D22">
        <w:trPr>
          <w:trHeight w:val="2181"/>
        </w:trPr>
        <w:tc>
          <w:tcPr>
            <w:tcW w:w="8856" w:type="dxa"/>
          </w:tcPr>
          <w:p w:rsidR="00FF232D" w:rsidRPr="003042E6" w:rsidRDefault="004702B2" w:rsidP="006A7D75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3042E6">
              <w:rPr>
                <w:i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25964C2" wp14:editId="3A7B1F0C">
                  <wp:extent cx="550926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3042E6" w:rsidRDefault="00426518" w:rsidP="00B5713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A44F8" w:rsidRPr="008E45AF" w:rsidRDefault="007A44F8" w:rsidP="00BB4E2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5AF">
              <w:rPr>
                <w:b/>
                <w:bCs/>
                <w:color w:val="000000" w:themeColor="text1"/>
                <w:sz w:val="22"/>
                <w:szCs w:val="22"/>
              </w:rPr>
              <w:t xml:space="preserve">Media Contact: </w:t>
            </w:r>
          </w:p>
          <w:p w:rsidR="007A44F8" w:rsidRPr="004F310B" w:rsidRDefault="005B7488" w:rsidP="00BB4E2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D7F00">
              <w:rPr>
                <w:bCs/>
                <w:color w:val="000000" w:themeColor="text1"/>
                <w:sz w:val="22"/>
                <w:szCs w:val="22"/>
              </w:rPr>
              <w:t>Neil Grace</w:t>
            </w:r>
            <w:r w:rsidR="006C3602" w:rsidRPr="005D7F00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7A44F8" w:rsidRPr="002031D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C0A38" w:rsidRPr="002031D1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7A44F8" w:rsidRPr="002031D1">
              <w:rPr>
                <w:bCs/>
                <w:color w:val="000000" w:themeColor="text1"/>
                <w:sz w:val="22"/>
                <w:szCs w:val="22"/>
              </w:rPr>
              <w:t>202</w:t>
            </w:r>
            <w:r w:rsidR="00AC0A38" w:rsidRPr="002031D1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0A736B" w:rsidRPr="002031D1">
              <w:rPr>
                <w:bCs/>
                <w:color w:val="000000" w:themeColor="text1"/>
                <w:sz w:val="22"/>
                <w:szCs w:val="22"/>
              </w:rPr>
              <w:t>418-</w:t>
            </w:r>
            <w:r w:rsidRPr="004F310B">
              <w:rPr>
                <w:bCs/>
                <w:color w:val="000000" w:themeColor="text1"/>
                <w:sz w:val="22"/>
                <w:szCs w:val="22"/>
              </w:rPr>
              <w:t>0506</w:t>
            </w:r>
          </w:p>
          <w:p w:rsidR="00FF232D" w:rsidRPr="00167D23" w:rsidRDefault="00C33C23" w:rsidP="00BB4E29">
            <w:pPr>
              <w:rPr>
                <w:bCs/>
                <w:color w:val="000000" w:themeColor="text1"/>
                <w:sz w:val="22"/>
                <w:szCs w:val="22"/>
              </w:rPr>
            </w:pPr>
            <w:hyperlink r:id="rId9" w:history="1">
              <w:r w:rsidR="00900446" w:rsidRPr="00276B50">
                <w:rPr>
                  <w:rStyle w:val="Hyperlink"/>
                  <w:bCs/>
                  <w:sz w:val="22"/>
                  <w:szCs w:val="22"/>
                </w:rPr>
                <w:t>Neil.Grace@fcc.gov</w:t>
              </w:r>
            </w:hyperlink>
            <w:r w:rsidR="00900446">
              <w:rPr>
                <w:bCs/>
                <w:sz w:val="22"/>
                <w:szCs w:val="22"/>
              </w:rPr>
              <w:t xml:space="preserve"> </w:t>
            </w:r>
          </w:p>
          <w:p w:rsidR="000A736B" w:rsidRPr="00167D23" w:rsidRDefault="000A736B" w:rsidP="00BB4E29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A44F8" w:rsidRPr="008E45AF" w:rsidRDefault="007A44F8" w:rsidP="00BB4E29">
            <w:pPr>
              <w:rPr>
                <w:b/>
                <w:color w:val="000000" w:themeColor="text1"/>
                <w:sz w:val="22"/>
                <w:szCs w:val="22"/>
              </w:rPr>
            </w:pPr>
            <w:r w:rsidRPr="008E45AF">
              <w:rPr>
                <w:b/>
                <w:color w:val="000000" w:themeColor="text1"/>
                <w:sz w:val="22"/>
                <w:szCs w:val="22"/>
              </w:rPr>
              <w:t>For Immediate Release</w:t>
            </w:r>
          </w:p>
          <w:p w:rsidR="00A0622E" w:rsidRPr="0040507D" w:rsidRDefault="00A0622E" w:rsidP="00A6667C">
            <w:pPr>
              <w:pStyle w:val="Body"/>
              <w:tabs>
                <w:tab w:val="left" w:pos="81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0446" w:rsidRDefault="00D56415" w:rsidP="00463262">
            <w:pPr>
              <w:pStyle w:val="Bod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5FD5">
              <w:rPr>
                <w:rFonts w:ascii="Times New Roman" w:hAnsi="Times New Roman" w:cs="Times New Roman"/>
                <w:b/>
                <w:color w:val="000000" w:themeColor="text1"/>
              </w:rPr>
              <w:t xml:space="preserve">FCC PROPOSES </w:t>
            </w:r>
            <w:r w:rsidR="00A0622E" w:rsidRPr="003042E6">
              <w:rPr>
                <w:rFonts w:ascii="Times New Roman" w:hAnsi="Times New Roman" w:cs="Times New Roman"/>
                <w:b/>
                <w:color w:val="000000" w:themeColor="text1"/>
              </w:rPr>
              <w:t xml:space="preserve">TO STREAMLINE </w:t>
            </w:r>
            <w:r w:rsidR="003C7C76" w:rsidRPr="003042E6">
              <w:rPr>
                <w:rFonts w:ascii="Times New Roman" w:hAnsi="Times New Roman" w:cs="Times New Roman"/>
                <w:b/>
                <w:color w:val="000000" w:themeColor="text1"/>
              </w:rPr>
              <w:t xml:space="preserve">EXECUTIVE BRANCH REVIEW </w:t>
            </w:r>
          </w:p>
          <w:p w:rsidR="005C5004" w:rsidRPr="003042E6" w:rsidRDefault="003C7C76" w:rsidP="00463262">
            <w:pPr>
              <w:pStyle w:val="Bod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2E6">
              <w:rPr>
                <w:rFonts w:ascii="Times New Roman" w:hAnsi="Times New Roman" w:cs="Times New Roman"/>
                <w:b/>
                <w:color w:val="000000" w:themeColor="text1"/>
              </w:rPr>
              <w:t>OF CERTAIN FCC APPLICATIONS INVOLVING FOREIGN OWNERSHIP</w:t>
            </w:r>
            <w:r w:rsidR="006A39EF" w:rsidRPr="003042E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A5B48" w:rsidRPr="003042E6" w:rsidRDefault="00FA5B48" w:rsidP="00FA5B48">
            <w:pPr>
              <w:pStyle w:val="Body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7536E4" w:rsidRPr="003042E6" w:rsidRDefault="00A0622E" w:rsidP="00FA5B48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WASHINGTON, </w:t>
            </w:r>
            <w:r w:rsidR="003C7C76" w:rsidRPr="003042E6">
              <w:rPr>
                <w:rFonts w:ascii="Times New Roman" w:hAnsi="Times New Roman" w:cs="Times New Roman"/>
                <w:color w:val="000000" w:themeColor="text1"/>
              </w:rPr>
              <w:t>June 24, 2016</w:t>
            </w: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 – The Federal Communications Commission today proposed </w:t>
            </w:r>
            <w:r w:rsidR="006415C0" w:rsidRPr="003042E6">
              <w:rPr>
                <w:rFonts w:ascii="Times New Roman" w:hAnsi="Times New Roman" w:cs="Times New Roman"/>
                <w:color w:val="000000" w:themeColor="text1"/>
              </w:rPr>
              <w:t>changes to its rules and procedures</w:t>
            </w:r>
            <w:r w:rsidR="000C0A42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1AB6">
              <w:rPr>
                <w:rFonts w:ascii="Times New Roman" w:hAnsi="Times New Roman" w:cs="Times New Roman"/>
                <w:color w:val="000000" w:themeColor="text1"/>
              </w:rPr>
              <w:t xml:space="preserve">to improve the timeliness and transparency of 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>the review process</w:t>
            </w:r>
            <w:r w:rsidR="000C0A42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1AB6">
              <w:rPr>
                <w:rFonts w:ascii="Times New Roman" w:hAnsi="Times New Roman" w:cs="Times New Roman"/>
                <w:color w:val="000000" w:themeColor="text1"/>
              </w:rPr>
              <w:t xml:space="preserve">for </w:t>
            </w:r>
            <w:r w:rsidR="000C0A42" w:rsidRPr="003042E6">
              <w:rPr>
                <w:rFonts w:ascii="Times New Roman" w:hAnsi="Times New Roman" w:cs="Times New Roman"/>
                <w:color w:val="000000" w:themeColor="text1"/>
              </w:rPr>
              <w:t xml:space="preserve">certain applications </w:t>
            </w:r>
            <w:r w:rsidR="003C4136" w:rsidRPr="003042E6">
              <w:rPr>
                <w:rFonts w:ascii="Times New Roman" w:hAnsi="Times New Roman" w:cs="Times New Roman"/>
                <w:color w:val="000000" w:themeColor="text1"/>
              </w:rPr>
              <w:t xml:space="preserve">and petitions for declaratory ruling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with </w:t>
            </w:r>
            <w:r w:rsidR="00361AB6">
              <w:rPr>
                <w:rFonts w:ascii="Times New Roman" w:hAnsi="Times New Roman" w:cs="Times New Roman"/>
                <w:color w:val="000000" w:themeColor="text1"/>
              </w:rPr>
              <w:t xml:space="preserve">reportable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>foreign ownership.</w:t>
            </w:r>
          </w:p>
          <w:p w:rsidR="00550965" w:rsidRPr="003042E6" w:rsidRDefault="00550965" w:rsidP="00FA5B48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3596" w:rsidRPr="003042E6" w:rsidRDefault="00361AB6" w:rsidP="00550965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>he Commission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 has routinely </w:t>
            </w:r>
            <w:r>
              <w:rPr>
                <w:rFonts w:ascii="Times New Roman" w:hAnsi="Times New Roman" w:cs="Times New Roman"/>
                <w:color w:val="000000" w:themeColor="text1"/>
              </w:rPr>
              <w:t>refe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>ed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certain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applications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with reportable foreign ownership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to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relevant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>Executive Branch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 agencies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 for coordination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 and expertise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 on national security, law enforcement, foreign policy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 and trade policy 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>matters</w:t>
            </w:r>
            <w:r w:rsidR="00900446" w:rsidRPr="003042E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36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>These applications can include, for example,</w:t>
            </w:r>
            <w:r w:rsidR="00900446" w:rsidRPr="00245066">
              <w:rPr>
                <w:rFonts w:ascii="Times New Roman" w:hAnsi="Times New Roman" w:cs="Times New Roman"/>
              </w:rPr>
              <w:t xml:space="preserve"> requests for international </w:t>
            </w:r>
            <w:r w:rsidR="00193156">
              <w:rPr>
                <w:rFonts w:ascii="Times New Roman" w:hAnsi="Times New Roman" w:cs="Times New Roman"/>
              </w:rPr>
              <w:t xml:space="preserve">section </w:t>
            </w:r>
            <w:r w:rsidR="00900446" w:rsidRPr="00245066">
              <w:rPr>
                <w:rFonts w:ascii="Times New Roman" w:hAnsi="Times New Roman" w:cs="Times New Roman"/>
              </w:rPr>
              <w:t>214 authorizations, submarine cable</w:t>
            </w:r>
            <w:r w:rsidR="00900446">
              <w:rPr>
                <w:rFonts w:ascii="Times New Roman" w:hAnsi="Times New Roman" w:cs="Times New Roman"/>
              </w:rPr>
              <w:t xml:space="preserve"> landing licenses, and the transfer or assignment thereof.</w:t>
            </w:r>
            <w:r w:rsidR="00900446" w:rsidRPr="00245066">
              <w:rPr>
                <w:rFonts w:ascii="Times New Roman" w:hAnsi="Times New Roman" w:cs="Times New Roman"/>
              </w:rPr>
              <w:t xml:space="preserve">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Over time, the number of applications with </w:t>
            </w:r>
            <w:r w:rsidR="00DC3925">
              <w:rPr>
                <w:rFonts w:ascii="Times New Roman" w:hAnsi="Times New Roman" w:cs="Times New Roman"/>
                <w:color w:val="000000" w:themeColor="text1"/>
              </w:rPr>
              <w:t xml:space="preserve">reportable 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foreign ownership has </w:t>
            </w:r>
            <w:r w:rsidR="00083596" w:rsidRPr="003042E6">
              <w:rPr>
                <w:rFonts w:ascii="Times New Roman" w:hAnsi="Times New Roman" w:cs="Times New Roman"/>
                <w:color w:val="000000" w:themeColor="text1"/>
              </w:rPr>
              <w:t>increased and,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83596" w:rsidRPr="003042E6">
              <w:rPr>
                <w:rFonts w:ascii="Times New Roman" w:hAnsi="Times New Roman" w:cs="Times New Roman"/>
                <w:color w:val="000000" w:themeColor="text1"/>
              </w:rPr>
              <w:t xml:space="preserve">as part of our </w:t>
            </w:r>
            <w:hyperlink r:id="rId10" w:history="1">
              <w:r w:rsidR="00083596" w:rsidRPr="008E45AF">
                <w:rPr>
                  <w:rStyle w:val="Hyperlink"/>
                  <w:rFonts w:ascii="Times New Roman" w:hAnsi="Times New Roman" w:cs="Times New Roman"/>
                </w:rPr>
                <w:t>effort to reform the Commission’s processes</w:t>
              </w:r>
            </w:hyperlink>
            <w:r w:rsidR="008E45A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83596" w:rsidRPr="003042E6">
              <w:rPr>
                <w:rFonts w:ascii="Times New Roman" w:hAnsi="Times New Roman" w:cs="Times New Roman"/>
                <w:color w:val="000000" w:themeColor="text1"/>
              </w:rPr>
              <w:t>Commission staff have been working with the Executive Branch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and industry</w:t>
            </w:r>
            <w:r w:rsidR="00AB47E1">
              <w:rPr>
                <w:rFonts w:ascii="Times New Roman" w:hAnsi="Times New Roman" w:cs="Times New Roman"/>
                <w:color w:val="000000" w:themeColor="text1"/>
              </w:rPr>
              <w:t xml:space="preserve"> on ways</w:t>
            </w:r>
            <w:r w:rsidR="00083596" w:rsidRPr="003042E6">
              <w:rPr>
                <w:rFonts w:ascii="Times New Roman" w:hAnsi="Times New Roman" w:cs="Times New Roman"/>
                <w:color w:val="000000" w:themeColor="text1"/>
              </w:rPr>
              <w:t xml:space="preserve"> to improve th</w:t>
            </w:r>
            <w:r w:rsidR="00AB47E1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083596" w:rsidRPr="003042E6">
              <w:rPr>
                <w:rFonts w:ascii="Times New Roman" w:hAnsi="Times New Roman" w:cs="Times New Roman"/>
                <w:color w:val="000000" w:themeColor="text1"/>
              </w:rPr>
              <w:t xml:space="preserve"> process.   </w:t>
            </w:r>
          </w:p>
          <w:p w:rsidR="00083596" w:rsidRPr="003042E6" w:rsidRDefault="00083596" w:rsidP="00550965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3596" w:rsidRPr="003042E6" w:rsidRDefault="00083596" w:rsidP="00550965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  <w:r w:rsidRPr="003042E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n May 10, 2016, the National Telecommunications and Information Administration (NTIA), on behalf of the Executive Branch, filed a </w:t>
            </w:r>
            <w:hyperlink r:id="rId11" w:history="1">
              <w:r w:rsidR="00550965" w:rsidRPr="008E45AF">
                <w:rPr>
                  <w:rStyle w:val="Hyperlink"/>
                  <w:rFonts w:ascii="Times New Roman" w:hAnsi="Times New Roman" w:cs="Times New Roman"/>
                </w:rPr>
                <w:t>letter</w:t>
              </w:r>
            </w:hyperlink>
            <w:r w:rsidR="00550965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>recommending</w:t>
            </w:r>
            <w:r w:rsidR="00900446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4FBD" w:rsidRPr="003042E6">
              <w:rPr>
                <w:rFonts w:ascii="Times New Roman" w:hAnsi="Times New Roman" w:cs="Times New Roman"/>
                <w:color w:val="000000" w:themeColor="text1"/>
              </w:rPr>
              <w:t xml:space="preserve">changes </w:t>
            </w:r>
            <w:r w:rsidR="00900446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="00E475C7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4FBD" w:rsidRPr="003042E6">
              <w:rPr>
                <w:rFonts w:ascii="Times New Roman" w:hAnsi="Times New Roman" w:cs="Times New Roman"/>
                <w:color w:val="000000" w:themeColor="text1"/>
              </w:rPr>
              <w:t xml:space="preserve">improve the ability of the Executive Branch to expeditiously and efficiently review the applications.  On May 12, 2016, the International Bureau released a </w:t>
            </w:r>
            <w:hyperlink r:id="rId12" w:history="1">
              <w:r w:rsidR="00074FBD" w:rsidRPr="008E45AF">
                <w:rPr>
                  <w:rStyle w:val="Hyperlink"/>
                  <w:rFonts w:ascii="Times New Roman" w:hAnsi="Times New Roman" w:cs="Times New Roman"/>
                </w:rPr>
                <w:t>Public Notice</w:t>
              </w:r>
            </w:hyperlink>
            <w:r w:rsidR="00DC39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4FBD" w:rsidRPr="003042E6">
              <w:rPr>
                <w:rFonts w:ascii="Times New Roman" w:hAnsi="Times New Roman" w:cs="Times New Roman"/>
                <w:color w:val="000000" w:themeColor="text1"/>
              </w:rPr>
              <w:t xml:space="preserve">seeking comment on the NTIA Letter.  </w:t>
            </w:r>
          </w:p>
          <w:p w:rsidR="00083596" w:rsidRPr="003042E6" w:rsidRDefault="00083596" w:rsidP="00550965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5805" w:rsidRPr="003042E6" w:rsidRDefault="00E222DD" w:rsidP="00335E27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="00175805" w:rsidRPr="003042E6">
              <w:rPr>
                <w:rFonts w:ascii="Times New Roman" w:hAnsi="Times New Roman" w:cs="Times New Roman"/>
                <w:color w:val="000000" w:themeColor="text1"/>
              </w:rPr>
              <w:t xml:space="preserve"> Notice of Proposed Rulemaking </w:t>
            </w:r>
            <w:r w:rsidR="008E45AF">
              <w:rPr>
                <w:rFonts w:ascii="Times New Roman" w:hAnsi="Times New Roman" w:cs="Times New Roman"/>
                <w:color w:val="000000" w:themeColor="text1"/>
              </w:rPr>
              <w:t xml:space="preserve">adopted today </w:t>
            </w:r>
            <w:r w:rsidR="00175805" w:rsidRPr="003042E6">
              <w:rPr>
                <w:rFonts w:ascii="Times New Roman" w:hAnsi="Times New Roman" w:cs="Times New Roman"/>
                <w:color w:val="000000" w:themeColor="text1"/>
              </w:rPr>
              <w:t>propose</w:t>
            </w:r>
            <w:r w:rsidR="00441DEC" w:rsidRPr="003042E6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75805" w:rsidRPr="003042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2564" w:rsidRPr="003042E6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="00A36EA8" w:rsidRPr="003042E6">
              <w:rPr>
                <w:rFonts w:ascii="Times New Roman" w:hAnsi="Times New Roman" w:cs="Times New Roman"/>
                <w:color w:val="000000" w:themeColor="text1"/>
              </w:rPr>
              <w:t>following</w:t>
            </w:r>
            <w:r w:rsidR="00175805" w:rsidRPr="003042E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175805" w:rsidRPr="003042E6" w:rsidRDefault="00175805" w:rsidP="00FA5B48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3CAF" w:rsidRPr="00E222DD" w:rsidRDefault="00083596" w:rsidP="00F017FC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222DD">
              <w:rPr>
                <w:rFonts w:ascii="Times New Roman" w:hAnsi="Times New Roman" w:cs="Times New Roman"/>
                <w:b/>
                <w:color w:val="000000" w:themeColor="text1"/>
              </w:rPr>
              <w:t xml:space="preserve">Threshold </w:t>
            </w:r>
            <w:r w:rsidR="00F017FC">
              <w:rPr>
                <w:rFonts w:ascii="Times New Roman" w:hAnsi="Times New Roman" w:cs="Times New Roman"/>
                <w:b/>
                <w:color w:val="000000" w:themeColor="text1"/>
              </w:rPr>
              <w:t>Information</w:t>
            </w:r>
            <w:r w:rsidRPr="003429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E222D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A36EA8" w:rsidRPr="00E222DD">
              <w:rPr>
                <w:rFonts w:ascii="Times New Roman" w:hAnsi="Times New Roman" w:cs="Times New Roman"/>
                <w:color w:val="000000" w:themeColor="text1"/>
              </w:rPr>
              <w:t xml:space="preserve">As requested by the Executive Branch, the Notice proposes to </w:t>
            </w:r>
            <w:r w:rsidR="00523CAF" w:rsidRPr="00AB47E1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175805" w:rsidRPr="00F017FC">
              <w:rPr>
                <w:rFonts w:ascii="Times New Roman" w:hAnsi="Times New Roman" w:cs="Times New Roman"/>
                <w:color w:val="000000" w:themeColor="text1"/>
              </w:rPr>
              <w:t>equir</w:t>
            </w:r>
            <w:r w:rsidR="00943F26" w:rsidRPr="00F017FC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75805" w:rsidRPr="00F017FC">
              <w:rPr>
                <w:rFonts w:ascii="Times New Roman" w:hAnsi="Times New Roman" w:cs="Times New Roman"/>
                <w:color w:val="000000" w:themeColor="text1"/>
              </w:rPr>
              <w:t xml:space="preserve"> applicants with reportable foreign </w:t>
            </w:r>
            <w:r w:rsidR="003C4136" w:rsidRPr="00F017FC">
              <w:rPr>
                <w:rFonts w:ascii="Times New Roman" w:hAnsi="Times New Roman" w:cs="Times New Roman"/>
                <w:color w:val="000000" w:themeColor="text1"/>
              </w:rPr>
              <w:t xml:space="preserve">ownership </w:t>
            </w:r>
            <w:r w:rsidR="00175805" w:rsidRPr="00F017FC">
              <w:rPr>
                <w:rFonts w:ascii="Times New Roman" w:hAnsi="Times New Roman" w:cs="Times New Roman"/>
                <w:color w:val="000000" w:themeColor="text1"/>
              </w:rPr>
              <w:t>to provide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5805" w:rsidRPr="00F017FC">
              <w:rPr>
                <w:rFonts w:ascii="Times New Roman" w:hAnsi="Times New Roman" w:cs="Times New Roman"/>
                <w:color w:val="000000" w:themeColor="text1"/>
              </w:rPr>
              <w:t>information on ownership, network operations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75805" w:rsidRPr="00F017FC">
              <w:rPr>
                <w:rFonts w:ascii="Times New Roman" w:hAnsi="Times New Roman" w:cs="Times New Roman"/>
                <w:color w:val="000000" w:themeColor="text1"/>
              </w:rPr>
              <w:t xml:space="preserve"> and related matters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 xml:space="preserve"> at the time they file their applications</w:t>
            </w:r>
            <w:r w:rsidR="00175805" w:rsidRPr="00AB47E1">
              <w:rPr>
                <w:color w:val="000000" w:themeColor="text1"/>
              </w:rPr>
              <w:t>.</w:t>
            </w:r>
            <w:r w:rsidR="003C4136" w:rsidRPr="00AB47E1">
              <w:rPr>
                <w:color w:val="000000" w:themeColor="text1"/>
              </w:rPr>
              <w:t xml:space="preserve">  </w:t>
            </w:r>
            <w:r w:rsidR="00523CAF" w:rsidRPr="005D7F00">
              <w:rPr>
                <w:rFonts w:ascii="Times New Roman" w:hAnsi="Times New Roman" w:cs="Times New Roman"/>
                <w:color w:val="000000" w:themeColor="text1"/>
              </w:rPr>
              <w:t>The process would replace the current practice of the Executive Branch seeking such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 xml:space="preserve"> threshold</w:t>
            </w:r>
            <w:r w:rsidR="00523CAF" w:rsidRPr="005D7F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3CAF" w:rsidRPr="002031D1">
              <w:rPr>
                <w:rFonts w:ascii="Times New Roman" w:hAnsi="Times New Roman" w:cs="Times New Roman"/>
                <w:color w:val="000000" w:themeColor="text1"/>
              </w:rPr>
              <w:t xml:space="preserve">information directly from the applicants after </w:t>
            </w:r>
            <w:r w:rsidR="000A3682">
              <w:rPr>
                <w:rFonts w:ascii="Times New Roman" w:hAnsi="Times New Roman" w:cs="Times New Roman"/>
                <w:color w:val="000000" w:themeColor="text1"/>
              </w:rPr>
              <w:t xml:space="preserve">the Commission </w:t>
            </w:r>
            <w:r w:rsidR="00523CAF" w:rsidRPr="002031D1">
              <w:rPr>
                <w:rFonts w:ascii="Times New Roman" w:hAnsi="Times New Roman" w:cs="Times New Roman"/>
                <w:color w:val="000000" w:themeColor="text1"/>
              </w:rPr>
              <w:t>refer</w:t>
            </w:r>
            <w:r w:rsidR="000A3682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523CAF" w:rsidRPr="002031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3682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="00523CAF" w:rsidRPr="002031D1">
              <w:rPr>
                <w:rFonts w:ascii="Times New Roman" w:hAnsi="Times New Roman" w:cs="Times New Roman"/>
                <w:color w:val="000000" w:themeColor="text1"/>
              </w:rPr>
              <w:t>applications.</w:t>
            </w:r>
          </w:p>
          <w:p w:rsidR="00523CAF" w:rsidRPr="00F017FC" w:rsidRDefault="00A36EA8" w:rsidP="00F017FC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222DD">
              <w:rPr>
                <w:rFonts w:ascii="Times New Roman" w:hAnsi="Times New Roman" w:cs="Times New Roman"/>
                <w:b/>
                <w:color w:val="000000" w:themeColor="text1"/>
              </w:rPr>
              <w:t>Certifications.</w:t>
            </w:r>
            <w:r w:rsidRPr="00E222D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C5A06" w:rsidRPr="00E222DD">
              <w:rPr>
                <w:rFonts w:ascii="Times New Roman" w:hAnsi="Times New Roman" w:cs="Times New Roman"/>
                <w:color w:val="000000" w:themeColor="text1"/>
              </w:rPr>
              <w:t xml:space="preserve">The Notice proposes to add a 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>certification requirement to the</w:t>
            </w:r>
            <w:r w:rsidR="003C5A06" w:rsidRPr="00E222DD">
              <w:rPr>
                <w:rFonts w:ascii="Times New Roman" w:hAnsi="Times New Roman" w:cs="Times New Roman"/>
                <w:color w:val="000000" w:themeColor="text1"/>
              </w:rPr>
              <w:t xml:space="preserve"> rules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>.  It</w:t>
            </w:r>
            <w:r w:rsidR="003C5A06" w:rsidRPr="00E222DD">
              <w:rPr>
                <w:rFonts w:ascii="Times New Roman" w:hAnsi="Times New Roman" w:cs="Times New Roman"/>
                <w:color w:val="000000" w:themeColor="text1"/>
              </w:rPr>
              <w:t xml:space="preserve"> seeks comment on NTIA’s proposal that all applicants, with or without foreign ownership, certify to certain mitigation provisions </w:t>
            </w:r>
            <w:r w:rsidR="00F017FC">
              <w:rPr>
                <w:rFonts w:ascii="Times New Roman" w:hAnsi="Times New Roman" w:cs="Times New Roman"/>
                <w:color w:val="000000" w:themeColor="text1"/>
              </w:rPr>
              <w:t>when they file</w:t>
            </w:r>
            <w:r w:rsidR="003C5A06" w:rsidRPr="00E222DD">
              <w:rPr>
                <w:rFonts w:ascii="Times New Roman" w:hAnsi="Times New Roman" w:cs="Times New Roman"/>
                <w:color w:val="000000" w:themeColor="text1"/>
              </w:rPr>
              <w:t xml:space="preserve"> their applications, which the Executive Branch says will expedite its review.  </w:t>
            </w:r>
          </w:p>
          <w:p w:rsidR="00A36EA8" w:rsidRPr="00167D23" w:rsidRDefault="00A36EA8" w:rsidP="003C5A06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042E6">
              <w:rPr>
                <w:rFonts w:ascii="Times New Roman" w:hAnsi="Times New Roman" w:cs="Times New Roman"/>
                <w:b/>
                <w:color w:val="000000" w:themeColor="text1"/>
              </w:rPr>
              <w:t>Timelines.</w:t>
            </w:r>
            <w:r w:rsidRPr="00335E2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065552" w:rsidRPr="00335E27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065552" w:rsidRPr="003042E6">
              <w:rPr>
                <w:rFonts w:ascii="Times New Roman" w:hAnsi="Times New Roman" w:cs="Times New Roman"/>
              </w:rPr>
              <w:t xml:space="preserve">lthough NTIA did not propose time frames for review, </w:t>
            </w:r>
            <w:r w:rsidR="00065552" w:rsidRPr="00335E2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3C5A06" w:rsidRPr="00335E27">
              <w:rPr>
                <w:rFonts w:ascii="Times New Roman" w:hAnsi="Times New Roman" w:cs="Times New Roman"/>
                <w:color w:val="000000" w:themeColor="text1"/>
              </w:rPr>
              <w:t>he Notice proposes to adopt a 9</w:t>
            </w:r>
            <w:r w:rsidR="003C5A06" w:rsidRPr="005D7F00">
              <w:rPr>
                <w:rFonts w:ascii="Times New Roman" w:hAnsi="Times New Roman" w:cs="Times New Roman"/>
                <w:color w:val="000000" w:themeColor="text1"/>
              </w:rPr>
              <w:t>0-day time frame for Executive Branch review, with an additional one-time 90-day extension in rare circumstances</w:t>
            </w:r>
            <w:r w:rsidR="003C5A06" w:rsidRPr="002031D1">
              <w:rPr>
                <w:rFonts w:ascii="Times New Roman" w:hAnsi="Times New Roman" w:cs="Times New Roman"/>
                <w:color w:val="000000" w:themeColor="text1"/>
              </w:rPr>
              <w:t xml:space="preserve"> provided the </w:t>
            </w:r>
            <w:r w:rsidR="003C5A06" w:rsidRPr="004F310B">
              <w:rPr>
                <w:rFonts w:ascii="Times New Roman" w:hAnsi="Times New Roman" w:cs="Times New Roman"/>
                <w:color w:val="000000" w:themeColor="text1"/>
              </w:rPr>
              <w:t>Executive Branch provides</w:t>
            </w:r>
            <w:r w:rsidR="003C5A06" w:rsidRPr="00167D23">
              <w:rPr>
                <w:rFonts w:ascii="Times New Roman" w:hAnsi="Times New Roman" w:cs="Times New Roman"/>
                <w:color w:val="000000" w:themeColor="text1"/>
              </w:rPr>
              <w:t xml:space="preserve"> a status update every 30 days.</w:t>
            </w:r>
          </w:p>
          <w:p w:rsidR="00E77E12" w:rsidRPr="00167D23" w:rsidRDefault="00E77E12" w:rsidP="003042E6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20E8" w:rsidRDefault="003820E8" w:rsidP="00EE6CDB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943F26" w:rsidRPr="008F56E5" w:rsidRDefault="00EE6CDB" w:rsidP="00EE6CDB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  <w:r w:rsidRPr="00167D23">
              <w:rPr>
                <w:rFonts w:ascii="Times New Roman" w:eastAsia="Times New Roman" w:hAnsi="Times New Roman" w:cs="Times New Roman"/>
              </w:rPr>
              <w:t>The N</w:t>
            </w:r>
            <w:r w:rsidR="003820E8">
              <w:rPr>
                <w:rFonts w:ascii="Times New Roman" w:eastAsia="Times New Roman" w:hAnsi="Times New Roman" w:cs="Times New Roman"/>
              </w:rPr>
              <w:t>otice</w:t>
            </w:r>
            <w:r w:rsidRPr="00167D23">
              <w:rPr>
                <w:rFonts w:ascii="Times New Roman" w:eastAsia="Times New Roman" w:hAnsi="Times New Roman" w:cs="Times New Roman"/>
              </w:rPr>
              <w:t xml:space="preserve"> </w:t>
            </w:r>
            <w:r w:rsidR="00AB47E1">
              <w:rPr>
                <w:rFonts w:ascii="Times New Roman" w:eastAsia="Times New Roman" w:hAnsi="Times New Roman" w:cs="Times New Roman"/>
              </w:rPr>
              <w:t>proposes to adopt rules that</w:t>
            </w:r>
            <w:r w:rsidR="00AB47E1" w:rsidRPr="00167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23">
              <w:rPr>
                <w:rFonts w:ascii="Times New Roman" w:eastAsia="Times New Roman" w:hAnsi="Times New Roman" w:cs="Times New Roman"/>
              </w:rPr>
              <w:t xml:space="preserve">apply these requirements to applications for international </w:t>
            </w:r>
            <w:r w:rsidRPr="00167D23">
              <w:rPr>
                <w:rFonts w:ascii="Times New Roman" w:eastAsia="Times New Roman" w:hAnsi="Times New Roman" w:cs="Times New Roman"/>
              </w:rPr>
              <w:lastRenderedPageBreak/>
              <w:t>section 214 authorizations and submarine cable landing licenses, applications to assign or transfer such authorizations and licenses</w:t>
            </w:r>
            <w:r w:rsidRPr="00697227">
              <w:rPr>
                <w:rFonts w:ascii="Times New Roman" w:eastAsia="Times New Roman" w:hAnsi="Times New Roman" w:cs="Times New Roman"/>
              </w:rPr>
              <w:t>,</w:t>
            </w:r>
            <w:r w:rsidRPr="00697227">
              <w:rPr>
                <w:rFonts w:ascii="Times New Roman" w:hAnsi="Times New Roman" w:cs="Times New Roman"/>
              </w:rPr>
              <w:t xml:space="preserve"> </w:t>
            </w:r>
            <w:r w:rsidR="00AB47E1">
              <w:rPr>
                <w:rFonts w:ascii="Times New Roman" w:hAnsi="Times New Roman" w:cs="Times New Roman"/>
              </w:rPr>
              <w:t>and</w:t>
            </w:r>
            <w:r w:rsidRPr="00697227">
              <w:rPr>
                <w:rFonts w:ascii="Times New Roman" w:hAnsi="Times New Roman" w:cs="Times New Roman"/>
              </w:rPr>
              <w:t xml:space="preserve"> petitions for </w:t>
            </w:r>
            <w:r w:rsidRPr="0040507D">
              <w:rPr>
                <w:rFonts w:ascii="Times New Roman" w:hAnsi="Times New Roman" w:cs="Times New Roman"/>
              </w:rPr>
              <w:t>section 310(b) foreign ownership rulings (common carrier wireless, common carrier satellite earth stations</w:t>
            </w:r>
            <w:r w:rsidRPr="00715FD5">
              <w:rPr>
                <w:rFonts w:ascii="Times New Roman" w:hAnsi="Times New Roman" w:cs="Times New Roman"/>
              </w:rPr>
              <w:t>, or broadcast).</w:t>
            </w:r>
            <w:r w:rsidRPr="003042E6">
              <w:rPr>
                <w:rFonts w:ascii="Times New Roman" w:hAnsi="Times New Roman" w:cs="Times New Roman"/>
              </w:rPr>
              <w:t xml:space="preserve">  The Notice</w:t>
            </w:r>
            <w:r w:rsidR="00E222DD">
              <w:rPr>
                <w:rFonts w:ascii="Times New Roman" w:hAnsi="Times New Roman" w:cs="Times New Roman"/>
              </w:rPr>
              <w:t xml:space="preserve"> </w:t>
            </w:r>
            <w:r w:rsidR="00B01537" w:rsidRPr="003042E6">
              <w:rPr>
                <w:rFonts w:ascii="Times New Roman" w:hAnsi="Times New Roman" w:cs="Times New Roman"/>
                <w:color w:val="000000" w:themeColor="text1"/>
              </w:rPr>
              <w:t>seeks comment on whether there are some categories of applications that should not be referred to Executive Branch for review</w:t>
            </w: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="00B01537" w:rsidRPr="003042E6">
              <w:rPr>
                <w:rFonts w:ascii="Times New Roman" w:hAnsi="Times New Roman" w:cs="Times New Roman"/>
                <w:color w:val="000000" w:themeColor="text1"/>
              </w:rPr>
              <w:t xml:space="preserve">Finally, the Notice </w:t>
            </w:r>
            <w:r w:rsidR="008F56E5">
              <w:rPr>
                <w:rFonts w:ascii="Times New Roman" w:hAnsi="Times New Roman" w:cs="Times New Roman"/>
                <w:color w:val="000000" w:themeColor="text1"/>
              </w:rPr>
              <w:t>recommends</w:t>
            </w:r>
            <w:r w:rsidR="00B01537" w:rsidRPr="008F56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56E5">
              <w:rPr>
                <w:rFonts w:ascii="Times New Roman" w:hAnsi="Times New Roman" w:cs="Times New Roman"/>
                <w:color w:val="000000" w:themeColor="text1"/>
              </w:rPr>
              <w:t xml:space="preserve">other </w:t>
            </w:r>
            <w:r w:rsidR="008D7F59" w:rsidRPr="008F56E5">
              <w:rPr>
                <w:rFonts w:ascii="Times New Roman" w:hAnsi="Times New Roman" w:cs="Times New Roman"/>
                <w:color w:val="000000" w:themeColor="text1"/>
              </w:rPr>
              <w:t xml:space="preserve">proposals to further streamline Commission review of the applications. </w:t>
            </w:r>
          </w:p>
          <w:p w:rsidR="00943F26" w:rsidRPr="003042E6" w:rsidRDefault="00943F26" w:rsidP="00943F26">
            <w:pPr>
              <w:pStyle w:val="Body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622E" w:rsidRPr="003042E6" w:rsidRDefault="003C4136" w:rsidP="00A0622E">
            <w:pPr>
              <w:pStyle w:val="Body"/>
              <w:tabs>
                <w:tab w:val="left" w:pos="81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Taken together, these proposals </w:t>
            </w:r>
            <w:r w:rsidR="00AB47E1">
              <w:rPr>
                <w:rFonts w:ascii="Times New Roman" w:hAnsi="Times New Roman" w:cs="Times New Roman"/>
                <w:color w:val="000000" w:themeColor="text1"/>
              </w:rPr>
              <w:t xml:space="preserve">are intended to </w:t>
            </w:r>
            <w:r w:rsidRPr="003042E6">
              <w:rPr>
                <w:rFonts w:ascii="Times New Roman" w:hAnsi="Times New Roman" w:cs="Times New Roman"/>
                <w:color w:val="000000" w:themeColor="text1"/>
              </w:rPr>
              <w:t>facilitate a m</w:t>
            </w:r>
            <w:r w:rsidR="0010131D">
              <w:rPr>
                <w:rFonts w:ascii="Times New Roman" w:hAnsi="Times New Roman" w:cs="Times New Roman"/>
                <w:color w:val="000000" w:themeColor="text1"/>
              </w:rPr>
              <w:t>ore streamlined</w:t>
            </w: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 review process</w:t>
            </w:r>
            <w:r w:rsidR="00DC3925">
              <w:rPr>
                <w:rFonts w:ascii="Times New Roman" w:hAnsi="Times New Roman" w:cs="Times New Roman"/>
                <w:color w:val="000000" w:themeColor="text1"/>
              </w:rPr>
              <w:t xml:space="preserve"> and provide increased certainty for applicants</w:t>
            </w: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, while still continuing to ensure the Commission considers </w:t>
            </w:r>
            <w:r w:rsidR="00AB47E1">
              <w:rPr>
                <w:rFonts w:ascii="Times New Roman" w:hAnsi="Times New Roman" w:cs="Times New Roman"/>
                <w:color w:val="000000" w:themeColor="text1"/>
              </w:rPr>
              <w:t>national security, law enforcement, foreign policy, and trade policy</w:t>
            </w:r>
            <w:r w:rsidRPr="003042E6">
              <w:rPr>
                <w:rFonts w:ascii="Times New Roman" w:hAnsi="Times New Roman" w:cs="Times New Roman"/>
                <w:color w:val="000000" w:themeColor="text1"/>
              </w:rPr>
              <w:t xml:space="preserve"> concerns as part of its public interest review.</w:t>
            </w:r>
          </w:p>
          <w:p w:rsidR="00786699" w:rsidRPr="003042E6" w:rsidRDefault="00786699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6B49D1" w:rsidRPr="003042E6" w:rsidRDefault="009D670F" w:rsidP="006B49D1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9D670F">
              <w:rPr>
                <w:sz w:val="22"/>
                <w:szCs w:val="22"/>
              </w:rPr>
              <w:t>Action by the Commission June 24, 2016 by Notice of Proposed Rulemaking (FCC 16-79).  Chairman Wheeler, Commissioners Clyburn, Rosenworcel, Pai and O’Rielly approving and issuing separate statements.</w:t>
            </w:r>
            <w:r w:rsidR="006B49D1" w:rsidRPr="003042E6">
              <w:rPr>
                <w:sz w:val="22"/>
                <w:szCs w:val="22"/>
              </w:rPr>
              <w:t xml:space="preserve">  </w:t>
            </w:r>
          </w:p>
          <w:p w:rsidR="006B49D1" w:rsidRPr="003042E6" w:rsidRDefault="006B49D1" w:rsidP="006B4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9D1" w:rsidRPr="003042E6" w:rsidRDefault="003C7C76" w:rsidP="006B4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2E6">
              <w:rPr>
                <w:sz w:val="22"/>
                <w:szCs w:val="22"/>
              </w:rPr>
              <w:t>IB Docket No. 16</w:t>
            </w:r>
            <w:r w:rsidR="006B49D1" w:rsidRPr="003042E6">
              <w:rPr>
                <w:sz w:val="22"/>
                <w:szCs w:val="22"/>
              </w:rPr>
              <w:t>-</w:t>
            </w:r>
            <w:r w:rsidRPr="003042E6">
              <w:rPr>
                <w:sz w:val="22"/>
                <w:szCs w:val="22"/>
              </w:rPr>
              <w:t>155</w:t>
            </w:r>
          </w:p>
          <w:p w:rsidR="008C47AE" w:rsidRPr="003042E6" w:rsidRDefault="008C47AE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4F0F1F" w:rsidRPr="003042E6" w:rsidRDefault="00F708E3" w:rsidP="00BB4E29">
            <w:pPr>
              <w:ind w:right="240"/>
              <w:jc w:val="center"/>
              <w:rPr>
                <w:color w:val="000000" w:themeColor="text1"/>
                <w:sz w:val="22"/>
                <w:szCs w:val="22"/>
              </w:rPr>
            </w:pPr>
            <w:r w:rsidRPr="003042E6">
              <w:rPr>
                <w:color w:val="000000" w:themeColor="text1"/>
                <w:sz w:val="22"/>
                <w:szCs w:val="22"/>
              </w:rPr>
              <w:t>###</w:t>
            </w:r>
          </w:p>
          <w:p w:rsidR="00E644FE" w:rsidRPr="003042E6" w:rsidRDefault="00E644FE" w:rsidP="00BB4E29">
            <w:pPr>
              <w:ind w:right="49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042E6">
              <w:rPr>
                <w:bCs/>
                <w:color w:val="000000" w:themeColor="text1"/>
                <w:sz w:val="22"/>
                <w:szCs w:val="22"/>
              </w:rPr>
              <w:br/>
              <w:t>Off</w:t>
            </w:r>
            <w:r w:rsidR="00AD0D19" w:rsidRPr="003042E6">
              <w:rPr>
                <w:bCs/>
                <w:color w:val="000000" w:themeColor="text1"/>
                <w:sz w:val="22"/>
                <w:szCs w:val="22"/>
              </w:rPr>
              <w:t xml:space="preserve">ice of Media Relations: </w:t>
            </w:r>
            <w:r w:rsidR="00AC0A38" w:rsidRPr="003042E6">
              <w:rPr>
                <w:bCs/>
                <w:color w:val="000000" w:themeColor="text1"/>
                <w:sz w:val="22"/>
                <w:szCs w:val="22"/>
              </w:rPr>
              <w:t xml:space="preserve">(202) </w:t>
            </w:r>
            <w:r w:rsidR="00AD0D19" w:rsidRPr="003042E6">
              <w:rPr>
                <w:bCs/>
                <w:color w:val="000000" w:themeColor="text1"/>
                <w:sz w:val="22"/>
                <w:szCs w:val="22"/>
              </w:rPr>
              <w:t>418-</w:t>
            </w:r>
            <w:r w:rsidRPr="003042E6">
              <w:rPr>
                <w:bCs/>
                <w:color w:val="000000" w:themeColor="text1"/>
                <w:sz w:val="22"/>
                <w:szCs w:val="22"/>
              </w:rPr>
              <w:t>0500</w:t>
            </w:r>
          </w:p>
          <w:p w:rsidR="00E644FE" w:rsidRPr="003042E6" w:rsidRDefault="00E644FE" w:rsidP="00BB4E29">
            <w:pPr>
              <w:ind w:right="49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042E6">
              <w:rPr>
                <w:bCs/>
                <w:color w:val="000000" w:themeColor="text1"/>
                <w:sz w:val="22"/>
                <w:szCs w:val="22"/>
              </w:rPr>
              <w:t xml:space="preserve">TTY: </w:t>
            </w:r>
            <w:r w:rsidR="00AC0A38" w:rsidRPr="003042E6">
              <w:rPr>
                <w:bCs/>
                <w:color w:val="000000" w:themeColor="text1"/>
                <w:sz w:val="22"/>
                <w:szCs w:val="22"/>
              </w:rPr>
              <w:t xml:space="preserve">(888) </w:t>
            </w:r>
            <w:r w:rsidR="006E4A76" w:rsidRPr="003042E6">
              <w:rPr>
                <w:bCs/>
                <w:color w:val="000000" w:themeColor="text1"/>
                <w:sz w:val="22"/>
                <w:szCs w:val="22"/>
              </w:rPr>
              <w:t>835-5322</w:t>
            </w:r>
          </w:p>
          <w:p w:rsidR="00CC5E08" w:rsidRPr="003042E6" w:rsidRDefault="006A2FC5" w:rsidP="00BB4E29">
            <w:pPr>
              <w:ind w:right="49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042E6">
              <w:rPr>
                <w:bCs/>
                <w:color w:val="000000" w:themeColor="text1"/>
                <w:sz w:val="22"/>
                <w:szCs w:val="22"/>
              </w:rPr>
              <w:t>Twitter: @FCC</w:t>
            </w:r>
          </w:p>
          <w:p w:rsidR="00CC5E08" w:rsidRPr="003042E6" w:rsidRDefault="00C33C23" w:rsidP="00BB4E29">
            <w:pPr>
              <w:ind w:right="49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EE0E90" w:rsidRPr="003042E6">
                <w:rPr>
                  <w:rStyle w:val="Hyperlink"/>
                  <w:bCs/>
                  <w:color w:val="000000" w:themeColor="text1"/>
                  <w:sz w:val="22"/>
                  <w:szCs w:val="22"/>
                </w:rPr>
                <w:t>www.fcc.gov/office-media-relations</w:t>
              </w:r>
            </w:hyperlink>
          </w:p>
          <w:p w:rsidR="00EE0E90" w:rsidRPr="003042E6" w:rsidRDefault="00EE0E90" w:rsidP="00BB4E29">
            <w:pPr>
              <w:ind w:right="49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65552" w:rsidRDefault="00EE0E90" w:rsidP="00986C92">
            <w:pPr>
              <w:ind w:right="498"/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3042E6">
              <w:rPr>
                <w:bCs/>
                <w:i/>
                <w:color w:val="000000" w:themeColor="text1"/>
                <w:sz w:val="22"/>
                <w:szCs w:val="22"/>
              </w:rPr>
              <w:t xml:space="preserve">This is an unofficial announcement of Commission action.  Release of the full text of a Commission order constitutes official action.  </w:t>
            </w:r>
          </w:p>
          <w:p w:rsidR="00EE0E90" w:rsidRPr="003042E6" w:rsidRDefault="00EE0E90" w:rsidP="00986C92">
            <w:pPr>
              <w:ind w:right="498"/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3042E6">
              <w:rPr>
                <w:bCs/>
                <w:i/>
                <w:color w:val="000000" w:themeColor="text1"/>
                <w:sz w:val="22"/>
                <w:szCs w:val="22"/>
              </w:rPr>
              <w:t>See MCI v. FCC. 515 F 2d 385 (D.C. Circ 1974).</w:t>
            </w:r>
          </w:p>
          <w:p w:rsidR="00EE0E90" w:rsidRPr="003042E6" w:rsidRDefault="00EE0E90" w:rsidP="00142C13">
            <w:pPr>
              <w:ind w:left="360" w:right="49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F0F1F" w:rsidRPr="003042E6" w:rsidRDefault="004F0F1F" w:rsidP="00321ED6">
      <w:pPr>
        <w:rPr>
          <w:b/>
          <w:bCs/>
          <w:sz w:val="22"/>
          <w:szCs w:val="22"/>
        </w:rPr>
      </w:pPr>
    </w:p>
    <w:sectPr w:rsidR="004F0F1F" w:rsidRPr="003042E6" w:rsidSect="000549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DA" w:rsidRDefault="002957DA" w:rsidP="000E3E22">
      <w:r>
        <w:separator/>
      </w:r>
    </w:p>
  </w:endnote>
  <w:endnote w:type="continuationSeparator" w:id="0">
    <w:p w:rsidR="002957DA" w:rsidRDefault="002957DA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CC" w:rsidRDefault="001B2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015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999" w:rsidRDefault="00054999">
        <w:pPr>
          <w:pStyle w:val="Footer"/>
          <w:jc w:val="center"/>
        </w:pPr>
        <w:r w:rsidRPr="003429F8">
          <w:rPr>
            <w:sz w:val="22"/>
            <w:szCs w:val="22"/>
          </w:rPr>
          <w:fldChar w:fldCharType="begin"/>
        </w:r>
        <w:r w:rsidRPr="003429F8">
          <w:rPr>
            <w:sz w:val="22"/>
            <w:szCs w:val="22"/>
          </w:rPr>
          <w:instrText xml:space="preserve"> PAGE   \* MERGEFORMAT </w:instrText>
        </w:r>
        <w:r w:rsidRPr="003429F8">
          <w:rPr>
            <w:sz w:val="22"/>
            <w:szCs w:val="22"/>
          </w:rPr>
          <w:fldChar w:fldCharType="separate"/>
        </w:r>
        <w:r w:rsidR="00C33C23">
          <w:rPr>
            <w:noProof/>
            <w:sz w:val="22"/>
            <w:szCs w:val="22"/>
          </w:rPr>
          <w:t>2</w:t>
        </w:r>
        <w:r w:rsidRPr="003429F8">
          <w:rPr>
            <w:noProof/>
            <w:sz w:val="22"/>
            <w:szCs w:val="22"/>
          </w:rPr>
          <w:fldChar w:fldCharType="end"/>
        </w:r>
      </w:p>
    </w:sdtContent>
  </w:sdt>
  <w:p w:rsidR="00860C72" w:rsidRPr="00054999" w:rsidRDefault="00860C72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CC" w:rsidRDefault="001B2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DA" w:rsidRDefault="002957DA" w:rsidP="000E3E22">
      <w:r>
        <w:separator/>
      </w:r>
    </w:p>
  </w:footnote>
  <w:footnote w:type="continuationSeparator" w:id="0">
    <w:p w:rsidR="002957DA" w:rsidRDefault="002957DA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CC" w:rsidRDefault="001B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CC" w:rsidRDefault="001B2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CC" w:rsidRDefault="001B2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47A"/>
    <w:multiLevelType w:val="hybridMultilevel"/>
    <w:tmpl w:val="656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A910BDE"/>
    <w:multiLevelType w:val="hybridMultilevel"/>
    <w:tmpl w:val="D4CE9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5A699F"/>
    <w:multiLevelType w:val="hybridMultilevel"/>
    <w:tmpl w:val="7656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5865"/>
    <w:multiLevelType w:val="hybridMultilevel"/>
    <w:tmpl w:val="DC3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A2F37"/>
    <w:multiLevelType w:val="multilevel"/>
    <w:tmpl w:val="3C167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51D3"/>
    <w:rsid w:val="0002500C"/>
    <w:rsid w:val="000311FC"/>
    <w:rsid w:val="00040127"/>
    <w:rsid w:val="00054999"/>
    <w:rsid w:val="00055DFB"/>
    <w:rsid w:val="00064DFE"/>
    <w:rsid w:val="00065552"/>
    <w:rsid w:val="00074FBD"/>
    <w:rsid w:val="00081232"/>
    <w:rsid w:val="00083596"/>
    <w:rsid w:val="00090640"/>
    <w:rsid w:val="00091E65"/>
    <w:rsid w:val="00092F31"/>
    <w:rsid w:val="00096D4A"/>
    <w:rsid w:val="00096FF6"/>
    <w:rsid w:val="000A3682"/>
    <w:rsid w:val="000A38EA"/>
    <w:rsid w:val="000A736B"/>
    <w:rsid w:val="000B41B7"/>
    <w:rsid w:val="000C0A42"/>
    <w:rsid w:val="000C1E47"/>
    <w:rsid w:val="000C26F3"/>
    <w:rsid w:val="000C28D4"/>
    <w:rsid w:val="000C4896"/>
    <w:rsid w:val="000E049E"/>
    <w:rsid w:val="000E3E22"/>
    <w:rsid w:val="0010131D"/>
    <w:rsid w:val="0010799B"/>
    <w:rsid w:val="00117DB2"/>
    <w:rsid w:val="00123ED2"/>
    <w:rsid w:val="00125BE0"/>
    <w:rsid w:val="00142C13"/>
    <w:rsid w:val="00152776"/>
    <w:rsid w:val="00153222"/>
    <w:rsid w:val="001577D3"/>
    <w:rsid w:val="00167D23"/>
    <w:rsid w:val="001733A6"/>
    <w:rsid w:val="00175805"/>
    <w:rsid w:val="00184F60"/>
    <w:rsid w:val="001865A9"/>
    <w:rsid w:val="00187DB2"/>
    <w:rsid w:val="00193156"/>
    <w:rsid w:val="001961AD"/>
    <w:rsid w:val="00196C45"/>
    <w:rsid w:val="001B20BB"/>
    <w:rsid w:val="001B2E1C"/>
    <w:rsid w:val="001B2FCC"/>
    <w:rsid w:val="001C13A2"/>
    <w:rsid w:val="001C4370"/>
    <w:rsid w:val="001D3779"/>
    <w:rsid w:val="001D5B8E"/>
    <w:rsid w:val="001D7678"/>
    <w:rsid w:val="001F0469"/>
    <w:rsid w:val="002031D1"/>
    <w:rsid w:val="00203A98"/>
    <w:rsid w:val="00206EDD"/>
    <w:rsid w:val="0021247E"/>
    <w:rsid w:val="00212564"/>
    <w:rsid w:val="002146F6"/>
    <w:rsid w:val="002248BD"/>
    <w:rsid w:val="00231C32"/>
    <w:rsid w:val="00240345"/>
    <w:rsid w:val="002421F0"/>
    <w:rsid w:val="00247274"/>
    <w:rsid w:val="00247BE0"/>
    <w:rsid w:val="00266966"/>
    <w:rsid w:val="00280533"/>
    <w:rsid w:val="00285C85"/>
    <w:rsid w:val="00294C0C"/>
    <w:rsid w:val="002957DA"/>
    <w:rsid w:val="002A0934"/>
    <w:rsid w:val="002A4D7B"/>
    <w:rsid w:val="002A7E3E"/>
    <w:rsid w:val="002B1013"/>
    <w:rsid w:val="002B585A"/>
    <w:rsid w:val="002B78BD"/>
    <w:rsid w:val="002D03E5"/>
    <w:rsid w:val="002D4684"/>
    <w:rsid w:val="002E3F1D"/>
    <w:rsid w:val="002F31D0"/>
    <w:rsid w:val="002F7482"/>
    <w:rsid w:val="00300359"/>
    <w:rsid w:val="003042E6"/>
    <w:rsid w:val="0031773E"/>
    <w:rsid w:val="00321ED6"/>
    <w:rsid w:val="00335E27"/>
    <w:rsid w:val="003401C1"/>
    <w:rsid w:val="003429F8"/>
    <w:rsid w:val="00346E12"/>
    <w:rsid w:val="00347716"/>
    <w:rsid w:val="003506E1"/>
    <w:rsid w:val="00361AB6"/>
    <w:rsid w:val="003727E3"/>
    <w:rsid w:val="003820E8"/>
    <w:rsid w:val="003835E7"/>
    <w:rsid w:val="00383D78"/>
    <w:rsid w:val="00385A93"/>
    <w:rsid w:val="003910F1"/>
    <w:rsid w:val="003A21EC"/>
    <w:rsid w:val="003C4136"/>
    <w:rsid w:val="003C5A06"/>
    <w:rsid w:val="003C7C76"/>
    <w:rsid w:val="003E42FC"/>
    <w:rsid w:val="003E5991"/>
    <w:rsid w:val="003F0188"/>
    <w:rsid w:val="003F344A"/>
    <w:rsid w:val="003F6FC2"/>
    <w:rsid w:val="00402A51"/>
    <w:rsid w:val="004038A3"/>
    <w:rsid w:val="00403FF0"/>
    <w:rsid w:val="0040507D"/>
    <w:rsid w:val="0040560D"/>
    <w:rsid w:val="0042046D"/>
    <w:rsid w:val="00425AEF"/>
    <w:rsid w:val="00426518"/>
    <w:rsid w:val="00427005"/>
    <w:rsid w:val="00427B06"/>
    <w:rsid w:val="004404B4"/>
    <w:rsid w:val="00441DEC"/>
    <w:rsid w:val="00441F59"/>
    <w:rsid w:val="00444E07"/>
    <w:rsid w:val="00444FA9"/>
    <w:rsid w:val="00450856"/>
    <w:rsid w:val="00463262"/>
    <w:rsid w:val="004702B2"/>
    <w:rsid w:val="00473E9C"/>
    <w:rsid w:val="00480099"/>
    <w:rsid w:val="00495DD0"/>
    <w:rsid w:val="00497858"/>
    <w:rsid w:val="004A2A49"/>
    <w:rsid w:val="004B4FEA"/>
    <w:rsid w:val="004C0ADA"/>
    <w:rsid w:val="004C433E"/>
    <w:rsid w:val="004C4512"/>
    <w:rsid w:val="004C4F36"/>
    <w:rsid w:val="004D3D85"/>
    <w:rsid w:val="004D4136"/>
    <w:rsid w:val="004D6060"/>
    <w:rsid w:val="004E2BD8"/>
    <w:rsid w:val="004E6518"/>
    <w:rsid w:val="004F0F1F"/>
    <w:rsid w:val="004F310B"/>
    <w:rsid w:val="005022AA"/>
    <w:rsid w:val="00504845"/>
    <w:rsid w:val="00504976"/>
    <w:rsid w:val="00505EB7"/>
    <w:rsid w:val="0050757F"/>
    <w:rsid w:val="00516AD2"/>
    <w:rsid w:val="00523CAF"/>
    <w:rsid w:val="00537779"/>
    <w:rsid w:val="00545DAE"/>
    <w:rsid w:val="00550965"/>
    <w:rsid w:val="00571B83"/>
    <w:rsid w:val="00575A00"/>
    <w:rsid w:val="005853DF"/>
    <w:rsid w:val="00585BC8"/>
    <w:rsid w:val="0058673C"/>
    <w:rsid w:val="005972DC"/>
    <w:rsid w:val="005A7972"/>
    <w:rsid w:val="005B17E7"/>
    <w:rsid w:val="005B2643"/>
    <w:rsid w:val="005B5E13"/>
    <w:rsid w:val="005B7488"/>
    <w:rsid w:val="005C5004"/>
    <w:rsid w:val="005D17FD"/>
    <w:rsid w:val="005D6F92"/>
    <w:rsid w:val="005D7F00"/>
    <w:rsid w:val="005F0D55"/>
    <w:rsid w:val="005F183E"/>
    <w:rsid w:val="00600DDA"/>
    <w:rsid w:val="00604211"/>
    <w:rsid w:val="006056C2"/>
    <w:rsid w:val="00613498"/>
    <w:rsid w:val="00617923"/>
    <w:rsid w:val="00617B94"/>
    <w:rsid w:val="00620BED"/>
    <w:rsid w:val="00637426"/>
    <w:rsid w:val="006415B4"/>
    <w:rsid w:val="006415C0"/>
    <w:rsid w:val="00644E3D"/>
    <w:rsid w:val="00651B9E"/>
    <w:rsid w:val="00652019"/>
    <w:rsid w:val="006545BD"/>
    <w:rsid w:val="00657EC9"/>
    <w:rsid w:val="00665633"/>
    <w:rsid w:val="00674C86"/>
    <w:rsid w:val="0068015E"/>
    <w:rsid w:val="006835FC"/>
    <w:rsid w:val="006861AB"/>
    <w:rsid w:val="00686B89"/>
    <w:rsid w:val="0069115E"/>
    <w:rsid w:val="00696852"/>
    <w:rsid w:val="00697227"/>
    <w:rsid w:val="006A2FC5"/>
    <w:rsid w:val="006A39EF"/>
    <w:rsid w:val="006A61CF"/>
    <w:rsid w:val="006A7D75"/>
    <w:rsid w:val="006B0A70"/>
    <w:rsid w:val="006B1FB7"/>
    <w:rsid w:val="006B49D1"/>
    <w:rsid w:val="006B606A"/>
    <w:rsid w:val="006B62A6"/>
    <w:rsid w:val="006C33AF"/>
    <w:rsid w:val="006C3602"/>
    <w:rsid w:val="006D5D22"/>
    <w:rsid w:val="006E0324"/>
    <w:rsid w:val="006E4A76"/>
    <w:rsid w:val="006F1DBD"/>
    <w:rsid w:val="00700556"/>
    <w:rsid w:val="0071199B"/>
    <w:rsid w:val="00715FD5"/>
    <w:rsid w:val="007167DD"/>
    <w:rsid w:val="0072478B"/>
    <w:rsid w:val="0073414D"/>
    <w:rsid w:val="0075235E"/>
    <w:rsid w:val="007536E4"/>
    <w:rsid w:val="00757B6C"/>
    <w:rsid w:val="0077012B"/>
    <w:rsid w:val="007732CC"/>
    <w:rsid w:val="00774079"/>
    <w:rsid w:val="0077752B"/>
    <w:rsid w:val="00786699"/>
    <w:rsid w:val="00790D0F"/>
    <w:rsid w:val="00793D6F"/>
    <w:rsid w:val="00794090"/>
    <w:rsid w:val="00796C76"/>
    <w:rsid w:val="007A2282"/>
    <w:rsid w:val="007A44F8"/>
    <w:rsid w:val="007B5928"/>
    <w:rsid w:val="007D21BF"/>
    <w:rsid w:val="007D45D7"/>
    <w:rsid w:val="007D7E7B"/>
    <w:rsid w:val="007F3C12"/>
    <w:rsid w:val="007F5205"/>
    <w:rsid w:val="008000B6"/>
    <w:rsid w:val="008052E3"/>
    <w:rsid w:val="008215E7"/>
    <w:rsid w:val="00827AAD"/>
    <w:rsid w:val="00830FC6"/>
    <w:rsid w:val="008336F7"/>
    <w:rsid w:val="00860C72"/>
    <w:rsid w:val="00865EAA"/>
    <w:rsid w:val="00866F06"/>
    <w:rsid w:val="008728F5"/>
    <w:rsid w:val="00875BBE"/>
    <w:rsid w:val="008824C2"/>
    <w:rsid w:val="008960E4"/>
    <w:rsid w:val="0089632C"/>
    <w:rsid w:val="008A3940"/>
    <w:rsid w:val="008B13C9"/>
    <w:rsid w:val="008C248C"/>
    <w:rsid w:val="008C47AE"/>
    <w:rsid w:val="008C5432"/>
    <w:rsid w:val="008C7BF1"/>
    <w:rsid w:val="008D00D6"/>
    <w:rsid w:val="008D4D00"/>
    <w:rsid w:val="008D4E5E"/>
    <w:rsid w:val="008D7ABD"/>
    <w:rsid w:val="008D7F59"/>
    <w:rsid w:val="008E45AF"/>
    <w:rsid w:val="008E4C61"/>
    <w:rsid w:val="008E55A2"/>
    <w:rsid w:val="008F1609"/>
    <w:rsid w:val="008F56E5"/>
    <w:rsid w:val="008F78D8"/>
    <w:rsid w:val="00900446"/>
    <w:rsid w:val="00901F54"/>
    <w:rsid w:val="00906EDA"/>
    <w:rsid w:val="0093033B"/>
    <w:rsid w:val="00936AA7"/>
    <w:rsid w:val="00943F26"/>
    <w:rsid w:val="00961620"/>
    <w:rsid w:val="0096214E"/>
    <w:rsid w:val="00965057"/>
    <w:rsid w:val="00967830"/>
    <w:rsid w:val="009678B3"/>
    <w:rsid w:val="009734B6"/>
    <w:rsid w:val="0098096F"/>
    <w:rsid w:val="0098437A"/>
    <w:rsid w:val="009862BE"/>
    <w:rsid w:val="00986C92"/>
    <w:rsid w:val="00993C47"/>
    <w:rsid w:val="009A31A8"/>
    <w:rsid w:val="009A4780"/>
    <w:rsid w:val="009B4B16"/>
    <w:rsid w:val="009B7561"/>
    <w:rsid w:val="009D561B"/>
    <w:rsid w:val="009D670F"/>
    <w:rsid w:val="009E54A1"/>
    <w:rsid w:val="009F1B53"/>
    <w:rsid w:val="009F4E25"/>
    <w:rsid w:val="009F5B1F"/>
    <w:rsid w:val="00A05834"/>
    <w:rsid w:val="00A0622E"/>
    <w:rsid w:val="00A25F08"/>
    <w:rsid w:val="00A35DFD"/>
    <w:rsid w:val="00A36EA8"/>
    <w:rsid w:val="00A41570"/>
    <w:rsid w:val="00A6667C"/>
    <w:rsid w:val="00A702DF"/>
    <w:rsid w:val="00A775A3"/>
    <w:rsid w:val="00A81B5B"/>
    <w:rsid w:val="00A82FAD"/>
    <w:rsid w:val="00A93044"/>
    <w:rsid w:val="00A9673A"/>
    <w:rsid w:val="00A96EF2"/>
    <w:rsid w:val="00AA1EA2"/>
    <w:rsid w:val="00AA5608"/>
    <w:rsid w:val="00AA5C35"/>
    <w:rsid w:val="00AA5ED9"/>
    <w:rsid w:val="00AB47E1"/>
    <w:rsid w:val="00AC0A38"/>
    <w:rsid w:val="00AC4E0E"/>
    <w:rsid w:val="00AC517B"/>
    <w:rsid w:val="00AD0D19"/>
    <w:rsid w:val="00AF051B"/>
    <w:rsid w:val="00B01537"/>
    <w:rsid w:val="00B037A2"/>
    <w:rsid w:val="00B21143"/>
    <w:rsid w:val="00B31870"/>
    <w:rsid w:val="00B320B8"/>
    <w:rsid w:val="00B35EE2"/>
    <w:rsid w:val="00B36DEF"/>
    <w:rsid w:val="00B57131"/>
    <w:rsid w:val="00B62F2C"/>
    <w:rsid w:val="00B67F97"/>
    <w:rsid w:val="00B727C9"/>
    <w:rsid w:val="00B735C8"/>
    <w:rsid w:val="00B76A63"/>
    <w:rsid w:val="00B8405B"/>
    <w:rsid w:val="00B9108D"/>
    <w:rsid w:val="00BA362E"/>
    <w:rsid w:val="00BA6350"/>
    <w:rsid w:val="00BB1252"/>
    <w:rsid w:val="00BB3310"/>
    <w:rsid w:val="00BB4E29"/>
    <w:rsid w:val="00BB74C9"/>
    <w:rsid w:val="00BC3AB6"/>
    <w:rsid w:val="00BD19E8"/>
    <w:rsid w:val="00BD4273"/>
    <w:rsid w:val="00BE0EDC"/>
    <w:rsid w:val="00BE26BA"/>
    <w:rsid w:val="00C33C23"/>
    <w:rsid w:val="00C40690"/>
    <w:rsid w:val="00C432E4"/>
    <w:rsid w:val="00C653BE"/>
    <w:rsid w:val="00C70C26"/>
    <w:rsid w:val="00C72001"/>
    <w:rsid w:val="00C772B7"/>
    <w:rsid w:val="00C80347"/>
    <w:rsid w:val="00C818FC"/>
    <w:rsid w:val="00CB3474"/>
    <w:rsid w:val="00CB7C1A"/>
    <w:rsid w:val="00CC5E08"/>
    <w:rsid w:val="00CF0C19"/>
    <w:rsid w:val="00CF6860"/>
    <w:rsid w:val="00D02AC6"/>
    <w:rsid w:val="00D03F0C"/>
    <w:rsid w:val="00D04312"/>
    <w:rsid w:val="00D11762"/>
    <w:rsid w:val="00D16A7F"/>
    <w:rsid w:val="00D16AD2"/>
    <w:rsid w:val="00D2117F"/>
    <w:rsid w:val="00D22596"/>
    <w:rsid w:val="00D22691"/>
    <w:rsid w:val="00D24C3D"/>
    <w:rsid w:val="00D46CB1"/>
    <w:rsid w:val="00D56415"/>
    <w:rsid w:val="00D71DDF"/>
    <w:rsid w:val="00D723F0"/>
    <w:rsid w:val="00D72FA1"/>
    <w:rsid w:val="00D8133F"/>
    <w:rsid w:val="00D95B05"/>
    <w:rsid w:val="00D97E2D"/>
    <w:rsid w:val="00DA103D"/>
    <w:rsid w:val="00DA26AB"/>
    <w:rsid w:val="00DA45D3"/>
    <w:rsid w:val="00DA4772"/>
    <w:rsid w:val="00DB2667"/>
    <w:rsid w:val="00DB67B7"/>
    <w:rsid w:val="00DC15A9"/>
    <w:rsid w:val="00DC3925"/>
    <w:rsid w:val="00DC40AA"/>
    <w:rsid w:val="00DC7DE6"/>
    <w:rsid w:val="00DD1750"/>
    <w:rsid w:val="00DD1D18"/>
    <w:rsid w:val="00E222DD"/>
    <w:rsid w:val="00E246E1"/>
    <w:rsid w:val="00E349AA"/>
    <w:rsid w:val="00E41390"/>
    <w:rsid w:val="00E41CA0"/>
    <w:rsid w:val="00E4366B"/>
    <w:rsid w:val="00E475C7"/>
    <w:rsid w:val="00E50A4A"/>
    <w:rsid w:val="00E5626E"/>
    <w:rsid w:val="00E606DE"/>
    <w:rsid w:val="00E644FE"/>
    <w:rsid w:val="00E661E8"/>
    <w:rsid w:val="00E719D9"/>
    <w:rsid w:val="00E72733"/>
    <w:rsid w:val="00E735F4"/>
    <w:rsid w:val="00E742FA"/>
    <w:rsid w:val="00E7550C"/>
    <w:rsid w:val="00E76816"/>
    <w:rsid w:val="00E77E12"/>
    <w:rsid w:val="00E83DBF"/>
    <w:rsid w:val="00E87C13"/>
    <w:rsid w:val="00E94CD9"/>
    <w:rsid w:val="00E97080"/>
    <w:rsid w:val="00EA1A76"/>
    <w:rsid w:val="00EA290B"/>
    <w:rsid w:val="00EB0D51"/>
    <w:rsid w:val="00EE0E90"/>
    <w:rsid w:val="00EE6CDB"/>
    <w:rsid w:val="00EF3BCA"/>
    <w:rsid w:val="00F017FC"/>
    <w:rsid w:val="00F01B0D"/>
    <w:rsid w:val="00F10782"/>
    <w:rsid w:val="00F1238F"/>
    <w:rsid w:val="00F128AD"/>
    <w:rsid w:val="00F15952"/>
    <w:rsid w:val="00F16485"/>
    <w:rsid w:val="00F228ED"/>
    <w:rsid w:val="00F26E31"/>
    <w:rsid w:val="00F27C6C"/>
    <w:rsid w:val="00F34A8D"/>
    <w:rsid w:val="00F50D25"/>
    <w:rsid w:val="00F5189D"/>
    <w:rsid w:val="00F535D8"/>
    <w:rsid w:val="00F61155"/>
    <w:rsid w:val="00F61892"/>
    <w:rsid w:val="00F6411F"/>
    <w:rsid w:val="00F708E3"/>
    <w:rsid w:val="00F76561"/>
    <w:rsid w:val="00F84736"/>
    <w:rsid w:val="00F9446E"/>
    <w:rsid w:val="00FA5B48"/>
    <w:rsid w:val="00FA7116"/>
    <w:rsid w:val="00FC627D"/>
    <w:rsid w:val="00FC6C29"/>
    <w:rsid w:val="00FD0322"/>
    <w:rsid w:val="00FD1F40"/>
    <w:rsid w:val="00FD58E0"/>
    <w:rsid w:val="00FE0198"/>
    <w:rsid w:val="00FE3A7C"/>
    <w:rsid w:val="00FF051D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667C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667C"/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DefaultParagraphFont"/>
    <w:rsid w:val="00A6667C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nhideWhenUsed/>
    <w:rsid w:val="000E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22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06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22E"/>
  </w:style>
  <w:style w:type="character" w:styleId="FootnoteReference">
    <w:name w:val="footnote reference"/>
    <w:aliases w:val="Appel note de bas de p,Style 12,(NECG) Footnote Reference,Style 124,o,fr,Style 3,Style 13,FR,Style 17,Footnote Reference/,Style 6"/>
    <w:uiPriority w:val="99"/>
    <w:rsid w:val="00A0622E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F01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1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188"/>
    <w:rPr>
      <w:b/>
      <w:bCs/>
    </w:rPr>
  </w:style>
  <w:style w:type="paragraph" w:styleId="Revision">
    <w:name w:val="Revision"/>
    <w:hidden/>
    <w:uiPriority w:val="99"/>
    <w:semiHidden/>
    <w:rsid w:val="00463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667C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667C"/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DefaultParagraphFont"/>
    <w:rsid w:val="00A6667C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nhideWhenUsed/>
    <w:rsid w:val="000E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22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06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22E"/>
  </w:style>
  <w:style w:type="character" w:styleId="FootnoteReference">
    <w:name w:val="footnote reference"/>
    <w:aliases w:val="Appel note de bas de p,Style 12,(NECG) Footnote Reference,Style 124,o,fr,Style 3,Style 13,FR,Style 17,Footnote Reference/,Style 6"/>
    <w:uiPriority w:val="99"/>
    <w:rsid w:val="00A0622E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F01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1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188"/>
    <w:rPr>
      <w:b/>
      <w:bCs/>
    </w:rPr>
  </w:style>
  <w:style w:type="paragraph" w:styleId="Revision">
    <w:name w:val="Revision"/>
    <w:hidden/>
    <w:uiPriority w:val="99"/>
    <w:semiHidden/>
    <w:rsid w:val="00463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cc.gov/office-media-relation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fsapi.fcc.gov/file/60001841510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fsapi.fcc.gov/file/6000184150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ps.fcc.gov/edocs_public/attachmatch/DA-14-199A2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eil.Grace@fcc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3492</Characters>
  <Application>Microsoft Office Word</Application>
  <DocSecurity>0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2015-10-22T17:20:00Z</cp:lastPrinted>
  <dcterms:created xsi:type="dcterms:W3CDTF">2016-06-24T15:52:00Z</dcterms:created>
  <dcterms:modified xsi:type="dcterms:W3CDTF">2016-06-24T15:52:00Z</dcterms:modified>
  <cp:category> </cp:category>
  <cp:contentStatus> </cp:contentStatus>
</cp:coreProperties>
</file>