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8E066E" w:rsidRPr="008E066E" w14:paraId="535FD973" w14:textId="77777777" w:rsidTr="006D5D22">
        <w:trPr>
          <w:trHeight w:val="2181"/>
        </w:trPr>
        <w:tc>
          <w:tcPr>
            <w:tcW w:w="8856" w:type="dxa"/>
          </w:tcPr>
          <w:p w14:paraId="1903D266" w14:textId="77777777" w:rsidR="00FF232D" w:rsidRPr="008E066E" w:rsidRDefault="00CE14FD" w:rsidP="006A7D75">
            <w:pPr>
              <w:jc w:val="center"/>
              <w:rPr>
                <w:b/>
                <w:sz w:val="22"/>
                <w:szCs w:val="22"/>
              </w:rPr>
            </w:pPr>
            <w:bookmarkStart w:id="0" w:name="_GoBack"/>
            <w:bookmarkEnd w:id="0"/>
            <w:r w:rsidRPr="008E066E">
              <w:rPr>
                <w:b/>
                <w:i/>
                <w:noProof/>
                <w:sz w:val="22"/>
                <w:szCs w:val="22"/>
              </w:rPr>
              <w:drawing>
                <wp:inline distT="0" distB="0" distL="0" distR="0" wp14:anchorId="2CF94CE9" wp14:editId="7308484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42AB6567" w14:textId="77777777" w:rsidR="00426518" w:rsidRPr="008E066E" w:rsidRDefault="00426518" w:rsidP="00B57131">
            <w:pPr>
              <w:rPr>
                <w:b/>
                <w:bCs/>
                <w:sz w:val="22"/>
                <w:szCs w:val="22"/>
              </w:rPr>
            </w:pPr>
          </w:p>
          <w:p w14:paraId="445DEBCC" w14:textId="77777777" w:rsidR="00F67DA2" w:rsidRPr="008E066E" w:rsidRDefault="00F67DA2" w:rsidP="00F67DA2">
            <w:pPr>
              <w:rPr>
                <w:b/>
                <w:bCs/>
                <w:sz w:val="22"/>
                <w:szCs w:val="22"/>
              </w:rPr>
            </w:pPr>
            <w:r w:rsidRPr="008E066E">
              <w:rPr>
                <w:b/>
                <w:bCs/>
                <w:sz w:val="22"/>
                <w:szCs w:val="22"/>
              </w:rPr>
              <w:t xml:space="preserve">Media Contact: </w:t>
            </w:r>
          </w:p>
          <w:p w14:paraId="622BC09B" w14:textId="77777777" w:rsidR="00F67DA2" w:rsidRPr="008E066E" w:rsidRDefault="00F67DA2" w:rsidP="00F67DA2">
            <w:pPr>
              <w:rPr>
                <w:bCs/>
                <w:sz w:val="22"/>
                <w:szCs w:val="22"/>
              </w:rPr>
            </w:pPr>
            <w:r w:rsidRPr="008E066E">
              <w:rPr>
                <w:bCs/>
                <w:sz w:val="22"/>
                <w:szCs w:val="22"/>
              </w:rPr>
              <w:t>Thomas Sullivan, (202) 418-0437</w:t>
            </w:r>
          </w:p>
          <w:p w14:paraId="4388EFCC" w14:textId="77777777" w:rsidR="00F67DA2" w:rsidRPr="008E066E" w:rsidRDefault="00F67DA2" w:rsidP="00F67DA2">
            <w:pPr>
              <w:rPr>
                <w:bCs/>
                <w:sz w:val="22"/>
                <w:szCs w:val="22"/>
              </w:rPr>
            </w:pPr>
            <w:r w:rsidRPr="008E066E">
              <w:rPr>
                <w:bCs/>
                <w:sz w:val="22"/>
                <w:szCs w:val="22"/>
              </w:rPr>
              <w:t>Thomas.Sullivan@fcc.gov</w:t>
            </w:r>
          </w:p>
          <w:p w14:paraId="776437C1" w14:textId="77777777" w:rsidR="00F67DA2" w:rsidRPr="008E066E" w:rsidRDefault="00F67DA2" w:rsidP="00F67DA2">
            <w:pPr>
              <w:rPr>
                <w:bCs/>
                <w:sz w:val="22"/>
                <w:szCs w:val="22"/>
              </w:rPr>
            </w:pPr>
          </w:p>
          <w:p w14:paraId="5ABBCE5D" w14:textId="77777777" w:rsidR="00F67DA2" w:rsidRPr="008E066E" w:rsidRDefault="00F67DA2" w:rsidP="00F67DA2">
            <w:pPr>
              <w:rPr>
                <w:b/>
                <w:sz w:val="22"/>
                <w:szCs w:val="22"/>
              </w:rPr>
            </w:pPr>
            <w:r w:rsidRPr="008E066E">
              <w:rPr>
                <w:b/>
                <w:sz w:val="22"/>
                <w:szCs w:val="22"/>
              </w:rPr>
              <w:t>For Immediate Release</w:t>
            </w:r>
          </w:p>
          <w:p w14:paraId="71E8AB4F" w14:textId="77777777" w:rsidR="00F67DA2" w:rsidRPr="008E066E" w:rsidRDefault="00F67DA2" w:rsidP="00F67DA2">
            <w:pPr>
              <w:rPr>
                <w:b/>
                <w:bCs/>
                <w:sz w:val="22"/>
                <w:szCs w:val="22"/>
              </w:rPr>
            </w:pPr>
          </w:p>
          <w:p w14:paraId="0600FAA0" w14:textId="77777777" w:rsidR="00541CF6" w:rsidRPr="00FB75DF" w:rsidRDefault="00C32920" w:rsidP="00541CF6">
            <w:pPr>
              <w:jc w:val="center"/>
              <w:rPr>
                <w:b/>
                <w:sz w:val="26"/>
                <w:szCs w:val="26"/>
              </w:rPr>
            </w:pPr>
            <w:r w:rsidRPr="00FB75DF">
              <w:rPr>
                <w:b/>
                <w:sz w:val="26"/>
                <w:szCs w:val="26"/>
              </w:rPr>
              <w:t xml:space="preserve">INTERNATIONAL </w:t>
            </w:r>
            <w:r w:rsidR="000B475A" w:rsidRPr="00FB75DF">
              <w:rPr>
                <w:b/>
                <w:sz w:val="26"/>
                <w:szCs w:val="26"/>
              </w:rPr>
              <w:t xml:space="preserve">BUREAU </w:t>
            </w:r>
            <w:r w:rsidRPr="00FB75DF">
              <w:rPr>
                <w:b/>
                <w:sz w:val="26"/>
                <w:szCs w:val="26"/>
              </w:rPr>
              <w:t xml:space="preserve">RELEASES </w:t>
            </w:r>
            <w:r w:rsidR="00115CAF" w:rsidRPr="00FB75DF">
              <w:rPr>
                <w:b/>
                <w:sz w:val="26"/>
                <w:szCs w:val="26"/>
              </w:rPr>
              <w:t>2014</w:t>
            </w:r>
            <w:r w:rsidR="00D87E76" w:rsidRPr="00FB75DF">
              <w:rPr>
                <w:b/>
                <w:sz w:val="26"/>
                <w:szCs w:val="26"/>
              </w:rPr>
              <w:t xml:space="preserve"> </w:t>
            </w:r>
            <w:r w:rsidR="004937F1" w:rsidRPr="00FB75DF">
              <w:rPr>
                <w:b/>
                <w:sz w:val="26"/>
                <w:szCs w:val="26"/>
              </w:rPr>
              <w:t xml:space="preserve">U.S. </w:t>
            </w:r>
            <w:r w:rsidR="008A5754" w:rsidRPr="00FB75DF">
              <w:rPr>
                <w:b/>
                <w:sz w:val="26"/>
                <w:szCs w:val="26"/>
              </w:rPr>
              <w:t xml:space="preserve">INTERNATIONAL </w:t>
            </w:r>
            <w:r w:rsidR="00541CF6" w:rsidRPr="00FB75DF">
              <w:rPr>
                <w:b/>
                <w:sz w:val="26"/>
                <w:szCs w:val="26"/>
              </w:rPr>
              <w:t>T</w:t>
            </w:r>
            <w:r w:rsidR="00751D3E" w:rsidRPr="00FB75DF">
              <w:rPr>
                <w:b/>
                <w:sz w:val="26"/>
                <w:szCs w:val="26"/>
              </w:rPr>
              <w:t>ELECOMMUNICATIONS</w:t>
            </w:r>
            <w:r w:rsidR="00541CF6" w:rsidRPr="00FB75DF">
              <w:rPr>
                <w:b/>
                <w:sz w:val="26"/>
                <w:szCs w:val="26"/>
              </w:rPr>
              <w:t xml:space="preserve"> T</w:t>
            </w:r>
            <w:r w:rsidR="00751D3E" w:rsidRPr="00FB75DF">
              <w:rPr>
                <w:b/>
                <w:sz w:val="26"/>
                <w:szCs w:val="26"/>
              </w:rPr>
              <w:t>RAFFIC</w:t>
            </w:r>
            <w:r w:rsidR="000E6ACF" w:rsidRPr="00FB75DF">
              <w:rPr>
                <w:b/>
                <w:sz w:val="26"/>
                <w:szCs w:val="26"/>
              </w:rPr>
              <w:t xml:space="preserve"> AND</w:t>
            </w:r>
            <w:r w:rsidR="00541CF6" w:rsidRPr="00FB75DF">
              <w:rPr>
                <w:b/>
                <w:sz w:val="26"/>
                <w:szCs w:val="26"/>
              </w:rPr>
              <w:t xml:space="preserve"> R</w:t>
            </w:r>
            <w:r w:rsidR="00751D3E" w:rsidRPr="00FB75DF">
              <w:rPr>
                <w:b/>
                <w:sz w:val="26"/>
                <w:szCs w:val="26"/>
              </w:rPr>
              <w:t>EVENUE</w:t>
            </w:r>
            <w:r w:rsidR="00541CF6" w:rsidRPr="00FB75DF">
              <w:rPr>
                <w:b/>
                <w:sz w:val="26"/>
                <w:szCs w:val="26"/>
              </w:rPr>
              <w:t xml:space="preserve"> D</w:t>
            </w:r>
            <w:r w:rsidR="00751D3E" w:rsidRPr="00FB75DF">
              <w:rPr>
                <w:b/>
                <w:sz w:val="26"/>
                <w:szCs w:val="26"/>
              </w:rPr>
              <w:t>ATA REPORT</w:t>
            </w:r>
          </w:p>
          <w:p w14:paraId="6E9B8897" w14:textId="77777777" w:rsidR="004937F1" w:rsidRPr="008E066E" w:rsidRDefault="004A01CD" w:rsidP="00541CF6">
            <w:pPr>
              <w:jc w:val="center"/>
              <w:rPr>
                <w:b/>
                <w:sz w:val="22"/>
                <w:szCs w:val="22"/>
              </w:rPr>
            </w:pPr>
            <w:r w:rsidRPr="008E066E">
              <w:rPr>
                <w:b/>
                <w:sz w:val="22"/>
                <w:szCs w:val="22"/>
              </w:rPr>
              <w:tab/>
            </w:r>
          </w:p>
          <w:p w14:paraId="5FD3F919" w14:textId="7B2442BA" w:rsidR="00950E6A" w:rsidRPr="008E066E" w:rsidRDefault="00F67DA2" w:rsidP="00BD58D6">
            <w:pPr>
              <w:ind w:right="240"/>
              <w:rPr>
                <w:sz w:val="22"/>
                <w:szCs w:val="22"/>
              </w:rPr>
            </w:pPr>
            <w:r w:rsidRPr="008E066E">
              <w:rPr>
                <w:sz w:val="22"/>
                <w:szCs w:val="22"/>
              </w:rPr>
              <w:t xml:space="preserve">WASHINGTON, </w:t>
            </w:r>
            <w:r w:rsidR="004F5D4E">
              <w:rPr>
                <w:sz w:val="22"/>
                <w:szCs w:val="22"/>
              </w:rPr>
              <w:t>July 1</w:t>
            </w:r>
            <w:r w:rsidRPr="008E066E">
              <w:rPr>
                <w:sz w:val="22"/>
                <w:szCs w:val="22"/>
              </w:rPr>
              <w:t>, 201</w:t>
            </w:r>
            <w:r w:rsidR="004937F1" w:rsidRPr="008E066E">
              <w:rPr>
                <w:sz w:val="22"/>
                <w:szCs w:val="22"/>
              </w:rPr>
              <w:t>6</w:t>
            </w:r>
            <w:r w:rsidRPr="008E066E">
              <w:rPr>
                <w:sz w:val="22"/>
                <w:szCs w:val="22"/>
              </w:rPr>
              <w:t xml:space="preserve"> </w:t>
            </w:r>
            <w:r w:rsidR="005411D2" w:rsidRPr="008E066E">
              <w:rPr>
                <w:sz w:val="22"/>
                <w:szCs w:val="22"/>
              </w:rPr>
              <w:t>– T</w:t>
            </w:r>
            <w:r w:rsidRPr="008E066E">
              <w:rPr>
                <w:sz w:val="22"/>
                <w:szCs w:val="22"/>
              </w:rPr>
              <w:t xml:space="preserve">he </w:t>
            </w:r>
            <w:r w:rsidR="00D87E76" w:rsidRPr="008E066E">
              <w:rPr>
                <w:sz w:val="22"/>
                <w:szCs w:val="22"/>
              </w:rPr>
              <w:t xml:space="preserve">Federal Communications Commission today </w:t>
            </w:r>
            <w:r w:rsidRPr="008E066E">
              <w:rPr>
                <w:sz w:val="22"/>
                <w:szCs w:val="22"/>
              </w:rPr>
              <w:t xml:space="preserve">released </w:t>
            </w:r>
            <w:r w:rsidR="004937F1" w:rsidRPr="008E066E">
              <w:rPr>
                <w:sz w:val="22"/>
                <w:szCs w:val="22"/>
              </w:rPr>
              <w:t>the</w:t>
            </w:r>
            <w:r w:rsidRPr="008E066E">
              <w:rPr>
                <w:sz w:val="22"/>
                <w:szCs w:val="22"/>
              </w:rPr>
              <w:t xml:space="preserve"> </w:t>
            </w:r>
            <w:r w:rsidR="00C71866" w:rsidRPr="008E066E">
              <w:rPr>
                <w:sz w:val="22"/>
                <w:szCs w:val="22"/>
              </w:rPr>
              <w:t>2014</w:t>
            </w:r>
            <w:r w:rsidR="006D648C" w:rsidRPr="008E066E">
              <w:rPr>
                <w:sz w:val="22"/>
                <w:szCs w:val="22"/>
              </w:rPr>
              <w:t xml:space="preserve"> International </w:t>
            </w:r>
            <w:r w:rsidR="00751D3E" w:rsidRPr="008E066E">
              <w:rPr>
                <w:sz w:val="22"/>
                <w:szCs w:val="22"/>
              </w:rPr>
              <w:t xml:space="preserve">Telecommunications Traffic and Revenue Data </w:t>
            </w:r>
            <w:r w:rsidR="006D648C" w:rsidRPr="008E066E">
              <w:rPr>
                <w:sz w:val="22"/>
                <w:szCs w:val="22"/>
              </w:rPr>
              <w:t>Report</w:t>
            </w:r>
            <w:r w:rsidR="00C71866" w:rsidRPr="008E066E">
              <w:rPr>
                <w:sz w:val="22"/>
                <w:szCs w:val="22"/>
              </w:rPr>
              <w:t xml:space="preserve">. </w:t>
            </w:r>
            <w:r w:rsidR="000B475A" w:rsidRPr="008E066E">
              <w:rPr>
                <w:sz w:val="22"/>
                <w:szCs w:val="22"/>
              </w:rPr>
              <w:t xml:space="preserve"> </w:t>
            </w:r>
            <w:r w:rsidR="00C71866" w:rsidRPr="008E066E">
              <w:rPr>
                <w:sz w:val="22"/>
                <w:szCs w:val="22"/>
              </w:rPr>
              <w:t>The report</w:t>
            </w:r>
            <w:r w:rsidR="00BC104A">
              <w:rPr>
                <w:sz w:val="22"/>
                <w:szCs w:val="22"/>
              </w:rPr>
              <w:t xml:space="preserve"> from the FCC’s International Bureau</w:t>
            </w:r>
            <w:r w:rsidR="00E74C11" w:rsidRPr="008E066E">
              <w:rPr>
                <w:sz w:val="22"/>
                <w:szCs w:val="22"/>
              </w:rPr>
              <w:t xml:space="preserve"> provid</w:t>
            </w:r>
            <w:r w:rsidR="00C71866" w:rsidRPr="008E066E">
              <w:rPr>
                <w:sz w:val="22"/>
                <w:szCs w:val="22"/>
              </w:rPr>
              <w:t xml:space="preserve">es </w:t>
            </w:r>
            <w:r w:rsidR="00C76B51" w:rsidRPr="008E066E">
              <w:rPr>
                <w:sz w:val="22"/>
                <w:szCs w:val="22"/>
              </w:rPr>
              <w:t xml:space="preserve">information on telecommunications services between the United States and international points as of December 31, 2014.  </w:t>
            </w:r>
            <w:r w:rsidR="00950E6A" w:rsidRPr="008E066E">
              <w:rPr>
                <w:sz w:val="22"/>
                <w:szCs w:val="22"/>
              </w:rPr>
              <w:t xml:space="preserve">For the first time, the report includes data on Voice over Internet Protocol (VoIP) service connected to the public switched telephone network between the United States and any foreign point.  </w:t>
            </w:r>
          </w:p>
          <w:p w14:paraId="620811D1" w14:textId="77777777" w:rsidR="00950E6A" w:rsidRPr="008E066E" w:rsidRDefault="00950E6A" w:rsidP="00BD58D6">
            <w:pPr>
              <w:ind w:right="240"/>
              <w:rPr>
                <w:sz w:val="22"/>
                <w:szCs w:val="22"/>
              </w:rPr>
            </w:pPr>
          </w:p>
          <w:p w14:paraId="6AA061AE" w14:textId="511EC60B" w:rsidR="00950E6A" w:rsidRPr="008E066E" w:rsidRDefault="00950E6A" w:rsidP="00950E6A">
            <w:pPr>
              <w:ind w:right="48"/>
              <w:rPr>
                <w:sz w:val="22"/>
                <w:szCs w:val="22"/>
              </w:rPr>
            </w:pPr>
            <w:r w:rsidRPr="008E066E">
              <w:rPr>
                <w:sz w:val="22"/>
                <w:szCs w:val="22"/>
              </w:rPr>
              <w:t xml:space="preserve">The report also presents data on minutes of traffic completed </w:t>
            </w:r>
            <w:r w:rsidR="00C47BCE" w:rsidRPr="008E066E">
              <w:rPr>
                <w:sz w:val="22"/>
                <w:szCs w:val="22"/>
              </w:rPr>
              <w:t xml:space="preserve">and settlement payouts for call completion </w:t>
            </w:r>
            <w:r w:rsidRPr="008E066E">
              <w:rPr>
                <w:sz w:val="22"/>
                <w:szCs w:val="22"/>
              </w:rPr>
              <w:t xml:space="preserve">on foreign fixed networks and foreign mobile networks.  Additionally, it includes certain </w:t>
            </w:r>
            <w:r w:rsidRPr="008E066E">
              <w:rPr>
                <w:spacing w:val="-1"/>
                <w:sz w:val="22"/>
                <w:szCs w:val="22"/>
              </w:rPr>
              <w:t>traffic</w:t>
            </w:r>
            <w:r w:rsidRPr="008E066E">
              <w:rPr>
                <w:spacing w:val="5"/>
                <w:sz w:val="22"/>
                <w:szCs w:val="22"/>
              </w:rPr>
              <w:t xml:space="preserve"> </w:t>
            </w:r>
            <w:r w:rsidRPr="008E066E">
              <w:rPr>
                <w:sz w:val="22"/>
                <w:szCs w:val="22"/>
              </w:rPr>
              <w:t>and</w:t>
            </w:r>
            <w:r w:rsidRPr="008E066E">
              <w:rPr>
                <w:spacing w:val="5"/>
                <w:sz w:val="22"/>
                <w:szCs w:val="22"/>
              </w:rPr>
              <w:t xml:space="preserve"> </w:t>
            </w:r>
            <w:r w:rsidRPr="008E066E">
              <w:rPr>
                <w:sz w:val="22"/>
                <w:szCs w:val="22"/>
              </w:rPr>
              <w:t>revenue</w:t>
            </w:r>
            <w:r w:rsidRPr="008E066E">
              <w:rPr>
                <w:spacing w:val="3"/>
                <w:sz w:val="22"/>
                <w:szCs w:val="22"/>
              </w:rPr>
              <w:t xml:space="preserve"> </w:t>
            </w:r>
            <w:r w:rsidRPr="008E066E">
              <w:rPr>
                <w:sz w:val="22"/>
                <w:szCs w:val="22"/>
              </w:rPr>
              <w:t>data</w:t>
            </w:r>
            <w:r w:rsidRPr="008E066E">
              <w:rPr>
                <w:spacing w:val="5"/>
                <w:sz w:val="22"/>
                <w:szCs w:val="22"/>
              </w:rPr>
              <w:t xml:space="preserve"> </w:t>
            </w:r>
            <w:r w:rsidRPr="008E066E">
              <w:rPr>
                <w:sz w:val="22"/>
                <w:szCs w:val="22"/>
              </w:rPr>
              <w:t>broken</w:t>
            </w:r>
            <w:r w:rsidRPr="008E066E">
              <w:rPr>
                <w:spacing w:val="5"/>
                <w:sz w:val="22"/>
                <w:szCs w:val="22"/>
              </w:rPr>
              <w:t xml:space="preserve"> </w:t>
            </w:r>
            <w:r w:rsidRPr="008E066E">
              <w:rPr>
                <w:sz w:val="22"/>
                <w:szCs w:val="22"/>
              </w:rPr>
              <w:t>down</w:t>
            </w:r>
            <w:r w:rsidRPr="008E066E">
              <w:rPr>
                <w:spacing w:val="5"/>
                <w:sz w:val="22"/>
                <w:szCs w:val="22"/>
              </w:rPr>
              <w:t xml:space="preserve"> </w:t>
            </w:r>
            <w:r w:rsidRPr="008E066E">
              <w:rPr>
                <w:sz w:val="22"/>
                <w:szCs w:val="22"/>
              </w:rPr>
              <w:t>by</w:t>
            </w:r>
            <w:r w:rsidRPr="008E066E">
              <w:rPr>
                <w:spacing w:val="8"/>
                <w:sz w:val="22"/>
                <w:szCs w:val="22"/>
              </w:rPr>
              <w:t xml:space="preserve"> </w:t>
            </w:r>
            <w:r w:rsidRPr="008E066E">
              <w:rPr>
                <w:sz w:val="22"/>
                <w:szCs w:val="22"/>
              </w:rPr>
              <w:t>customer</w:t>
            </w:r>
            <w:r w:rsidRPr="008E066E">
              <w:rPr>
                <w:spacing w:val="5"/>
                <w:sz w:val="22"/>
                <w:szCs w:val="22"/>
              </w:rPr>
              <w:t xml:space="preserve"> </w:t>
            </w:r>
            <w:r w:rsidRPr="008E066E">
              <w:rPr>
                <w:sz w:val="22"/>
                <w:szCs w:val="22"/>
              </w:rPr>
              <w:t xml:space="preserve">class, namely, residential and business customers.  </w:t>
            </w:r>
          </w:p>
          <w:p w14:paraId="25D0397D" w14:textId="77777777" w:rsidR="00950E6A" w:rsidRPr="008E066E" w:rsidRDefault="00950E6A" w:rsidP="00BD58D6">
            <w:pPr>
              <w:ind w:right="240"/>
              <w:rPr>
                <w:sz w:val="22"/>
                <w:szCs w:val="22"/>
              </w:rPr>
            </w:pPr>
          </w:p>
          <w:p w14:paraId="403A2BC1" w14:textId="77777777" w:rsidR="00950E6A" w:rsidRPr="008E066E" w:rsidRDefault="00950E6A" w:rsidP="00950E6A">
            <w:pPr>
              <w:ind w:right="48"/>
              <w:rPr>
                <w:sz w:val="22"/>
                <w:szCs w:val="22"/>
              </w:rPr>
            </w:pPr>
            <w:r w:rsidRPr="008E066E">
              <w:rPr>
                <w:sz w:val="22"/>
                <w:szCs w:val="22"/>
              </w:rPr>
              <w:t>Notable highlights of the report include:</w:t>
            </w:r>
          </w:p>
          <w:p w14:paraId="12AD5F90" w14:textId="77777777" w:rsidR="00950E6A" w:rsidRPr="008E066E" w:rsidRDefault="00950E6A" w:rsidP="00950E6A">
            <w:pPr>
              <w:ind w:right="48"/>
              <w:rPr>
                <w:sz w:val="22"/>
                <w:szCs w:val="22"/>
              </w:rPr>
            </w:pPr>
          </w:p>
          <w:p w14:paraId="2037BFA0" w14:textId="77777777" w:rsidR="00950E6A" w:rsidRPr="008E066E" w:rsidRDefault="00950E6A" w:rsidP="00950E6A">
            <w:pPr>
              <w:numPr>
                <w:ilvl w:val="0"/>
                <w:numId w:val="2"/>
              </w:numPr>
              <w:rPr>
                <w:sz w:val="22"/>
                <w:szCs w:val="22"/>
              </w:rPr>
            </w:pPr>
            <w:r w:rsidRPr="008E066E">
              <w:rPr>
                <w:sz w:val="22"/>
                <w:szCs w:val="22"/>
              </w:rPr>
              <w:t>The number of providers filing traffic and revenue reports increased by 30 percent.  The number of providers increased from 1,457 in the previous report to 1,896 in this report, which includes, for the first time, 354 Interconnected VoIP Service providers.</w:t>
            </w:r>
          </w:p>
          <w:p w14:paraId="15BF2C54" w14:textId="77777777" w:rsidR="00950E6A" w:rsidRPr="008E066E" w:rsidRDefault="00950E6A" w:rsidP="00950E6A">
            <w:pPr>
              <w:numPr>
                <w:ilvl w:val="0"/>
                <w:numId w:val="2"/>
              </w:numPr>
              <w:rPr>
                <w:sz w:val="22"/>
                <w:szCs w:val="22"/>
              </w:rPr>
            </w:pPr>
            <w:r w:rsidRPr="008E066E">
              <w:rPr>
                <w:sz w:val="22"/>
                <w:szCs w:val="22"/>
              </w:rPr>
              <w:t xml:space="preserve">Total revenues from U.S. consumers decreased compared to previous years (even with the increased number of providers filing in this report).  U.S. International Service Providers billed U.S. customers $3.87 billion for 73.6 billion minutes in 2013.  U.S. International Service Providers billed U.S. customers $3.7 billion for 84.7 billion minutes in 2014.  </w:t>
            </w:r>
          </w:p>
          <w:p w14:paraId="621445C4" w14:textId="77777777" w:rsidR="00950E6A" w:rsidRPr="008E066E" w:rsidRDefault="00950E6A" w:rsidP="00950E6A">
            <w:pPr>
              <w:numPr>
                <w:ilvl w:val="0"/>
                <w:numId w:val="2"/>
              </w:numPr>
              <w:rPr>
                <w:sz w:val="22"/>
                <w:szCs w:val="22"/>
              </w:rPr>
            </w:pPr>
            <w:r w:rsidRPr="008E066E">
              <w:rPr>
                <w:sz w:val="22"/>
                <w:szCs w:val="22"/>
              </w:rPr>
              <w:t>Of the total 84.7 billion minutes billed in 2014, 49.4 billion minutes were completed on foreign fixed-line networks, and 35.3 billion minutes were completed on foreign mobile networks.</w:t>
            </w:r>
          </w:p>
          <w:p w14:paraId="3EC55355" w14:textId="77777777" w:rsidR="00950E6A" w:rsidRPr="008E066E" w:rsidRDefault="00950E6A" w:rsidP="00950E6A">
            <w:pPr>
              <w:numPr>
                <w:ilvl w:val="0"/>
                <w:numId w:val="2"/>
              </w:numPr>
              <w:rPr>
                <w:sz w:val="22"/>
                <w:szCs w:val="22"/>
              </w:rPr>
            </w:pPr>
            <w:r w:rsidRPr="008E066E">
              <w:rPr>
                <w:sz w:val="22"/>
                <w:szCs w:val="22"/>
              </w:rPr>
              <w:t xml:space="preserve">U.S. International Service Providers incurred approximately $2.6 billion in settlement payouts; $1.0 billion were for minutes completed on foreign fixed-line networks, and $1.5 billion were for minutes completed on foreign mobile networks. </w:t>
            </w:r>
          </w:p>
          <w:p w14:paraId="331AC9A2" w14:textId="3236009B" w:rsidR="00950E6A" w:rsidRPr="008E066E" w:rsidRDefault="00950E6A" w:rsidP="00E61632">
            <w:pPr>
              <w:numPr>
                <w:ilvl w:val="0"/>
                <w:numId w:val="2"/>
              </w:numPr>
              <w:rPr>
                <w:sz w:val="22"/>
                <w:szCs w:val="22"/>
              </w:rPr>
            </w:pPr>
            <w:r w:rsidRPr="008E066E">
              <w:rPr>
                <w:sz w:val="22"/>
                <w:szCs w:val="22"/>
              </w:rPr>
              <w:t xml:space="preserve">Calls to </w:t>
            </w:r>
            <w:r w:rsidR="00E61632" w:rsidRPr="008E066E">
              <w:rPr>
                <w:sz w:val="22"/>
                <w:szCs w:val="22"/>
              </w:rPr>
              <w:t>three</w:t>
            </w:r>
            <w:r w:rsidRPr="008E066E">
              <w:rPr>
                <w:sz w:val="22"/>
                <w:szCs w:val="22"/>
              </w:rPr>
              <w:t xml:space="preserve"> countries account</w:t>
            </w:r>
            <w:r w:rsidR="00E61632" w:rsidRPr="008E066E">
              <w:rPr>
                <w:sz w:val="22"/>
                <w:szCs w:val="22"/>
              </w:rPr>
              <w:t>ed</w:t>
            </w:r>
            <w:r w:rsidRPr="008E066E">
              <w:rPr>
                <w:sz w:val="22"/>
                <w:szCs w:val="22"/>
              </w:rPr>
              <w:t xml:space="preserve"> for about 6</w:t>
            </w:r>
            <w:r w:rsidR="00E61632" w:rsidRPr="008E066E">
              <w:rPr>
                <w:sz w:val="22"/>
                <w:szCs w:val="22"/>
              </w:rPr>
              <w:t>3</w:t>
            </w:r>
            <w:r w:rsidRPr="008E066E">
              <w:rPr>
                <w:sz w:val="22"/>
                <w:szCs w:val="22"/>
              </w:rPr>
              <w:t xml:space="preserve"> percent of</w:t>
            </w:r>
            <w:r w:rsidR="00E61632" w:rsidRPr="008E066E">
              <w:rPr>
                <w:sz w:val="22"/>
                <w:szCs w:val="22"/>
              </w:rPr>
              <w:t xml:space="preserve"> the</w:t>
            </w:r>
            <w:r w:rsidRPr="008E066E">
              <w:rPr>
                <w:sz w:val="22"/>
                <w:szCs w:val="22"/>
              </w:rPr>
              <w:t xml:space="preserve"> outgoing international U.S.-billed minutes.  The top </w:t>
            </w:r>
            <w:r w:rsidR="00E61632" w:rsidRPr="008E066E">
              <w:rPr>
                <w:sz w:val="22"/>
                <w:szCs w:val="22"/>
              </w:rPr>
              <w:t>three</w:t>
            </w:r>
            <w:r w:rsidRPr="008E066E">
              <w:rPr>
                <w:sz w:val="22"/>
                <w:szCs w:val="22"/>
              </w:rPr>
              <w:t xml:space="preserve"> routes with the highest </w:t>
            </w:r>
            <w:r w:rsidR="00711DA9" w:rsidRPr="008E066E">
              <w:rPr>
                <w:sz w:val="22"/>
                <w:szCs w:val="22"/>
              </w:rPr>
              <w:t xml:space="preserve">international </w:t>
            </w:r>
            <w:r w:rsidRPr="008E066E">
              <w:rPr>
                <w:sz w:val="22"/>
                <w:szCs w:val="22"/>
              </w:rPr>
              <w:t>U.S.-billed minutes in 2014 were U.S.-India (24.8</w:t>
            </w:r>
            <w:r w:rsidR="00A66CB3" w:rsidRPr="008E066E">
              <w:rPr>
                <w:sz w:val="22"/>
                <w:szCs w:val="22"/>
              </w:rPr>
              <w:t xml:space="preserve"> percent</w:t>
            </w:r>
            <w:r w:rsidRPr="008E066E">
              <w:rPr>
                <w:sz w:val="22"/>
                <w:szCs w:val="22"/>
              </w:rPr>
              <w:t>), U.S.-Mexico (23.7</w:t>
            </w:r>
            <w:r w:rsidR="00A66CB3" w:rsidRPr="008E066E">
              <w:rPr>
                <w:sz w:val="22"/>
                <w:szCs w:val="22"/>
              </w:rPr>
              <w:t xml:space="preserve"> percent</w:t>
            </w:r>
            <w:r w:rsidRPr="008E066E">
              <w:rPr>
                <w:sz w:val="22"/>
                <w:szCs w:val="22"/>
              </w:rPr>
              <w:t xml:space="preserve">), </w:t>
            </w:r>
            <w:r w:rsidR="00E61632" w:rsidRPr="008E066E">
              <w:rPr>
                <w:sz w:val="22"/>
                <w:szCs w:val="22"/>
              </w:rPr>
              <w:t xml:space="preserve">and </w:t>
            </w:r>
            <w:r w:rsidRPr="008E066E">
              <w:rPr>
                <w:sz w:val="22"/>
                <w:szCs w:val="22"/>
              </w:rPr>
              <w:t>U.S.-Canada (14.2</w:t>
            </w:r>
            <w:r w:rsidR="00A66CB3" w:rsidRPr="008E066E">
              <w:rPr>
                <w:sz w:val="22"/>
                <w:szCs w:val="22"/>
              </w:rPr>
              <w:t xml:space="preserve"> percent</w:t>
            </w:r>
            <w:r w:rsidRPr="008E066E">
              <w:rPr>
                <w:sz w:val="22"/>
                <w:szCs w:val="22"/>
              </w:rPr>
              <w:t>)</w:t>
            </w:r>
            <w:r w:rsidR="00E61632" w:rsidRPr="008E066E">
              <w:rPr>
                <w:sz w:val="22"/>
                <w:szCs w:val="22"/>
              </w:rPr>
              <w:t>.</w:t>
            </w:r>
          </w:p>
          <w:p w14:paraId="25B618F4" w14:textId="5CC21B7D" w:rsidR="00950E6A" w:rsidRPr="008E066E" w:rsidRDefault="00950E6A" w:rsidP="00E61632">
            <w:pPr>
              <w:numPr>
                <w:ilvl w:val="0"/>
                <w:numId w:val="2"/>
              </w:numPr>
              <w:rPr>
                <w:sz w:val="22"/>
                <w:szCs w:val="22"/>
              </w:rPr>
            </w:pPr>
            <w:r w:rsidRPr="008E066E">
              <w:rPr>
                <w:sz w:val="22"/>
                <w:szCs w:val="22"/>
              </w:rPr>
              <w:t>Private line 64 kilobits per second equivalent circuits grew more than seven hundred-fold from 687,000 in 2000 to 494 million by 2014.</w:t>
            </w:r>
          </w:p>
          <w:p w14:paraId="55E81EF5" w14:textId="77777777" w:rsidR="00950E6A" w:rsidRPr="008E066E" w:rsidRDefault="00950E6A" w:rsidP="00E61632">
            <w:pPr>
              <w:ind w:left="720"/>
              <w:rPr>
                <w:sz w:val="22"/>
                <w:szCs w:val="22"/>
              </w:rPr>
            </w:pPr>
          </w:p>
          <w:p w14:paraId="44F8806F" w14:textId="04D3CF06" w:rsidR="00986727" w:rsidRPr="008E066E" w:rsidRDefault="00C76B51" w:rsidP="00986727">
            <w:pPr>
              <w:rPr>
                <w:sz w:val="22"/>
                <w:szCs w:val="22"/>
              </w:rPr>
            </w:pPr>
            <w:r w:rsidRPr="008E066E">
              <w:rPr>
                <w:sz w:val="22"/>
                <w:szCs w:val="22"/>
              </w:rPr>
              <w:t xml:space="preserve">The report is based on the </w:t>
            </w:r>
            <w:r w:rsidR="00273D26" w:rsidRPr="008E066E">
              <w:rPr>
                <w:sz w:val="22"/>
                <w:szCs w:val="22"/>
              </w:rPr>
              <w:t>data filed</w:t>
            </w:r>
            <w:r w:rsidR="002B464D" w:rsidRPr="008E066E">
              <w:rPr>
                <w:sz w:val="22"/>
                <w:szCs w:val="22"/>
              </w:rPr>
              <w:t>,</w:t>
            </w:r>
            <w:r w:rsidR="00273D26" w:rsidRPr="008E066E">
              <w:rPr>
                <w:sz w:val="22"/>
                <w:szCs w:val="22"/>
              </w:rPr>
              <w:t xml:space="preserve"> pursuant to the </w:t>
            </w:r>
            <w:r w:rsidRPr="008E066E">
              <w:rPr>
                <w:sz w:val="22"/>
                <w:szCs w:val="22"/>
              </w:rPr>
              <w:t>new Section 43.62 reporting requirements</w:t>
            </w:r>
            <w:r w:rsidR="002B464D" w:rsidRPr="008E066E">
              <w:rPr>
                <w:sz w:val="22"/>
                <w:szCs w:val="22"/>
              </w:rPr>
              <w:t xml:space="preserve">, </w:t>
            </w:r>
            <w:r w:rsidR="002B464D" w:rsidRPr="008E066E">
              <w:rPr>
                <w:sz w:val="22"/>
                <w:szCs w:val="22"/>
              </w:rPr>
              <w:lastRenderedPageBreak/>
              <w:t>using</w:t>
            </w:r>
            <w:r w:rsidR="00A81C82" w:rsidRPr="008E066E">
              <w:rPr>
                <w:sz w:val="22"/>
                <w:szCs w:val="22"/>
              </w:rPr>
              <w:t xml:space="preserve"> </w:t>
            </w:r>
            <w:r w:rsidR="00986727" w:rsidRPr="008E066E">
              <w:rPr>
                <w:sz w:val="22"/>
                <w:szCs w:val="22"/>
              </w:rPr>
              <w:t>the Commission</w:t>
            </w:r>
            <w:r w:rsidR="002B464D" w:rsidRPr="008E066E">
              <w:rPr>
                <w:sz w:val="22"/>
                <w:szCs w:val="22"/>
              </w:rPr>
              <w:t>’s newly</w:t>
            </w:r>
            <w:r w:rsidR="00986727" w:rsidRPr="008E066E">
              <w:rPr>
                <w:sz w:val="22"/>
                <w:szCs w:val="22"/>
              </w:rPr>
              <w:t xml:space="preserve"> developed user-friendly </w:t>
            </w:r>
            <w:r w:rsidR="002B464D" w:rsidRPr="008E066E">
              <w:rPr>
                <w:sz w:val="22"/>
                <w:szCs w:val="22"/>
              </w:rPr>
              <w:t xml:space="preserve">Section 43.62 </w:t>
            </w:r>
            <w:r w:rsidR="00986727" w:rsidRPr="008E066E">
              <w:rPr>
                <w:sz w:val="22"/>
                <w:szCs w:val="22"/>
              </w:rPr>
              <w:t>online filing system (</w:t>
            </w:r>
            <w:hyperlink r:id="rId9" w:history="1">
              <w:r w:rsidR="00986727" w:rsidRPr="008E066E">
                <w:rPr>
                  <w:rStyle w:val="Hyperlink"/>
                  <w:color w:val="auto"/>
                  <w:sz w:val="22"/>
                  <w:szCs w:val="22"/>
                </w:rPr>
                <w:t>https://apps2.fcc.gov/section4362/login.xhtml</w:t>
              </w:r>
            </w:hyperlink>
            <w:r w:rsidR="00986727" w:rsidRPr="008E066E">
              <w:rPr>
                <w:sz w:val="22"/>
                <w:szCs w:val="22"/>
              </w:rPr>
              <w:t>)</w:t>
            </w:r>
            <w:r w:rsidR="002B464D" w:rsidRPr="008E066E">
              <w:rPr>
                <w:sz w:val="22"/>
                <w:szCs w:val="22"/>
              </w:rPr>
              <w:t xml:space="preserve">.  The new online filing system </w:t>
            </w:r>
            <w:r w:rsidR="00C45067" w:rsidRPr="008E066E">
              <w:rPr>
                <w:sz w:val="22"/>
                <w:szCs w:val="22"/>
              </w:rPr>
              <w:t xml:space="preserve">enables </w:t>
            </w:r>
            <w:r w:rsidR="00986727" w:rsidRPr="008E066E">
              <w:rPr>
                <w:sz w:val="22"/>
                <w:szCs w:val="22"/>
              </w:rPr>
              <w:t xml:space="preserve">streamlined </w:t>
            </w:r>
            <w:r w:rsidR="00A05D04" w:rsidRPr="008E066E">
              <w:rPr>
                <w:sz w:val="22"/>
                <w:szCs w:val="22"/>
              </w:rPr>
              <w:t xml:space="preserve">data </w:t>
            </w:r>
            <w:r w:rsidR="00986727" w:rsidRPr="008E066E">
              <w:rPr>
                <w:sz w:val="22"/>
                <w:szCs w:val="22"/>
              </w:rPr>
              <w:t>submission</w:t>
            </w:r>
            <w:r w:rsidR="00C45067" w:rsidRPr="008E066E">
              <w:rPr>
                <w:sz w:val="22"/>
                <w:szCs w:val="22"/>
              </w:rPr>
              <w:t>s</w:t>
            </w:r>
            <w:r w:rsidR="00986727" w:rsidRPr="008E066E">
              <w:rPr>
                <w:sz w:val="22"/>
                <w:szCs w:val="22"/>
              </w:rPr>
              <w:t xml:space="preserve"> for </w:t>
            </w:r>
            <w:r w:rsidR="00A05D04" w:rsidRPr="008E066E">
              <w:rPr>
                <w:sz w:val="22"/>
                <w:szCs w:val="22"/>
              </w:rPr>
              <w:t xml:space="preserve">service providers </w:t>
            </w:r>
            <w:r w:rsidR="00986727" w:rsidRPr="008E066E">
              <w:rPr>
                <w:sz w:val="22"/>
                <w:szCs w:val="22"/>
              </w:rPr>
              <w:t>and substantially improve</w:t>
            </w:r>
            <w:r w:rsidR="002B464D" w:rsidRPr="008E066E">
              <w:rPr>
                <w:sz w:val="22"/>
                <w:szCs w:val="22"/>
              </w:rPr>
              <w:t>s</w:t>
            </w:r>
            <w:r w:rsidR="00986727" w:rsidRPr="008E066E">
              <w:rPr>
                <w:sz w:val="22"/>
                <w:szCs w:val="22"/>
              </w:rPr>
              <w:t xml:space="preserve"> the Commission’s ability to collect, review, and assess international telecommunications and revenue data. </w:t>
            </w:r>
          </w:p>
          <w:p w14:paraId="0C63FD97" w14:textId="77777777" w:rsidR="00986727" w:rsidRPr="008E066E" w:rsidRDefault="00986727" w:rsidP="00986727">
            <w:pPr>
              <w:rPr>
                <w:sz w:val="22"/>
                <w:szCs w:val="22"/>
              </w:rPr>
            </w:pPr>
          </w:p>
          <w:p w14:paraId="73044678" w14:textId="21ED030B" w:rsidR="00986727" w:rsidRPr="008E066E" w:rsidRDefault="00986727" w:rsidP="00986727">
            <w:pPr>
              <w:rPr>
                <w:sz w:val="22"/>
                <w:szCs w:val="22"/>
              </w:rPr>
            </w:pPr>
            <w:r w:rsidRPr="008E066E">
              <w:rPr>
                <w:sz w:val="22"/>
                <w:szCs w:val="22"/>
              </w:rPr>
              <w:t xml:space="preserve">The report is available at </w:t>
            </w:r>
            <w:hyperlink r:id="rId10" w:history="1">
              <w:r w:rsidRPr="008E066E">
                <w:rPr>
                  <w:rStyle w:val="Hyperlink"/>
                  <w:color w:val="auto"/>
                  <w:sz w:val="22"/>
                  <w:szCs w:val="22"/>
                </w:rPr>
                <w:t>https://www.fcc.gov/general/international-traffic-and-revenue-report</w:t>
              </w:r>
            </w:hyperlink>
            <w:r w:rsidRPr="008E066E">
              <w:rPr>
                <w:sz w:val="22"/>
                <w:szCs w:val="22"/>
              </w:rPr>
              <w:t xml:space="preserve"> and for reference in the FCC Reference Information Center, Courtyard Level, 445 12</w:t>
            </w:r>
            <w:r w:rsidRPr="008E066E">
              <w:rPr>
                <w:sz w:val="22"/>
                <w:szCs w:val="22"/>
                <w:vertAlign w:val="superscript"/>
              </w:rPr>
              <w:t>th</w:t>
            </w:r>
            <w:r w:rsidRPr="008E066E">
              <w:rPr>
                <w:sz w:val="22"/>
                <w:szCs w:val="22"/>
              </w:rPr>
              <w:t xml:space="preserve"> Street, SW, Washington, D.C. </w:t>
            </w:r>
          </w:p>
          <w:p w14:paraId="061067C7" w14:textId="77777777" w:rsidR="00986727" w:rsidRPr="008E066E" w:rsidRDefault="00986727" w:rsidP="00986727">
            <w:pPr>
              <w:rPr>
                <w:sz w:val="22"/>
                <w:szCs w:val="22"/>
              </w:rPr>
            </w:pPr>
          </w:p>
          <w:p w14:paraId="3E69EC46" w14:textId="2BBF2E3A" w:rsidR="00C76B51" w:rsidRPr="008E066E" w:rsidRDefault="00986727" w:rsidP="00986727">
            <w:pPr>
              <w:rPr>
                <w:sz w:val="22"/>
                <w:szCs w:val="22"/>
              </w:rPr>
            </w:pPr>
            <w:r w:rsidRPr="008E066E">
              <w:rPr>
                <w:sz w:val="22"/>
                <w:szCs w:val="22"/>
              </w:rPr>
              <w:t xml:space="preserve">International Bureau Contact:  Stacey Wise-Ashton, Telecommunications and Analysis Division, at </w:t>
            </w:r>
            <w:r w:rsidR="00DD3692" w:rsidRPr="008E066E">
              <w:rPr>
                <w:sz w:val="22"/>
                <w:szCs w:val="22"/>
              </w:rPr>
              <w:t xml:space="preserve">(202) 418-2214 or </w:t>
            </w:r>
            <w:hyperlink r:id="rId11" w:history="1">
              <w:r w:rsidRPr="008E066E">
                <w:rPr>
                  <w:rStyle w:val="Hyperlink"/>
                  <w:color w:val="auto"/>
                  <w:sz w:val="22"/>
                  <w:szCs w:val="22"/>
                </w:rPr>
                <w:t>Stacey.Ashton@fcc.gov</w:t>
              </w:r>
            </w:hyperlink>
            <w:r w:rsidR="00DD3692" w:rsidRPr="008E066E">
              <w:rPr>
                <w:sz w:val="22"/>
                <w:szCs w:val="22"/>
              </w:rPr>
              <w:t>.</w:t>
            </w:r>
          </w:p>
          <w:p w14:paraId="009A0F01" w14:textId="77777777" w:rsidR="00C76B51" w:rsidRPr="008E066E" w:rsidRDefault="00C76B51" w:rsidP="00C76B51">
            <w:pPr>
              <w:rPr>
                <w:sz w:val="22"/>
                <w:szCs w:val="22"/>
              </w:rPr>
            </w:pPr>
          </w:p>
          <w:p w14:paraId="313E371C" w14:textId="77777777" w:rsidR="00C76B51" w:rsidRPr="008E066E" w:rsidRDefault="00C76B51" w:rsidP="00C76B51">
            <w:pPr>
              <w:ind w:right="240"/>
              <w:jc w:val="center"/>
              <w:rPr>
                <w:sz w:val="22"/>
                <w:szCs w:val="22"/>
              </w:rPr>
            </w:pPr>
            <w:r w:rsidRPr="008E066E">
              <w:rPr>
                <w:sz w:val="22"/>
                <w:szCs w:val="22"/>
              </w:rPr>
              <w:t>###</w:t>
            </w:r>
          </w:p>
          <w:p w14:paraId="3AD50B49" w14:textId="77777777" w:rsidR="00C76B51" w:rsidRPr="008E066E" w:rsidRDefault="00C76B51" w:rsidP="00C76B51">
            <w:pPr>
              <w:ind w:right="498"/>
              <w:jc w:val="center"/>
              <w:rPr>
                <w:b/>
                <w:bCs/>
                <w:sz w:val="22"/>
                <w:szCs w:val="22"/>
              </w:rPr>
            </w:pPr>
          </w:p>
          <w:p w14:paraId="1A1EB3E5" w14:textId="77777777" w:rsidR="00C76B51" w:rsidRPr="00FB75DF" w:rsidRDefault="00C76B51" w:rsidP="00C76B51">
            <w:pPr>
              <w:ind w:right="498"/>
              <w:jc w:val="center"/>
              <w:rPr>
                <w:b/>
                <w:bCs/>
                <w:sz w:val="18"/>
                <w:szCs w:val="18"/>
              </w:rPr>
            </w:pPr>
            <w:r w:rsidRPr="00FB75DF">
              <w:rPr>
                <w:b/>
                <w:bCs/>
                <w:sz w:val="18"/>
                <w:szCs w:val="18"/>
              </w:rPr>
              <w:t>Office of Media Relations: (202) 418-0500</w:t>
            </w:r>
          </w:p>
          <w:p w14:paraId="26E8152F" w14:textId="77777777" w:rsidR="00C76B51" w:rsidRPr="00FB75DF" w:rsidRDefault="00C76B51" w:rsidP="00C76B51">
            <w:pPr>
              <w:ind w:right="498"/>
              <w:jc w:val="center"/>
              <w:rPr>
                <w:b/>
                <w:bCs/>
                <w:sz w:val="18"/>
                <w:szCs w:val="18"/>
              </w:rPr>
            </w:pPr>
            <w:r w:rsidRPr="00FB75DF">
              <w:rPr>
                <w:b/>
                <w:bCs/>
                <w:sz w:val="18"/>
                <w:szCs w:val="18"/>
              </w:rPr>
              <w:t>TTY: (888) 835-5322</w:t>
            </w:r>
          </w:p>
          <w:p w14:paraId="3081805F" w14:textId="77777777" w:rsidR="00D85F04" w:rsidRPr="00FB75DF" w:rsidRDefault="00C76B51" w:rsidP="00C76B51">
            <w:pPr>
              <w:ind w:right="498"/>
              <w:jc w:val="center"/>
              <w:rPr>
                <w:b/>
                <w:bCs/>
                <w:sz w:val="18"/>
                <w:szCs w:val="18"/>
              </w:rPr>
            </w:pPr>
            <w:r w:rsidRPr="00FB75DF">
              <w:rPr>
                <w:b/>
                <w:bCs/>
                <w:sz w:val="18"/>
                <w:szCs w:val="18"/>
              </w:rPr>
              <w:t>Twitter: @FCC</w:t>
            </w:r>
          </w:p>
          <w:p w14:paraId="73267D3F" w14:textId="4B28F140" w:rsidR="00C76B51" w:rsidRPr="00FB75DF" w:rsidRDefault="0005482C" w:rsidP="00C76B51">
            <w:pPr>
              <w:ind w:right="498"/>
              <w:jc w:val="center"/>
              <w:rPr>
                <w:b/>
                <w:bCs/>
                <w:sz w:val="18"/>
                <w:szCs w:val="18"/>
              </w:rPr>
            </w:pPr>
            <w:hyperlink r:id="rId12" w:history="1">
              <w:r w:rsidR="00C76B51" w:rsidRPr="00FB75DF">
                <w:rPr>
                  <w:rStyle w:val="Hyperlink"/>
                  <w:b/>
                  <w:bCs/>
                  <w:color w:val="auto"/>
                  <w:sz w:val="18"/>
                  <w:szCs w:val="18"/>
                </w:rPr>
                <w:t>www.fcc.gov/office-media-relations</w:t>
              </w:r>
            </w:hyperlink>
          </w:p>
          <w:p w14:paraId="269FD7B1" w14:textId="77777777" w:rsidR="00BD58D6" w:rsidRPr="008E066E" w:rsidRDefault="00BD58D6" w:rsidP="00B03CC9">
            <w:pPr>
              <w:ind w:right="240"/>
              <w:rPr>
                <w:sz w:val="22"/>
                <w:szCs w:val="22"/>
              </w:rPr>
            </w:pPr>
          </w:p>
          <w:p w14:paraId="5D227A3D" w14:textId="77777777" w:rsidR="00F67DA2" w:rsidRPr="008E066E" w:rsidRDefault="00F67DA2" w:rsidP="000E6ACF">
            <w:pPr>
              <w:rPr>
                <w:sz w:val="18"/>
                <w:szCs w:val="18"/>
              </w:rPr>
            </w:pPr>
          </w:p>
          <w:p w14:paraId="0EB8674E" w14:textId="77777777" w:rsidR="00EE0E90" w:rsidRPr="008E066E" w:rsidRDefault="0069420F" w:rsidP="0069420F">
            <w:pPr>
              <w:ind w:right="498"/>
              <w:jc w:val="center"/>
              <w:rPr>
                <w:bCs/>
                <w:i/>
                <w:sz w:val="22"/>
                <w:szCs w:val="22"/>
              </w:rPr>
            </w:pPr>
            <w:r w:rsidRPr="008E066E">
              <w:rPr>
                <w:bCs/>
                <w:i/>
                <w:sz w:val="18"/>
                <w:szCs w:val="18"/>
              </w:rPr>
              <w:t>This is an unofficial announcement of Commission action.  Release of the full text of a Commission order constitutes official action.  See MCI v. FCC, 515 F.2d 385 (D.C. Cir. 1974)</w:t>
            </w:r>
            <w:r w:rsidRPr="008E066E">
              <w:rPr>
                <w:bCs/>
                <w:i/>
                <w:sz w:val="22"/>
                <w:szCs w:val="22"/>
              </w:rPr>
              <w:t>.</w:t>
            </w:r>
          </w:p>
        </w:tc>
      </w:tr>
      <w:tr w:rsidR="000A2FB0" w:rsidRPr="008E066E" w14:paraId="0FFC3AAA" w14:textId="77777777" w:rsidTr="006D5D22">
        <w:trPr>
          <w:trHeight w:val="2181"/>
        </w:trPr>
        <w:tc>
          <w:tcPr>
            <w:tcW w:w="8856" w:type="dxa"/>
          </w:tcPr>
          <w:p w14:paraId="1F2600DF" w14:textId="77777777" w:rsidR="000A2FB0" w:rsidRPr="008E066E" w:rsidRDefault="000A2FB0" w:rsidP="006A7D75">
            <w:pPr>
              <w:jc w:val="center"/>
              <w:rPr>
                <w:b/>
                <w:i/>
                <w:noProof/>
                <w:sz w:val="28"/>
                <w:szCs w:val="28"/>
              </w:rPr>
            </w:pPr>
          </w:p>
        </w:tc>
      </w:tr>
    </w:tbl>
    <w:p w14:paraId="5A634274" w14:textId="77777777" w:rsidR="00D24C3D" w:rsidRPr="008E066E" w:rsidRDefault="00D24C3D">
      <w:pPr>
        <w:rPr>
          <w:b/>
          <w:bCs/>
          <w:sz w:val="2"/>
          <w:szCs w:val="2"/>
        </w:rPr>
      </w:pPr>
    </w:p>
    <w:sectPr w:rsidR="00D24C3D" w:rsidRPr="008E066E" w:rsidSect="00E43FB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2E1DE" w14:textId="77777777" w:rsidR="00623A19" w:rsidRDefault="00623A19" w:rsidP="003C41C6">
      <w:r>
        <w:separator/>
      </w:r>
    </w:p>
  </w:endnote>
  <w:endnote w:type="continuationSeparator" w:id="0">
    <w:p w14:paraId="0EDC2A83" w14:textId="77777777" w:rsidR="00623A19" w:rsidRDefault="00623A19" w:rsidP="003C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6223C" w14:textId="77777777" w:rsidR="005B62E8" w:rsidRDefault="005B6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91973"/>
      <w:docPartObj>
        <w:docPartGallery w:val="Page Numbers (Bottom of Page)"/>
        <w:docPartUnique/>
      </w:docPartObj>
    </w:sdtPr>
    <w:sdtEndPr>
      <w:rPr>
        <w:noProof/>
      </w:rPr>
    </w:sdtEndPr>
    <w:sdtContent>
      <w:p w14:paraId="517B941E" w14:textId="77777777" w:rsidR="0099370E" w:rsidRDefault="0099370E">
        <w:pPr>
          <w:pStyle w:val="Footer"/>
          <w:jc w:val="center"/>
        </w:pPr>
        <w:r>
          <w:fldChar w:fldCharType="begin"/>
        </w:r>
        <w:r>
          <w:instrText xml:space="preserve"> PAGE   \* MERGEFORMAT </w:instrText>
        </w:r>
        <w:r>
          <w:fldChar w:fldCharType="separate"/>
        </w:r>
        <w:r w:rsidR="0005482C">
          <w:rPr>
            <w:noProof/>
          </w:rPr>
          <w:t>1</w:t>
        </w:r>
        <w:r>
          <w:rPr>
            <w:noProof/>
          </w:rPr>
          <w:fldChar w:fldCharType="end"/>
        </w:r>
      </w:p>
    </w:sdtContent>
  </w:sdt>
  <w:p w14:paraId="0CEE2F2C" w14:textId="77777777" w:rsidR="00682A43" w:rsidRDefault="00682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0ACC" w14:textId="77777777" w:rsidR="005B62E8" w:rsidRDefault="005B6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3A5A3" w14:textId="77777777" w:rsidR="00623A19" w:rsidRDefault="00623A19" w:rsidP="003C41C6">
      <w:r>
        <w:separator/>
      </w:r>
    </w:p>
  </w:footnote>
  <w:footnote w:type="continuationSeparator" w:id="0">
    <w:p w14:paraId="61E799D5" w14:textId="77777777" w:rsidR="00623A19" w:rsidRDefault="00623A19" w:rsidP="003C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53B9B" w14:textId="77777777" w:rsidR="005B62E8" w:rsidRDefault="005B6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D614" w14:textId="77777777" w:rsidR="005B62E8" w:rsidRDefault="005B6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2A14" w14:textId="77777777" w:rsidR="005B62E8" w:rsidRDefault="005B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48A406D7"/>
    <w:multiLevelType w:val="hybridMultilevel"/>
    <w:tmpl w:val="0D9C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16BC2"/>
    <w:rsid w:val="00016C7F"/>
    <w:rsid w:val="0002035B"/>
    <w:rsid w:val="0002500C"/>
    <w:rsid w:val="000311FC"/>
    <w:rsid w:val="00040127"/>
    <w:rsid w:val="0005198D"/>
    <w:rsid w:val="0005482C"/>
    <w:rsid w:val="00062C1F"/>
    <w:rsid w:val="0006544E"/>
    <w:rsid w:val="00081232"/>
    <w:rsid w:val="00091E65"/>
    <w:rsid w:val="00096D4A"/>
    <w:rsid w:val="000A2FB0"/>
    <w:rsid w:val="000A38EA"/>
    <w:rsid w:val="000A65AE"/>
    <w:rsid w:val="000B475A"/>
    <w:rsid w:val="000C1E47"/>
    <w:rsid w:val="000C26F3"/>
    <w:rsid w:val="000D414A"/>
    <w:rsid w:val="000E049E"/>
    <w:rsid w:val="000E18BB"/>
    <w:rsid w:val="000E6ACF"/>
    <w:rsid w:val="0010745A"/>
    <w:rsid w:val="0010799B"/>
    <w:rsid w:val="00115CAF"/>
    <w:rsid w:val="00117DB2"/>
    <w:rsid w:val="00123ED2"/>
    <w:rsid w:val="00125BE0"/>
    <w:rsid w:val="00142C13"/>
    <w:rsid w:val="00152776"/>
    <w:rsid w:val="00153222"/>
    <w:rsid w:val="001577D3"/>
    <w:rsid w:val="001733A6"/>
    <w:rsid w:val="001831A7"/>
    <w:rsid w:val="001865A9"/>
    <w:rsid w:val="00187DB2"/>
    <w:rsid w:val="00196E5A"/>
    <w:rsid w:val="001B20BB"/>
    <w:rsid w:val="001B21F7"/>
    <w:rsid w:val="001C4370"/>
    <w:rsid w:val="001D15CB"/>
    <w:rsid w:val="001D3779"/>
    <w:rsid w:val="001D6FF1"/>
    <w:rsid w:val="001D732E"/>
    <w:rsid w:val="001F0469"/>
    <w:rsid w:val="00202A9D"/>
    <w:rsid w:val="00203A98"/>
    <w:rsid w:val="00206EDD"/>
    <w:rsid w:val="0021187C"/>
    <w:rsid w:val="00211BC8"/>
    <w:rsid w:val="0021247E"/>
    <w:rsid w:val="002146F6"/>
    <w:rsid w:val="002163E5"/>
    <w:rsid w:val="00231C32"/>
    <w:rsid w:val="00240345"/>
    <w:rsid w:val="002421F0"/>
    <w:rsid w:val="00247274"/>
    <w:rsid w:val="00247BC5"/>
    <w:rsid w:val="002541A5"/>
    <w:rsid w:val="00256238"/>
    <w:rsid w:val="00256A43"/>
    <w:rsid w:val="00265CBA"/>
    <w:rsid w:val="00266966"/>
    <w:rsid w:val="00273D26"/>
    <w:rsid w:val="00294C0C"/>
    <w:rsid w:val="00296118"/>
    <w:rsid w:val="002A0934"/>
    <w:rsid w:val="002A491F"/>
    <w:rsid w:val="002A7EF6"/>
    <w:rsid w:val="002B1013"/>
    <w:rsid w:val="002B464D"/>
    <w:rsid w:val="002B6B88"/>
    <w:rsid w:val="002D03E5"/>
    <w:rsid w:val="002D2AB1"/>
    <w:rsid w:val="002D5924"/>
    <w:rsid w:val="002E3F1D"/>
    <w:rsid w:val="002F139E"/>
    <w:rsid w:val="002F31D0"/>
    <w:rsid w:val="00300359"/>
    <w:rsid w:val="00313210"/>
    <w:rsid w:val="0031773E"/>
    <w:rsid w:val="00322437"/>
    <w:rsid w:val="00334FB7"/>
    <w:rsid w:val="00347716"/>
    <w:rsid w:val="003506E1"/>
    <w:rsid w:val="003650E7"/>
    <w:rsid w:val="003727E3"/>
    <w:rsid w:val="00376BAB"/>
    <w:rsid w:val="00383C68"/>
    <w:rsid w:val="00384176"/>
    <w:rsid w:val="00385A93"/>
    <w:rsid w:val="003910F1"/>
    <w:rsid w:val="003948C7"/>
    <w:rsid w:val="003A149D"/>
    <w:rsid w:val="003C41C6"/>
    <w:rsid w:val="003E42FC"/>
    <w:rsid w:val="003E5991"/>
    <w:rsid w:val="003F344A"/>
    <w:rsid w:val="00403FF0"/>
    <w:rsid w:val="0042046D"/>
    <w:rsid w:val="00425AEF"/>
    <w:rsid w:val="00426518"/>
    <w:rsid w:val="00427B06"/>
    <w:rsid w:val="00441E36"/>
    <w:rsid w:val="00441F59"/>
    <w:rsid w:val="00444E07"/>
    <w:rsid w:val="00444FA9"/>
    <w:rsid w:val="00463A6F"/>
    <w:rsid w:val="00473E9C"/>
    <w:rsid w:val="00480099"/>
    <w:rsid w:val="004937F1"/>
    <w:rsid w:val="00497858"/>
    <w:rsid w:val="004A01CD"/>
    <w:rsid w:val="004B4FEA"/>
    <w:rsid w:val="004C0ADA"/>
    <w:rsid w:val="004C433E"/>
    <w:rsid w:val="004C4512"/>
    <w:rsid w:val="004C4F36"/>
    <w:rsid w:val="004D3D85"/>
    <w:rsid w:val="004E2BD8"/>
    <w:rsid w:val="004F0F1F"/>
    <w:rsid w:val="004F5657"/>
    <w:rsid w:val="004F5D4E"/>
    <w:rsid w:val="00501866"/>
    <w:rsid w:val="005022AA"/>
    <w:rsid w:val="00504845"/>
    <w:rsid w:val="0050757F"/>
    <w:rsid w:val="005105AD"/>
    <w:rsid w:val="00516AD2"/>
    <w:rsid w:val="005411D2"/>
    <w:rsid w:val="00541CF6"/>
    <w:rsid w:val="00545DAE"/>
    <w:rsid w:val="00571A95"/>
    <w:rsid w:val="00571B83"/>
    <w:rsid w:val="00575A00"/>
    <w:rsid w:val="00576BA1"/>
    <w:rsid w:val="0058673C"/>
    <w:rsid w:val="00587D16"/>
    <w:rsid w:val="005A7972"/>
    <w:rsid w:val="005B17E7"/>
    <w:rsid w:val="005B2643"/>
    <w:rsid w:val="005B62E8"/>
    <w:rsid w:val="005C5C78"/>
    <w:rsid w:val="005D17FD"/>
    <w:rsid w:val="005F0D55"/>
    <w:rsid w:val="005F183E"/>
    <w:rsid w:val="006005D6"/>
    <w:rsid w:val="00600DDA"/>
    <w:rsid w:val="00604211"/>
    <w:rsid w:val="00613498"/>
    <w:rsid w:val="00617B94"/>
    <w:rsid w:val="00620BED"/>
    <w:rsid w:val="00623A19"/>
    <w:rsid w:val="006415B4"/>
    <w:rsid w:val="00642DD6"/>
    <w:rsid w:val="00644E3D"/>
    <w:rsid w:val="006516D1"/>
    <w:rsid w:val="00651B9E"/>
    <w:rsid w:val="00652019"/>
    <w:rsid w:val="00654C0D"/>
    <w:rsid w:val="00656563"/>
    <w:rsid w:val="0065765A"/>
    <w:rsid w:val="00657EC9"/>
    <w:rsid w:val="00665633"/>
    <w:rsid w:val="00674C86"/>
    <w:rsid w:val="0068015E"/>
    <w:rsid w:val="00682A43"/>
    <w:rsid w:val="006861AB"/>
    <w:rsid w:val="00686B89"/>
    <w:rsid w:val="006878E8"/>
    <w:rsid w:val="0069420F"/>
    <w:rsid w:val="006A2FC5"/>
    <w:rsid w:val="006A7863"/>
    <w:rsid w:val="006A7D75"/>
    <w:rsid w:val="006B0A70"/>
    <w:rsid w:val="006B606A"/>
    <w:rsid w:val="006C1BCE"/>
    <w:rsid w:val="006C33AF"/>
    <w:rsid w:val="006D5D22"/>
    <w:rsid w:val="006D648C"/>
    <w:rsid w:val="006E0324"/>
    <w:rsid w:val="006E4A76"/>
    <w:rsid w:val="006E5117"/>
    <w:rsid w:val="006F1DBD"/>
    <w:rsid w:val="00700556"/>
    <w:rsid w:val="00704A96"/>
    <w:rsid w:val="00711DA9"/>
    <w:rsid w:val="00712747"/>
    <w:rsid w:val="007167DD"/>
    <w:rsid w:val="0072478B"/>
    <w:rsid w:val="0073414D"/>
    <w:rsid w:val="00751D3E"/>
    <w:rsid w:val="0075235E"/>
    <w:rsid w:val="007528A5"/>
    <w:rsid w:val="007732CC"/>
    <w:rsid w:val="00774079"/>
    <w:rsid w:val="00774781"/>
    <w:rsid w:val="0077752B"/>
    <w:rsid w:val="00780497"/>
    <w:rsid w:val="00786AAF"/>
    <w:rsid w:val="00793D6F"/>
    <w:rsid w:val="00794090"/>
    <w:rsid w:val="007A44F8"/>
    <w:rsid w:val="007B2613"/>
    <w:rsid w:val="007C7205"/>
    <w:rsid w:val="007D21BF"/>
    <w:rsid w:val="007F15E2"/>
    <w:rsid w:val="007F3C12"/>
    <w:rsid w:val="007F5205"/>
    <w:rsid w:val="008001AA"/>
    <w:rsid w:val="00815AEF"/>
    <w:rsid w:val="008215E7"/>
    <w:rsid w:val="00825267"/>
    <w:rsid w:val="00830FC6"/>
    <w:rsid w:val="008536D4"/>
    <w:rsid w:val="00865EAA"/>
    <w:rsid w:val="00866F06"/>
    <w:rsid w:val="008728F5"/>
    <w:rsid w:val="008824C2"/>
    <w:rsid w:val="008827FE"/>
    <w:rsid w:val="008930CD"/>
    <w:rsid w:val="008960E4"/>
    <w:rsid w:val="00896FEC"/>
    <w:rsid w:val="008A3940"/>
    <w:rsid w:val="008A5754"/>
    <w:rsid w:val="008B13C9"/>
    <w:rsid w:val="008C248C"/>
    <w:rsid w:val="008C5432"/>
    <w:rsid w:val="008C7BF1"/>
    <w:rsid w:val="008D00D6"/>
    <w:rsid w:val="008D4D00"/>
    <w:rsid w:val="008D4E5E"/>
    <w:rsid w:val="008D7ABD"/>
    <w:rsid w:val="008E066E"/>
    <w:rsid w:val="008E55A2"/>
    <w:rsid w:val="008F1609"/>
    <w:rsid w:val="008F385E"/>
    <w:rsid w:val="008F66C2"/>
    <w:rsid w:val="008F78D8"/>
    <w:rsid w:val="00903614"/>
    <w:rsid w:val="00932415"/>
    <w:rsid w:val="00934FDF"/>
    <w:rsid w:val="00950E6A"/>
    <w:rsid w:val="00961620"/>
    <w:rsid w:val="009734B6"/>
    <w:rsid w:val="0098096F"/>
    <w:rsid w:val="0098437A"/>
    <w:rsid w:val="00986727"/>
    <w:rsid w:val="00986C92"/>
    <w:rsid w:val="0099370E"/>
    <w:rsid w:val="00993C47"/>
    <w:rsid w:val="009972BC"/>
    <w:rsid w:val="009A002C"/>
    <w:rsid w:val="009B4B16"/>
    <w:rsid w:val="009C2986"/>
    <w:rsid w:val="009C34F9"/>
    <w:rsid w:val="009C59E0"/>
    <w:rsid w:val="009D59F0"/>
    <w:rsid w:val="009E54A1"/>
    <w:rsid w:val="009F4E25"/>
    <w:rsid w:val="009F5B1F"/>
    <w:rsid w:val="009F68B4"/>
    <w:rsid w:val="00A02CCA"/>
    <w:rsid w:val="00A05D04"/>
    <w:rsid w:val="00A27E3E"/>
    <w:rsid w:val="00A35DFD"/>
    <w:rsid w:val="00A440F8"/>
    <w:rsid w:val="00A66CB3"/>
    <w:rsid w:val="00A702DF"/>
    <w:rsid w:val="00A775A3"/>
    <w:rsid w:val="00A81B5B"/>
    <w:rsid w:val="00A81C82"/>
    <w:rsid w:val="00A82FAD"/>
    <w:rsid w:val="00A9673A"/>
    <w:rsid w:val="00A96EF2"/>
    <w:rsid w:val="00AA24BA"/>
    <w:rsid w:val="00AA37B3"/>
    <w:rsid w:val="00AA5C35"/>
    <w:rsid w:val="00AA5ED9"/>
    <w:rsid w:val="00AB44E5"/>
    <w:rsid w:val="00AC0A38"/>
    <w:rsid w:val="00AC4E0E"/>
    <w:rsid w:val="00AC517B"/>
    <w:rsid w:val="00AD0D19"/>
    <w:rsid w:val="00AD51F9"/>
    <w:rsid w:val="00AF051B"/>
    <w:rsid w:val="00AF2372"/>
    <w:rsid w:val="00B037A2"/>
    <w:rsid w:val="00B03CC9"/>
    <w:rsid w:val="00B31855"/>
    <w:rsid w:val="00B31870"/>
    <w:rsid w:val="00B320B8"/>
    <w:rsid w:val="00B35EE2"/>
    <w:rsid w:val="00B36DEF"/>
    <w:rsid w:val="00B42C7F"/>
    <w:rsid w:val="00B45182"/>
    <w:rsid w:val="00B57131"/>
    <w:rsid w:val="00B62F2C"/>
    <w:rsid w:val="00B727C9"/>
    <w:rsid w:val="00B735C8"/>
    <w:rsid w:val="00B76A63"/>
    <w:rsid w:val="00B942C6"/>
    <w:rsid w:val="00BA6350"/>
    <w:rsid w:val="00BB257A"/>
    <w:rsid w:val="00BB4E29"/>
    <w:rsid w:val="00BB74C9"/>
    <w:rsid w:val="00BC104A"/>
    <w:rsid w:val="00BC3AB6"/>
    <w:rsid w:val="00BC6355"/>
    <w:rsid w:val="00BD19E8"/>
    <w:rsid w:val="00BD2D45"/>
    <w:rsid w:val="00BD4273"/>
    <w:rsid w:val="00BD58D6"/>
    <w:rsid w:val="00BF6A85"/>
    <w:rsid w:val="00C01483"/>
    <w:rsid w:val="00C06294"/>
    <w:rsid w:val="00C32920"/>
    <w:rsid w:val="00C432E4"/>
    <w:rsid w:val="00C45067"/>
    <w:rsid w:val="00C46176"/>
    <w:rsid w:val="00C47BCE"/>
    <w:rsid w:val="00C51BD8"/>
    <w:rsid w:val="00C70C26"/>
    <w:rsid w:val="00C71866"/>
    <w:rsid w:val="00C72001"/>
    <w:rsid w:val="00C76B51"/>
    <w:rsid w:val="00C772B7"/>
    <w:rsid w:val="00C80347"/>
    <w:rsid w:val="00CB7C1A"/>
    <w:rsid w:val="00CC5E08"/>
    <w:rsid w:val="00CE14FD"/>
    <w:rsid w:val="00CF6860"/>
    <w:rsid w:val="00D02AC6"/>
    <w:rsid w:val="00D03F0C"/>
    <w:rsid w:val="00D04312"/>
    <w:rsid w:val="00D166BA"/>
    <w:rsid w:val="00D16A7F"/>
    <w:rsid w:val="00D16AD2"/>
    <w:rsid w:val="00D22596"/>
    <w:rsid w:val="00D22691"/>
    <w:rsid w:val="00D24C3D"/>
    <w:rsid w:val="00D46CB1"/>
    <w:rsid w:val="00D5484B"/>
    <w:rsid w:val="00D663A6"/>
    <w:rsid w:val="00D67AC7"/>
    <w:rsid w:val="00D723F0"/>
    <w:rsid w:val="00D8133F"/>
    <w:rsid w:val="00D85F04"/>
    <w:rsid w:val="00D87E76"/>
    <w:rsid w:val="00D95B05"/>
    <w:rsid w:val="00D97E2D"/>
    <w:rsid w:val="00DA103D"/>
    <w:rsid w:val="00DA45D3"/>
    <w:rsid w:val="00DA4772"/>
    <w:rsid w:val="00DA7B44"/>
    <w:rsid w:val="00DB2667"/>
    <w:rsid w:val="00DB67B7"/>
    <w:rsid w:val="00DC15A9"/>
    <w:rsid w:val="00DC40AA"/>
    <w:rsid w:val="00DC5A88"/>
    <w:rsid w:val="00DD117B"/>
    <w:rsid w:val="00DD1750"/>
    <w:rsid w:val="00DD3692"/>
    <w:rsid w:val="00DD72FA"/>
    <w:rsid w:val="00DF24F0"/>
    <w:rsid w:val="00E349AA"/>
    <w:rsid w:val="00E41390"/>
    <w:rsid w:val="00E41CA0"/>
    <w:rsid w:val="00E4366B"/>
    <w:rsid w:val="00E43FBC"/>
    <w:rsid w:val="00E50A4A"/>
    <w:rsid w:val="00E606DE"/>
    <w:rsid w:val="00E61632"/>
    <w:rsid w:val="00E644FE"/>
    <w:rsid w:val="00E72733"/>
    <w:rsid w:val="00E742FA"/>
    <w:rsid w:val="00E74C11"/>
    <w:rsid w:val="00E76816"/>
    <w:rsid w:val="00E83DBF"/>
    <w:rsid w:val="00E84EC4"/>
    <w:rsid w:val="00E87C13"/>
    <w:rsid w:val="00E94CD9"/>
    <w:rsid w:val="00EA1A76"/>
    <w:rsid w:val="00EA290B"/>
    <w:rsid w:val="00EA52F9"/>
    <w:rsid w:val="00EA7AFF"/>
    <w:rsid w:val="00EB681F"/>
    <w:rsid w:val="00EC0C45"/>
    <w:rsid w:val="00EE0E90"/>
    <w:rsid w:val="00EE4903"/>
    <w:rsid w:val="00EE655F"/>
    <w:rsid w:val="00EF3B9B"/>
    <w:rsid w:val="00EF3BCA"/>
    <w:rsid w:val="00F01B0D"/>
    <w:rsid w:val="00F1238F"/>
    <w:rsid w:val="00F14394"/>
    <w:rsid w:val="00F16485"/>
    <w:rsid w:val="00F21C67"/>
    <w:rsid w:val="00F228ED"/>
    <w:rsid w:val="00F26E31"/>
    <w:rsid w:val="00F27C6C"/>
    <w:rsid w:val="00F335D2"/>
    <w:rsid w:val="00F34A8D"/>
    <w:rsid w:val="00F50D25"/>
    <w:rsid w:val="00F535D8"/>
    <w:rsid w:val="00F55C4D"/>
    <w:rsid w:val="00F61155"/>
    <w:rsid w:val="00F67DA2"/>
    <w:rsid w:val="00F708E3"/>
    <w:rsid w:val="00F71815"/>
    <w:rsid w:val="00F76561"/>
    <w:rsid w:val="00F84736"/>
    <w:rsid w:val="00F85591"/>
    <w:rsid w:val="00FB219B"/>
    <w:rsid w:val="00FB75DF"/>
    <w:rsid w:val="00FC6C29"/>
    <w:rsid w:val="00FD0FB9"/>
    <w:rsid w:val="00FD1FB7"/>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F8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2">
    <w:name w:val="heading 2"/>
    <w:basedOn w:val="Normal"/>
    <w:next w:val="Normal"/>
    <w:link w:val="Heading2Char"/>
    <w:semiHidden/>
    <w:unhideWhenUsed/>
    <w:qFormat/>
    <w:rsid w:val="00C76B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
    <w:basedOn w:val="DefaultParagraphFont"/>
    <w:link w:val="FootnoteText"/>
    <w:rsid w:val="00D663A6"/>
    <w:rPr>
      <w:rFonts w:asciiTheme="minorHAnsi" w:eastAsiaTheme="minorHAnsi" w:hAnsiTheme="minorHAnsi" w:cstheme="minorBidi"/>
    </w:rPr>
  </w:style>
  <w:style w:type="character" w:styleId="FootnoteReference">
    <w:name w:val="footnote reference"/>
    <w:basedOn w:val="DefaultParagraphFont"/>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Heading2Char">
    <w:name w:val="Heading 2 Char"/>
    <w:basedOn w:val="DefaultParagraphFont"/>
    <w:link w:val="Heading2"/>
    <w:semiHidden/>
    <w:rsid w:val="00C76B51"/>
    <w:rPr>
      <w:rFonts w:asciiTheme="majorHAnsi" w:eastAsiaTheme="majorEastAsia" w:hAnsiTheme="majorHAnsi" w:cstheme="majorBidi"/>
      <w:color w:val="365F91" w:themeColor="accent1" w:themeShade="BF"/>
      <w:sz w:val="26"/>
      <w:szCs w:val="26"/>
    </w:rPr>
  </w:style>
  <w:style w:type="paragraph" w:customStyle="1" w:styleId="Default">
    <w:name w:val="Default"/>
    <w:rsid w:val="00C76B51"/>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paragraph" w:styleId="Heading2">
    <w:name w:val="heading 2"/>
    <w:basedOn w:val="Normal"/>
    <w:next w:val="Normal"/>
    <w:link w:val="Heading2Char"/>
    <w:semiHidden/>
    <w:unhideWhenUsed/>
    <w:qFormat/>
    <w:rsid w:val="00C76B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52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C41C6"/>
    <w:rPr>
      <w:rFonts w:ascii="Tahoma" w:hAnsi="Tahoma" w:cs="Tahoma"/>
      <w:sz w:val="16"/>
      <w:szCs w:val="16"/>
    </w:rPr>
  </w:style>
  <w:style w:type="character" w:customStyle="1" w:styleId="BalloonTextChar">
    <w:name w:val="Balloon Text Char"/>
    <w:basedOn w:val="DefaultParagraphFont"/>
    <w:link w:val="BalloonText"/>
    <w:semiHidden/>
    <w:rsid w:val="003C41C6"/>
    <w:rPr>
      <w:rFonts w:ascii="Tahoma" w:hAnsi="Tahoma" w:cs="Tahoma"/>
      <w:sz w:val="16"/>
      <w:szCs w:val="16"/>
    </w:rPr>
  </w:style>
  <w:style w:type="paragraph" w:styleId="Header">
    <w:name w:val="header"/>
    <w:basedOn w:val="Normal"/>
    <w:link w:val="HeaderChar"/>
    <w:unhideWhenUsed/>
    <w:rsid w:val="003C41C6"/>
    <w:pPr>
      <w:tabs>
        <w:tab w:val="center" w:pos="4680"/>
        <w:tab w:val="right" w:pos="9360"/>
      </w:tabs>
    </w:pPr>
  </w:style>
  <w:style w:type="character" w:customStyle="1" w:styleId="HeaderChar">
    <w:name w:val="Header Char"/>
    <w:basedOn w:val="DefaultParagraphFont"/>
    <w:link w:val="Header"/>
    <w:rsid w:val="003C41C6"/>
    <w:rPr>
      <w:sz w:val="24"/>
      <w:szCs w:val="24"/>
    </w:rPr>
  </w:style>
  <w:style w:type="paragraph" w:styleId="Footer">
    <w:name w:val="footer"/>
    <w:basedOn w:val="Normal"/>
    <w:link w:val="FooterChar"/>
    <w:uiPriority w:val="99"/>
    <w:unhideWhenUsed/>
    <w:rsid w:val="003C41C6"/>
    <w:pPr>
      <w:tabs>
        <w:tab w:val="center" w:pos="4680"/>
        <w:tab w:val="right" w:pos="9360"/>
      </w:tabs>
    </w:pPr>
  </w:style>
  <w:style w:type="character" w:customStyle="1" w:styleId="FooterChar">
    <w:name w:val="Footer Char"/>
    <w:basedOn w:val="DefaultParagraphFont"/>
    <w:link w:val="Footer"/>
    <w:uiPriority w:val="99"/>
    <w:rsid w:val="003C41C6"/>
    <w:rPr>
      <w:sz w:val="24"/>
      <w:szCs w:val="24"/>
    </w:rPr>
  </w:style>
  <w:style w:type="paragraph" w:styleId="ListParagraph">
    <w:name w:val="List Paragraph"/>
    <w:basedOn w:val="Normal"/>
    <w:uiPriority w:val="34"/>
    <w:qFormat/>
    <w:rsid w:val="00D663A6"/>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
    <w:basedOn w:val="Normal"/>
    <w:link w:val="FootnoteTextChar"/>
    <w:unhideWhenUsed/>
    <w:rsid w:val="00D663A6"/>
    <w:rPr>
      <w:rFonts w:asciiTheme="minorHAnsi" w:eastAsiaTheme="minorHAnsi" w:hAnsiTheme="minorHAnsi" w:cstheme="minorBidi"/>
      <w:sz w:val="20"/>
      <w:szCs w:val="20"/>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
    <w:basedOn w:val="DefaultParagraphFont"/>
    <w:link w:val="FootnoteText"/>
    <w:rsid w:val="00D663A6"/>
    <w:rPr>
      <w:rFonts w:asciiTheme="minorHAnsi" w:eastAsiaTheme="minorHAnsi" w:hAnsiTheme="minorHAnsi" w:cstheme="minorBidi"/>
    </w:rPr>
  </w:style>
  <w:style w:type="character" w:styleId="FootnoteReference">
    <w:name w:val="footnote reference"/>
    <w:basedOn w:val="DefaultParagraphFont"/>
    <w:unhideWhenUsed/>
    <w:rsid w:val="00D663A6"/>
    <w:rPr>
      <w:vertAlign w:val="superscript"/>
    </w:rPr>
  </w:style>
  <w:style w:type="character" w:styleId="CommentReference">
    <w:name w:val="annotation reference"/>
    <w:basedOn w:val="DefaultParagraphFont"/>
    <w:semiHidden/>
    <w:unhideWhenUsed/>
    <w:rsid w:val="002B6B88"/>
    <w:rPr>
      <w:sz w:val="16"/>
      <w:szCs w:val="16"/>
    </w:rPr>
  </w:style>
  <w:style w:type="paragraph" w:styleId="CommentText">
    <w:name w:val="annotation text"/>
    <w:basedOn w:val="Normal"/>
    <w:link w:val="CommentTextChar"/>
    <w:semiHidden/>
    <w:unhideWhenUsed/>
    <w:rsid w:val="002B6B88"/>
    <w:rPr>
      <w:sz w:val="20"/>
      <w:szCs w:val="20"/>
    </w:rPr>
  </w:style>
  <w:style w:type="character" w:customStyle="1" w:styleId="CommentTextChar">
    <w:name w:val="Comment Text Char"/>
    <w:basedOn w:val="DefaultParagraphFont"/>
    <w:link w:val="CommentText"/>
    <w:semiHidden/>
    <w:rsid w:val="002B6B88"/>
  </w:style>
  <w:style w:type="paragraph" w:styleId="CommentSubject">
    <w:name w:val="annotation subject"/>
    <w:basedOn w:val="CommentText"/>
    <w:next w:val="CommentText"/>
    <w:link w:val="CommentSubjectChar"/>
    <w:semiHidden/>
    <w:unhideWhenUsed/>
    <w:rsid w:val="002B6B88"/>
    <w:rPr>
      <w:b/>
      <w:bCs/>
    </w:rPr>
  </w:style>
  <w:style w:type="character" w:customStyle="1" w:styleId="CommentSubjectChar">
    <w:name w:val="Comment Subject Char"/>
    <w:basedOn w:val="CommentTextChar"/>
    <w:link w:val="CommentSubject"/>
    <w:semiHidden/>
    <w:rsid w:val="002B6B88"/>
    <w:rPr>
      <w:b/>
      <w:bCs/>
    </w:rPr>
  </w:style>
  <w:style w:type="paragraph" w:styleId="Revision">
    <w:name w:val="Revision"/>
    <w:hidden/>
    <w:uiPriority w:val="99"/>
    <w:semiHidden/>
    <w:rsid w:val="002B6B88"/>
    <w:rPr>
      <w:sz w:val="24"/>
      <w:szCs w:val="24"/>
    </w:rPr>
  </w:style>
  <w:style w:type="character" w:customStyle="1" w:styleId="Heading3Char">
    <w:name w:val="Heading 3 Char"/>
    <w:basedOn w:val="DefaultParagraphFont"/>
    <w:link w:val="Heading3"/>
    <w:uiPriority w:val="9"/>
    <w:rsid w:val="00EA52F9"/>
    <w:rPr>
      <w:b/>
      <w:bCs/>
      <w:sz w:val="27"/>
      <w:szCs w:val="27"/>
    </w:rPr>
  </w:style>
  <w:style w:type="character" w:customStyle="1" w:styleId="Heading2Char">
    <w:name w:val="Heading 2 Char"/>
    <w:basedOn w:val="DefaultParagraphFont"/>
    <w:link w:val="Heading2"/>
    <w:semiHidden/>
    <w:rsid w:val="00C76B51"/>
    <w:rPr>
      <w:rFonts w:asciiTheme="majorHAnsi" w:eastAsiaTheme="majorEastAsia" w:hAnsiTheme="majorHAnsi" w:cstheme="majorBidi"/>
      <w:color w:val="365F91" w:themeColor="accent1" w:themeShade="BF"/>
      <w:sz w:val="26"/>
      <w:szCs w:val="26"/>
    </w:rPr>
  </w:style>
  <w:style w:type="paragraph" w:customStyle="1" w:styleId="Default">
    <w:name w:val="Default"/>
    <w:rsid w:val="00C76B51"/>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008">
      <w:bodyDiv w:val="1"/>
      <w:marLeft w:val="0"/>
      <w:marRight w:val="0"/>
      <w:marTop w:val="0"/>
      <w:marBottom w:val="0"/>
      <w:divBdr>
        <w:top w:val="none" w:sz="0" w:space="0" w:color="auto"/>
        <w:left w:val="none" w:sz="0" w:space="0" w:color="auto"/>
        <w:bottom w:val="none" w:sz="0" w:space="0" w:color="auto"/>
        <w:right w:val="none" w:sz="0" w:space="0" w:color="auto"/>
      </w:divBdr>
    </w:div>
    <w:div w:id="1665952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57200362">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138532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07791">
      <w:bodyDiv w:val="1"/>
      <w:marLeft w:val="0"/>
      <w:marRight w:val="0"/>
      <w:marTop w:val="0"/>
      <w:marBottom w:val="0"/>
      <w:divBdr>
        <w:top w:val="none" w:sz="0" w:space="0" w:color="auto"/>
        <w:left w:val="none" w:sz="0" w:space="0" w:color="auto"/>
        <w:bottom w:val="none" w:sz="0" w:space="0" w:color="auto"/>
        <w:right w:val="none" w:sz="0" w:space="0" w:color="auto"/>
      </w:divBdr>
    </w:div>
    <w:div w:id="1015114774">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0891816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59539278">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cey.Asht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cc.gov/general/international-traffic-and-revenue-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2.fcc.gov/section4362/login.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3118</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2016-07-01T17:45:00Z</dcterms:created>
  <dcterms:modified xsi:type="dcterms:W3CDTF">2016-07-01T17:45:00Z</dcterms:modified>
  <cp:category> </cp:category>
  <cp:contentStatus> </cp:contentStatus>
</cp:coreProperties>
</file>