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AB1B96">
        <w:rPr>
          <w:szCs w:val="22"/>
        </w:rPr>
        <w:t>FRONTIER COMMUNICATIONS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AB1B96">
        <w:rPr>
          <w:szCs w:val="22"/>
        </w:rPr>
        <w:t>184</w:t>
      </w:r>
      <w:r>
        <w:rPr>
          <w:szCs w:val="22"/>
        </w:rPr>
        <w:tab/>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AB1B96">
        <w:rPr>
          <w:szCs w:val="22"/>
        </w:rPr>
        <w:t xml:space="preserve">   </w:t>
      </w:r>
      <w:r w:rsidR="00733A59">
        <w:rPr>
          <w:szCs w:val="22"/>
        </w:rPr>
        <w:t>Ju</w:t>
      </w:r>
      <w:r w:rsidR="00AB1B96">
        <w:rPr>
          <w:szCs w:val="22"/>
        </w:rPr>
        <w:t>ly</w:t>
      </w:r>
      <w:r w:rsidR="00B068E1">
        <w:rPr>
          <w:szCs w:val="22"/>
        </w:rPr>
        <w:t xml:space="preserve"> </w:t>
      </w:r>
      <w:r w:rsidR="00AB1B96">
        <w:rPr>
          <w:szCs w:val="22"/>
        </w:rPr>
        <w:t>5</w:t>
      </w:r>
      <w:r w:rsidR="007A5827">
        <w:rPr>
          <w:szCs w:val="22"/>
        </w:rPr>
        <w:t>,</w:t>
      </w:r>
      <w:r>
        <w:rPr>
          <w:szCs w:val="22"/>
        </w:rPr>
        <w:t xml:space="preserve"> 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222363">
        <w:rPr>
          <w:szCs w:val="22"/>
        </w:rPr>
        <w:t>5</w:t>
      </w:r>
      <w:r w:rsidR="00AB1B96">
        <w:rPr>
          <w:szCs w:val="22"/>
        </w:rPr>
        <w:t>42</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AB1B96" w:rsidP="008C4E05">
      <w:pPr>
        <w:tabs>
          <w:tab w:val="left" w:pos="-720"/>
        </w:tabs>
        <w:suppressAutoHyphens/>
        <w:rPr>
          <w:b/>
          <w:szCs w:val="22"/>
          <w:u w:val="single"/>
        </w:rPr>
      </w:pPr>
      <w:r>
        <w:rPr>
          <w:szCs w:val="22"/>
        </w:rPr>
        <w:t>Frontier</w:t>
      </w:r>
      <w:r w:rsidR="00EC4A35">
        <w:rPr>
          <w:szCs w:val="22"/>
        </w:rPr>
        <w:t xml:space="preserve"> Communications</w:t>
      </w:r>
      <w:r w:rsidR="00197061">
        <w:rPr>
          <w:szCs w:val="22"/>
        </w:rPr>
        <w:t xml:space="preserve"> (</w:t>
      </w:r>
      <w:r>
        <w:rPr>
          <w:szCs w:val="22"/>
        </w:rPr>
        <w:t>Frontier</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AD5A0B">
        <w:rPr>
          <w:szCs w:val="22"/>
        </w:rPr>
        <w:t>.</w:t>
      </w:r>
      <w:r w:rsidR="00AD5A0B">
        <w:rPr>
          <w:rStyle w:val="FootnoteReference"/>
          <w:szCs w:val="22"/>
        </w:rPr>
        <w:footnoteReference w:id="1"/>
      </w:r>
      <w:r w:rsidR="00AD5A0B">
        <w:rPr>
          <w:szCs w:val="22"/>
        </w:rPr>
        <w:t xml:space="preserve">  </w:t>
      </w:r>
      <w:r w:rsidR="00F51A4B">
        <w:rPr>
          <w:szCs w:val="22"/>
        </w:rPr>
        <w:t xml:space="preserve">A copy of Frontier’s notice also may be obtained on the Internet at:  </w:t>
      </w:r>
      <w:hyperlink r:id="rId8" w:history="1">
        <w:r w:rsidR="00F51A4B" w:rsidRPr="00113D89">
          <w:rPr>
            <w:rStyle w:val="Hyperlink"/>
            <w:szCs w:val="22"/>
          </w:rPr>
          <w:t>http://wholesale.frontier.com/wholesale/notifications-and-news</w:t>
        </w:r>
      </w:hyperlink>
      <w:r w:rsidR="00F51A4B">
        <w:rPr>
          <w:szCs w:val="22"/>
        </w:rPr>
        <w:t xml:space="preserve">.  </w:t>
      </w:r>
      <w:r w:rsidR="00AD5A0B">
        <w:rPr>
          <w:szCs w:val="22"/>
        </w:rPr>
        <w:t>Upon initial review the filing appears to be complete.</w:t>
      </w:r>
      <w:r w:rsidR="00AD5A0B">
        <w:rPr>
          <w:rStyle w:val="FootnoteReference"/>
          <w:szCs w:val="22"/>
        </w:rPr>
        <w:footnoteReference w:id="2"/>
      </w:r>
      <w:r w:rsidR="00AD5A0B">
        <w:rPr>
          <w:szCs w:val="22"/>
        </w:rPr>
        <w:t xml:space="preserve">  </w:t>
      </w:r>
      <w:r w:rsidR="00717AEC">
        <w:rPr>
          <w:szCs w:val="22"/>
        </w:rPr>
        <w:t xml:space="preserve">In addition, </w:t>
      </w:r>
      <w:r>
        <w:rPr>
          <w:szCs w:val="22"/>
        </w:rPr>
        <w:t>Frontier</w:t>
      </w:r>
      <w:r w:rsidR="00717AEC">
        <w:rPr>
          <w:szCs w:val="22"/>
        </w:rPr>
        <w:t xml:space="preserve"> has filed </w:t>
      </w:r>
      <w:r>
        <w:rPr>
          <w:szCs w:val="22"/>
        </w:rPr>
        <w:t xml:space="preserve">initial </w:t>
      </w:r>
      <w:r w:rsidR="00717AEC">
        <w:rPr>
          <w:szCs w:val="22"/>
        </w:rPr>
        <w:t>certification pursuant to section 51.332(d)</w:t>
      </w:r>
      <w:r w:rsidR="006845BF">
        <w:rPr>
          <w:szCs w:val="22"/>
        </w:rPr>
        <w:t>.</w:t>
      </w:r>
      <w:r w:rsidR="00F12006">
        <w:rPr>
          <w:rStyle w:val="FootnoteReference"/>
          <w:szCs w:val="22"/>
        </w:rPr>
        <w:footnoteReference w:id="3"/>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7506DB" w:rsidRPr="007506DB" w:rsidRDefault="007506DB" w:rsidP="007506DB">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250"/>
        <w:gridCol w:w="2970"/>
        <w:gridCol w:w="2520"/>
      </w:tblGrid>
      <w:tr w:rsidR="007506DB" w:rsidRPr="007506DB" w:rsidTr="006211B2">
        <w:trPr>
          <w:trHeight w:val="305"/>
        </w:trPr>
        <w:tc>
          <w:tcPr>
            <w:tcW w:w="1620" w:type="dxa"/>
            <w:shd w:val="clear" w:color="auto" w:fill="auto"/>
          </w:tcPr>
          <w:p w:rsidR="007506DB" w:rsidRPr="007506DB" w:rsidRDefault="007506DB" w:rsidP="007506DB">
            <w:pPr>
              <w:tabs>
                <w:tab w:val="left" w:pos="-720"/>
              </w:tabs>
              <w:suppressAutoHyphens/>
              <w:rPr>
                <w:b/>
                <w:szCs w:val="22"/>
              </w:rPr>
            </w:pPr>
            <w:r w:rsidRPr="007506DB">
              <w:rPr>
                <w:b/>
                <w:szCs w:val="22"/>
              </w:rPr>
              <w:t>Notice Number</w:t>
            </w:r>
          </w:p>
        </w:tc>
        <w:tc>
          <w:tcPr>
            <w:tcW w:w="2250" w:type="dxa"/>
            <w:shd w:val="clear" w:color="auto" w:fill="auto"/>
          </w:tcPr>
          <w:p w:rsidR="007506DB" w:rsidRPr="007506DB" w:rsidRDefault="007506DB" w:rsidP="007506DB">
            <w:pPr>
              <w:tabs>
                <w:tab w:val="left" w:pos="-720"/>
              </w:tabs>
              <w:suppressAutoHyphens/>
              <w:rPr>
                <w:b/>
                <w:szCs w:val="22"/>
              </w:rPr>
            </w:pPr>
            <w:r w:rsidRPr="007506DB">
              <w:rPr>
                <w:b/>
                <w:szCs w:val="22"/>
              </w:rPr>
              <w:t>Type of Change(s)</w:t>
            </w:r>
          </w:p>
        </w:tc>
        <w:tc>
          <w:tcPr>
            <w:tcW w:w="2970" w:type="dxa"/>
            <w:shd w:val="clear" w:color="auto" w:fill="auto"/>
          </w:tcPr>
          <w:p w:rsidR="007506DB" w:rsidRPr="007506DB" w:rsidRDefault="007506DB" w:rsidP="007506DB">
            <w:pPr>
              <w:tabs>
                <w:tab w:val="left" w:pos="-720"/>
              </w:tabs>
              <w:suppressAutoHyphens/>
              <w:rPr>
                <w:b/>
                <w:szCs w:val="22"/>
              </w:rPr>
            </w:pPr>
            <w:r w:rsidRPr="007506DB">
              <w:rPr>
                <w:b/>
                <w:szCs w:val="22"/>
              </w:rPr>
              <w:t>Location of Change(s)</w:t>
            </w:r>
          </w:p>
        </w:tc>
        <w:tc>
          <w:tcPr>
            <w:tcW w:w="2520" w:type="dxa"/>
          </w:tcPr>
          <w:p w:rsidR="007506DB" w:rsidRPr="007506DB" w:rsidRDefault="007506DB" w:rsidP="007506DB">
            <w:pPr>
              <w:tabs>
                <w:tab w:val="left" w:pos="-720"/>
              </w:tabs>
              <w:suppressAutoHyphens/>
              <w:rPr>
                <w:b/>
                <w:szCs w:val="22"/>
              </w:rPr>
            </w:pPr>
            <w:r w:rsidRPr="007506DB">
              <w:rPr>
                <w:b/>
                <w:szCs w:val="22"/>
              </w:rPr>
              <w:t>Planned Implementation Date(s)</w:t>
            </w:r>
          </w:p>
        </w:tc>
      </w:tr>
      <w:tr w:rsidR="007506DB" w:rsidRPr="007506DB" w:rsidTr="006211B2">
        <w:tc>
          <w:tcPr>
            <w:tcW w:w="1620" w:type="dxa"/>
            <w:shd w:val="clear" w:color="auto" w:fill="auto"/>
          </w:tcPr>
          <w:p w:rsidR="007506DB" w:rsidRPr="007506DB" w:rsidRDefault="007506DB" w:rsidP="007506DB">
            <w:pPr>
              <w:tabs>
                <w:tab w:val="left" w:pos="-720"/>
              </w:tabs>
              <w:suppressAutoHyphens/>
              <w:rPr>
                <w:szCs w:val="22"/>
              </w:rPr>
            </w:pPr>
            <w:r w:rsidRPr="007506DB">
              <w:rPr>
                <w:szCs w:val="22"/>
              </w:rPr>
              <w:t>CCBFTR01</w:t>
            </w:r>
            <w:r>
              <w:rPr>
                <w:szCs w:val="22"/>
              </w:rPr>
              <w:t>221</w:t>
            </w:r>
          </w:p>
        </w:tc>
        <w:tc>
          <w:tcPr>
            <w:tcW w:w="2250" w:type="dxa"/>
            <w:shd w:val="clear" w:color="auto" w:fill="auto"/>
          </w:tcPr>
          <w:p w:rsidR="007506DB" w:rsidRPr="007506DB" w:rsidRDefault="007506DB" w:rsidP="007506DB">
            <w:pPr>
              <w:tabs>
                <w:tab w:val="left" w:pos="-720"/>
              </w:tabs>
              <w:suppressAutoHyphens/>
              <w:rPr>
                <w:szCs w:val="22"/>
              </w:rPr>
            </w:pPr>
            <w:r>
              <w:rPr>
                <w:szCs w:val="22"/>
              </w:rPr>
              <w:t>In response to a planned roadwork project, Frontier plans to retire a portion of its copper loops and replace them with fiber to the home.</w:t>
            </w:r>
          </w:p>
        </w:tc>
        <w:tc>
          <w:tcPr>
            <w:tcW w:w="2970" w:type="dxa"/>
            <w:shd w:val="clear" w:color="auto" w:fill="auto"/>
          </w:tcPr>
          <w:p w:rsidR="007506DB" w:rsidRPr="007506DB" w:rsidRDefault="007506DB" w:rsidP="00DB7ADB">
            <w:pPr>
              <w:tabs>
                <w:tab w:val="left" w:pos="-720"/>
              </w:tabs>
              <w:suppressAutoHyphens/>
              <w:rPr>
                <w:szCs w:val="22"/>
              </w:rPr>
            </w:pPr>
            <w:r>
              <w:rPr>
                <w:szCs w:val="22"/>
              </w:rPr>
              <w:t xml:space="preserve">Dallas, PA Central Office (DLLSPAXD) – 100 Lake Street, Dallas PA &amp; at facilities associated with the </w:t>
            </w:r>
            <w:r w:rsidR="00DB7ADB">
              <w:rPr>
                <w:szCs w:val="22"/>
              </w:rPr>
              <w:t>listed locations served by Frontier’s wire center (attached).</w:t>
            </w:r>
          </w:p>
        </w:tc>
        <w:tc>
          <w:tcPr>
            <w:tcW w:w="2520" w:type="dxa"/>
          </w:tcPr>
          <w:p w:rsidR="007506DB" w:rsidRPr="007506DB" w:rsidRDefault="00DB7ADB" w:rsidP="00DB7ADB">
            <w:pPr>
              <w:tabs>
                <w:tab w:val="left" w:pos="-720"/>
              </w:tabs>
              <w:suppressAutoHyphens/>
              <w:rPr>
                <w:szCs w:val="22"/>
              </w:rPr>
            </w:pPr>
            <w:r>
              <w:rPr>
                <w:szCs w:val="22"/>
              </w:rPr>
              <w:t>January 1, 2017</w:t>
            </w:r>
          </w:p>
        </w:tc>
      </w:tr>
    </w:tbl>
    <w:p w:rsidR="007506DB" w:rsidRPr="007506DB" w:rsidRDefault="007506DB" w:rsidP="007506DB">
      <w:pPr>
        <w:tabs>
          <w:tab w:val="left" w:pos="-72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96841" w:rsidRPr="00596841" w:rsidRDefault="00385989" w:rsidP="00596841">
      <w:pPr>
        <w:rPr>
          <w:szCs w:val="22"/>
        </w:rPr>
      </w:pPr>
      <w:r>
        <w:rPr>
          <w:szCs w:val="22"/>
        </w:rPr>
        <w:t>Deborah Fasciano</w:t>
      </w:r>
    </w:p>
    <w:p w:rsidR="00596841" w:rsidRPr="00596841" w:rsidRDefault="00596841" w:rsidP="00596841">
      <w:pPr>
        <w:rPr>
          <w:szCs w:val="22"/>
        </w:rPr>
      </w:pPr>
      <w:r w:rsidRPr="00596841">
        <w:rPr>
          <w:szCs w:val="22"/>
        </w:rPr>
        <w:t>Manager</w:t>
      </w:r>
      <w:r w:rsidR="00385989">
        <w:rPr>
          <w:szCs w:val="22"/>
        </w:rPr>
        <w:t>, Government &amp; External Affairs</w:t>
      </w:r>
    </w:p>
    <w:p w:rsidR="00596841" w:rsidRPr="00596841" w:rsidRDefault="00AB1B96" w:rsidP="00596841">
      <w:pPr>
        <w:rPr>
          <w:szCs w:val="22"/>
        </w:rPr>
      </w:pPr>
      <w:r>
        <w:rPr>
          <w:szCs w:val="22"/>
        </w:rPr>
        <w:t>Frontier</w:t>
      </w:r>
      <w:r w:rsidR="00596841" w:rsidRPr="00596841">
        <w:rPr>
          <w:szCs w:val="22"/>
        </w:rPr>
        <w:t xml:space="preserve"> </w:t>
      </w:r>
      <w:r w:rsidR="00385989">
        <w:rPr>
          <w:szCs w:val="22"/>
        </w:rPr>
        <w:t>Communications</w:t>
      </w:r>
    </w:p>
    <w:p w:rsidR="00596841" w:rsidRPr="00596841" w:rsidRDefault="00385989" w:rsidP="00596841">
      <w:pPr>
        <w:rPr>
          <w:szCs w:val="22"/>
        </w:rPr>
      </w:pPr>
      <w:r>
        <w:rPr>
          <w:szCs w:val="22"/>
        </w:rPr>
        <w:t>21 West Avenue</w:t>
      </w:r>
    </w:p>
    <w:p w:rsidR="00596841" w:rsidRPr="00596841" w:rsidRDefault="00385989" w:rsidP="00596841">
      <w:pPr>
        <w:rPr>
          <w:szCs w:val="22"/>
        </w:rPr>
      </w:pPr>
      <w:r>
        <w:rPr>
          <w:szCs w:val="22"/>
        </w:rPr>
        <w:t>Spencerport</w:t>
      </w:r>
      <w:r w:rsidR="00596841" w:rsidRPr="00596841">
        <w:rPr>
          <w:szCs w:val="22"/>
        </w:rPr>
        <w:t xml:space="preserve">, </w:t>
      </w:r>
      <w:r>
        <w:rPr>
          <w:szCs w:val="22"/>
        </w:rPr>
        <w:t>New York</w:t>
      </w:r>
      <w:r w:rsidR="00596841" w:rsidRPr="00596841">
        <w:rPr>
          <w:szCs w:val="22"/>
        </w:rPr>
        <w:t xml:space="preserve"> </w:t>
      </w:r>
      <w:r>
        <w:rPr>
          <w:szCs w:val="22"/>
        </w:rPr>
        <w:t>14559</w:t>
      </w:r>
      <w:r w:rsidR="00596841" w:rsidRPr="00596841">
        <w:rPr>
          <w:szCs w:val="22"/>
        </w:rPr>
        <w:tab/>
      </w:r>
      <w:r>
        <w:rPr>
          <w:szCs w:val="22"/>
        </w:rPr>
        <w:tab/>
      </w:r>
      <w:r w:rsidR="00596841" w:rsidRPr="00596841">
        <w:rPr>
          <w:szCs w:val="22"/>
        </w:rPr>
        <w:t>Phone:  (</w:t>
      </w:r>
      <w:r>
        <w:rPr>
          <w:szCs w:val="22"/>
        </w:rPr>
        <w:t>585</w:t>
      </w:r>
      <w:r w:rsidR="00596841" w:rsidRPr="00596841">
        <w:rPr>
          <w:szCs w:val="22"/>
        </w:rPr>
        <w:t xml:space="preserve">) </w:t>
      </w:r>
      <w:r>
        <w:rPr>
          <w:szCs w:val="22"/>
        </w:rPr>
        <w:t>777</w:t>
      </w:r>
      <w:r w:rsidR="00596841" w:rsidRPr="00596841">
        <w:rPr>
          <w:szCs w:val="22"/>
        </w:rPr>
        <w:t>-</w:t>
      </w:r>
      <w:r>
        <w:rPr>
          <w:szCs w:val="22"/>
        </w:rPr>
        <w:t>5823</w:t>
      </w:r>
    </w:p>
    <w:p w:rsidR="007F510F" w:rsidRPr="007F510F" w:rsidRDefault="007F510F" w:rsidP="007F510F">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 xml:space="preserve">are deemed approved on the 180th day after the release of the Commission’s public notice of the </w:t>
      </w:r>
      <w:r w:rsidR="00FA382A">
        <w:rPr>
          <w:szCs w:val="22"/>
        </w:rPr>
        <w:lastRenderedPageBreak/>
        <w:t>filing.</w:t>
      </w:r>
      <w:r w:rsidR="00FA382A">
        <w:rPr>
          <w:rStyle w:val="FootnoteReference"/>
          <w:szCs w:val="22"/>
        </w:rPr>
        <w:footnoteReference w:id="4"/>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903DBD">
          <w:rPr>
            <w:rStyle w:val="Hyperlink"/>
            <w:b/>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60D2">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BA" w:rsidRDefault="00531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p>
  </w:footnote>
  <w:footnote w:id="3">
    <w:p w:rsidR="00F12006" w:rsidRPr="003C294D" w:rsidRDefault="00F12006">
      <w:pPr>
        <w:pStyle w:val="FootnoteText"/>
      </w:pPr>
      <w:r>
        <w:rPr>
          <w:rStyle w:val="FootnoteReference"/>
        </w:rPr>
        <w:footnoteRef/>
      </w:r>
      <w:r>
        <w:t xml:space="preserve"> </w:t>
      </w:r>
      <w:r>
        <w:rPr>
          <w:i/>
          <w:sz w:val="20"/>
        </w:rPr>
        <w:t>See</w:t>
      </w:r>
      <w:r>
        <w:rPr>
          <w:sz w:val="20"/>
        </w:rPr>
        <w:t xml:space="preserve"> 47 CFR § 51.332(d).</w:t>
      </w:r>
      <w:r w:rsidR="006845BF">
        <w:rPr>
          <w:sz w:val="20"/>
        </w:rPr>
        <w:t xml:space="preserve">  Incumbent LECs </w:t>
      </w:r>
      <w:r w:rsidR="00F51A4B">
        <w:rPr>
          <w:sz w:val="20"/>
        </w:rPr>
        <w:t xml:space="preserve">must </w:t>
      </w:r>
      <w:r w:rsidR="006845BF">
        <w:rPr>
          <w:sz w:val="20"/>
        </w:rPr>
        <w:t>file certifica</w:t>
      </w:r>
      <w:r w:rsidR="003C294D">
        <w:rPr>
          <w:sz w:val="20"/>
        </w:rPr>
        <w:t xml:space="preserve">tion of all </w:t>
      </w:r>
      <w:r w:rsidR="00613572">
        <w:rPr>
          <w:sz w:val="20"/>
        </w:rPr>
        <w:t>t</w:t>
      </w:r>
      <w:r w:rsidR="003C294D">
        <w:rPr>
          <w:sz w:val="20"/>
        </w:rPr>
        <w:t xml:space="preserve">he information required under section 51.332(d) no later than 90 days after the release date of the Commission’s public notice.  </w:t>
      </w:r>
      <w:r w:rsidR="003C294D">
        <w:rPr>
          <w:i/>
          <w:sz w:val="20"/>
        </w:rPr>
        <w:t>Id</w:t>
      </w:r>
      <w:r w:rsidR="003C294D">
        <w:rPr>
          <w:sz w:val="20"/>
        </w:rPr>
        <w:t>.</w:t>
      </w:r>
    </w:p>
  </w:footnote>
  <w:footnote w:id="4">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5">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BA" w:rsidRDefault="00531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BA" w:rsidRDefault="005317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6D60D2">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29237736"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F0996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4029C"/>
    <w:rsid w:val="00040C59"/>
    <w:rsid w:val="00042D67"/>
    <w:rsid w:val="000438B5"/>
    <w:rsid w:val="00052894"/>
    <w:rsid w:val="00053204"/>
    <w:rsid w:val="0005623D"/>
    <w:rsid w:val="000576FE"/>
    <w:rsid w:val="00061458"/>
    <w:rsid w:val="000656C1"/>
    <w:rsid w:val="000656EF"/>
    <w:rsid w:val="0007319B"/>
    <w:rsid w:val="00083F6A"/>
    <w:rsid w:val="00084E7E"/>
    <w:rsid w:val="0008709F"/>
    <w:rsid w:val="000926AA"/>
    <w:rsid w:val="000957FF"/>
    <w:rsid w:val="000A0338"/>
    <w:rsid w:val="000A0E36"/>
    <w:rsid w:val="000A19E7"/>
    <w:rsid w:val="000A4121"/>
    <w:rsid w:val="000A4461"/>
    <w:rsid w:val="000A4B35"/>
    <w:rsid w:val="000A76ED"/>
    <w:rsid w:val="000B4970"/>
    <w:rsid w:val="000B4D5D"/>
    <w:rsid w:val="000B513B"/>
    <w:rsid w:val="000B5AE1"/>
    <w:rsid w:val="000C0C58"/>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733"/>
    <w:rsid w:val="00105748"/>
    <w:rsid w:val="00111840"/>
    <w:rsid w:val="001118D4"/>
    <w:rsid w:val="00111EB9"/>
    <w:rsid w:val="0011693B"/>
    <w:rsid w:val="001252C4"/>
    <w:rsid w:val="00130621"/>
    <w:rsid w:val="00132B0F"/>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641"/>
    <w:rsid w:val="00183251"/>
    <w:rsid w:val="00183FD1"/>
    <w:rsid w:val="001842AF"/>
    <w:rsid w:val="00190C3F"/>
    <w:rsid w:val="00192CF0"/>
    <w:rsid w:val="00193582"/>
    <w:rsid w:val="00194EB2"/>
    <w:rsid w:val="0019537D"/>
    <w:rsid w:val="001969E4"/>
    <w:rsid w:val="00197061"/>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6058"/>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6C1B"/>
    <w:rsid w:val="002A0BBB"/>
    <w:rsid w:val="002A1CA6"/>
    <w:rsid w:val="002A39E4"/>
    <w:rsid w:val="002A4028"/>
    <w:rsid w:val="002A7C47"/>
    <w:rsid w:val="002B0D31"/>
    <w:rsid w:val="002B277B"/>
    <w:rsid w:val="002B27EE"/>
    <w:rsid w:val="002B27F1"/>
    <w:rsid w:val="002B2E57"/>
    <w:rsid w:val="002B5C22"/>
    <w:rsid w:val="002B616D"/>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7CC"/>
    <w:rsid w:val="00320ADE"/>
    <w:rsid w:val="003227D7"/>
    <w:rsid w:val="00323CD4"/>
    <w:rsid w:val="00327AFB"/>
    <w:rsid w:val="00331A76"/>
    <w:rsid w:val="00332B18"/>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DB0"/>
    <w:rsid w:val="003B7BDE"/>
    <w:rsid w:val="003C21F6"/>
    <w:rsid w:val="003C2412"/>
    <w:rsid w:val="003C294D"/>
    <w:rsid w:val="003C38EC"/>
    <w:rsid w:val="003C6982"/>
    <w:rsid w:val="003D1DC2"/>
    <w:rsid w:val="003D2B53"/>
    <w:rsid w:val="003D3667"/>
    <w:rsid w:val="003D5239"/>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1AD0"/>
    <w:rsid w:val="00552245"/>
    <w:rsid w:val="00555400"/>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7793"/>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A50"/>
    <w:rsid w:val="005F184E"/>
    <w:rsid w:val="005F42E1"/>
    <w:rsid w:val="005F6AD0"/>
    <w:rsid w:val="005F7234"/>
    <w:rsid w:val="00602367"/>
    <w:rsid w:val="006106B2"/>
    <w:rsid w:val="006115FB"/>
    <w:rsid w:val="00613572"/>
    <w:rsid w:val="00615248"/>
    <w:rsid w:val="0061605D"/>
    <w:rsid w:val="00616192"/>
    <w:rsid w:val="00617C2F"/>
    <w:rsid w:val="006211B2"/>
    <w:rsid w:val="00621A8A"/>
    <w:rsid w:val="00623125"/>
    <w:rsid w:val="006237C0"/>
    <w:rsid w:val="0062432E"/>
    <w:rsid w:val="00626B0C"/>
    <w:rsid w:val="006317BD"/>
    <w:rsid w:val="00631DD2"/>
    <w:rsid w:val="00632091"/>
    <w:rsid w:val="00633753"/>
    <w:rsid w:val="00633DF3"/>
    <w:rsid w:val="00636267"/>
    <w:rsid w:val="00636895"/>
    <w:rsid w:val="00642964"/>
    <w:rsid w:val="00645558"/>
    <w:rsid w:val="00650232"/>
    <w:rsid w:val="00652132"/>
    <w:rsid w:val="00653B95"/>
    <w:rsid w:val="0065600E"/>
    <w:rsid w:val="00656B95"/>
    <w:rsid w:val="00657DEE"/>
    <w:rsid w:val="00660690"/>
    <w:rsid w:val="00662E86"/>
    <w:rsid w:val="006652DA"/>
    <w:rsid w:val="00665E94"/>
    <w:rsid w:val="006672DF"/>
    <w:rsid w:val="00667891"/>
    <w:rsid w:val="00667C75"/>
    <w:rsid w:val="006731C9"/>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3968"/>
    <w:rsid w:val="006F218F"/>
    <w:rsid w:val="006F5554"/>
    <w:rsid w:val="006F5700"/>
    <w:rsid w:val="0070048E"/>
    <w:rsid w:val="0070182E"/>
    <w:rsid w:val="00702BD5"/>
    <w:rsid w:val="007129CF"/>
    <w:rsid w:val="00713F2D"/>
    <w:rsid w:val="0071509A"/>
    <w:rsid w:val="0071618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3E68"/>
    <w:rsid w:val="00765BDE"/>
    <w:rsid w:val="0077000B"/>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709"/>
    <w:rsid w:val="008C4E05"/>
    <w:rsid w:val="008C5809"/>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A02352"/>
    <w:rsid w:val="00A04849"/>
    <w:rsid w:val="00A04FBB"/>
    <w:rsid w:val="00A079C5"/>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5A0B"/>
    <w:rsid w:val="00AD681F"/>
    <w:rsid w:val="00AD7BD1"/>
    <w:rsid w:val="00AE2359"/>
    <w:rsid w:val="00AE3DF1"/>
    <w:rsid w:val="00AE5CB7"/>
    <w:rsid w:val="00AE72B1"/>
    <w:rsid w:val="00AF11F1"/>
    <w:rsid w:val="00AF19AD"/>
    <w:rsid w:val="00AF4E03"/>
    <w:rsid w:val="00AF7005"/>
    <w:rsid w:val="00B000C7"/>
    <w:rsid w:val="00B00FD1"/>
    <w:rsid w:val="00B036DC"/>
    <w:rsid w:val="00B068E1"/>
    <w:rsid w:val="00B10DE3"/>
    <w:rsid w:val="00B12C65"/>
    <w:rsid w:val="00B131EA"/>
    <w:rsid w:val="00B13ADF"/>
    <w:rsid w:val="00B142FB"/>
    <w:rsid w:val="00B16D6F"/>
    <w:rsid w:val="00B17571"/>
    <w:rsid w:val="00B20441"/>
    <w:rsid w:val="00B227B0"/>
    <w:rsid w:val="00B23BB2"/>
    <w:rsid w:val="00B2459E"/>
    <w:rsid w:val="00B2754A"/>
    <w:rsid w:val="00B304EB"/>
    <w:rsid w:val="00B33DF5"/>
    <w:rsid w:val="00B34A3C"/>
    <w:rsid w:val="00B36CEC"/>
    <w:rsid w:val="00B444BA"/>
    <w:rsid w:val="00B446C6"/>
    <w:rsid w:val="00B45342"/>
    <w:rsid w:val="00B45520"/>
    <w:rsid w:val="00B46B4F"/>
    <w:rsid w:val="00B509C3"/>
    <w:rsid w:val="00B516E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3767"/>
    <w:rsid w:val="00C06D50"/>
    <w:rsid w:val="00C1093A"/>
    <w:rsid w:val="00C112CB"/>
    <w:rsid w:val="00C16975"/>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E96"/>
    <w:rsid w:val="00C70B28"/>
    <w:rsid w:val="00C72E84"/>
    <w:rsid w:val="00C7489E"/>
    <w:rsid w:val="00C74FBB"/>
    <w:rsid w:val="00C751FA"/>
    <w:rsid w:val="00C75D9E"/>
    <w:rsid w:val="00C80A1B"/>
    <w:rsid w:val="00C81436"/>
    <w:rsid w:val="00C821B9"/>
    <w:rsid w:val="00C8689E"/>
    <w:rsid w:val="00C9104F"/>
    <w:rsid w:val="00C94598"/>
    <w:rsid w:val="00C95CA9"/>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FD9"/>
    <w:rsid w:val="00CD1567"/>
    <w:rsid w:val="00CD2F6F"/>
    <w:rsid w:val="00CD72BC"/>
    <w:rsid w:val="00CE0670"/>
    <w:rsid w:val="00CE06F6"/>
    <w:rsid w:val="00CE08ED"/>
    <w:rsid w:val="00CE25FB"/>
    <w:rsid w:val="00CE2E7C"/>
    <w:rsid w:val="00CE5861"/>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60C"/>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281"/>
    <w:rsid w:val="00DC41DB"/>
    <w:rsid w:val="00DC54B3"/>
    <w:rsid w:val="00DE0985"/>
    <w:rsid w:val="00DE0DE0"/>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70A60"/>
    <w:rsid w:val="00E72376"/>
    <w:rsid w:val="00E74A6C"/>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064"/>
    <w:rsid w:val="00EA225F"/>
    <w:rsid w:val="00EA69AB"/>
    <w:rsid w:val="00EB1563"/>
    <w:rsid w:val="00EB21EF"/>
    <w:rsid w:val="00EB343C"/>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7CB4"/>
    <w:rsid w:val="00F27EB6"/>
    <w:rsid w:val="00F324D9"/>
    <w:rsid w:val="00F329DF"/>
    <w:rsid w:val="00F34241"/>
    <w:rsid w:val="00F3477F"/>
    <w:rsid w:val="00F36469"/>
    <w:rsid w:val="00F4040D"/>
    <w:rsid w:val="00F426CF"/>
    <w:rsid w:val="00F45DF4"/>
    <w:rsid w:val="00F46619"/>
    <w:rsid w:val="00F4677B"/>
    <w:rsid w:val="00F508E6"/>
    <w:rsid w:val="00F51A4B"/>
    <w:rsid w:val="00F51BDA"/>
    <w:rsid w:val="00F527CB"/>
    <w:rsid w:val="00F52882"/>
    <w:rsid w:val="00F54B63"/>
    <w:rsid w:val="00F54CF1"/>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holesale.frontier.com/wholesale/notifications-and-new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716</Words>
  <Characters>4164</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4908</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2016-07-05T19:29:00Z</dcterms:created>
  <dcterms:modified xsi:type="dcterms:W3CDTF">2016-07-05T19:29:00Z</dcterms:modified>
  <cp:category> </cp:category>
  <cp:contentStatus> </cp:contentStatus>
</cp:coreProperties>
</file>