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B0" w:rsidRDefault="000A2882" w:rsidP="000A2882">
      <w:pPr>
        <w:widowControl/>
        <w:tabs>
          <w:tab w:val="center" w:pos="4680"/>
        </w:tabs>
        <w:suppressAutoHyphens/>
        <w:jc w:val="center"/>
        <w:rPr>
          <w:b/>
          <w:szCs w:val="22"/>
        </w:rPr>
      </w:pPr>
      <w:bookmarkStart w:id="0" w:name="_GoBack"/>
      <w:bookmarkEnd w:id="0"/>
      <w:r w:rsidRPr="000A2882">
        <w:rPr>
          <w:b/>
          <w:szCs w:val="22"/>
        </w:rPr>
        <w:t xml:space="preserve">STATEMENT OF </w:t>
      </w:r>
    </w:p>
    <w:p w:rsidR="000A2882" w:rsidRPr="000A2882" w:rsidRDefault="000A2882" w:rsidP="000A2882">
      <w:pPr>
        <w:widowControl/>
        <w:tabs>
          <w:tab w:val="center" w:pos="4680"/>
        </w:tabs>
        <w:suppressAutoHyphens/>
        <w:jc w:val="center"/>
        <w:rPr>
          <w:b/>
          <w:szCs w:val="22"/>
        </w:rPr>
      </w:pPr>
      <w:r w:rsidRPr="000A2882">
        <w:rPr>
          <w:b/>
          <w:szCs w:val="22"/>
        </w:rPr>
        <w:t>COMMISSIONER MICHAEL O’RIELLY</w:t>
      </w:r>
    </w:p>
    <w:p w:rsidR="000A2882" w:rsidRPr="000A2882" w:rsidRDefault="000A2882" w:rsidP="000A2882">
      <w:pPr>
        <w:widowControl/>
        <w:tabs>
          <w:tab w:val="center" w:pos="4680"/>
        </w:tabs>
        <w:suppressAutoHyphens/>
        <w:jc w:val="center"/>
        <w:rPr>
          <w:b/>
          <w:szCs w:val="22"/>
        </w:rPr>
      </w:pPr>
      <w:r w:rsidRPr="000A2882">
        <w:rPr>
          <w:b/>
          <w:szCs w:val="22"/>
        </w:rPr>
        <w:t>APPROVING IN PART AND DISSENTING IN PART</w:t>
      </w:r>
    </w:p>
    <w:p w:rsidR="000A2882" w:rsidRDefault="000A2882" w:rsidP="000A2882">
      <w:pPr>
        <w:widowControl/>
        <w:tabs>
          <w:tab w:val="center" w:pos="4680"/>
        </w:tabs>
        <w:suppressAutoHyphens/>
        <w:rPr>
          <w:szCs w:val="22"/>
        </w:rPr>
      </w:pPr>
    </w:p>
    <w:p w:rsidR="00860CBF" w:rsidRPr="00E515AE" w:rsidRDefault="000A2882" w:rsidP="000A2882">
      <w:pPr>
        <w:widowControl/>
        <w:tabs>
          <w:tab w:val="center" w:pos="4680"/>
        </w:tabs>
        <w:suppressAutoHyphens/>
        <w:ind w:left="720" w:hanging="720"/>
        <w:rPr>
          <w:i/>
          <w:szCs w:val="22"/>
        </w:rPr>
      </w:pPr>
      <w:r w:rsidRPr="001540B0">
        <w:rPr>
          <w:szCs w:val="22"/>
        </w:rPr>
        <w:t>Re:</w:t>
      </w:r>
      <w:r w:rsidRPr="00E515AE">
        <w:rPr>
          <w:i/>
          <w:szCs w:val="22"/>
        </w:rPr>
        <w:tab/>
        <w:t>Technology Transitions</w:t>
      </w:r>
      <w:r w:rsidRPr="001540B0">
        <w:rPr>
          <w:szCs w:val="22"/>
        </w:rPr>
        <w:t>, GN Docket No. 13-5;</w:t>
      </w:r>
      <w:r w:rsidRPr="00E515AE">
        <w:rPr>
          <w:i/>
          <w:szCs w:val="22"/>
        </w:rPr>
        <w:t xml:space="preserve"> USTelecom Petition for Declaratory Ruling</w:t>
      </w:r>
      <w:r w:rsidRPr="00E515AE">
        <w:rPr>
          <w:i/>
          <w:sz w:val="20"/>
        </w:rPr>
        <w:t xml:space="preserve"> That </w:t>
      </w:r>
      <w:r w:rsidRPr="00E515AE">
        <w:rPr>
          <w:i/>
        </w:rPr>
        <w:t>Incumbent Local Exchange Carriers Are Non-Dominant in the Provision of Switched Access Services</w:t>
      </w:r>
      <w:r w:rsidRPr="001540B0">
        <w:t xml:space="preserve">, </w:t>
      </w:r>
      <w:r w:rsidRPr="001540B0">
        <w:rPr>
          <w:spacing w:val="-2"/>
        </w:rPr>
        <w:t>WC Docket No. 13-3;</w:t>
      </w:r>
      <w:r w:rsidRPr="00E515AE">
        <w:rPr>
          <w:i/>
          <w:spacing w:val="-2"/>
        </w:rPr>
        <w:t xml:space="preserve"> </w:t>
      </w:r>
      <w:r w:rsidRPr="00E515AE">
        <w:rPr>
          <w:i/>
          <w:szCs w:val="22"/>
        </w:rPr>
        <w:t>Policies and Rules Governing Retirement Of Copper Loops by Incumbent Local Exchange Carriers</w:t>
      </w:r>
      <w:r w:rsidRPr="001540B0">
        <w:rPr>
          <w:szCs w:val="22"/>
        </w:rPr>
        <w:t>,</w:t>
      </w:r>
      <w:r w:rsidRPr="00E515AE">
        <w:rPr>
          <w:i/>
          <w:szCs w:val="22"/>
        </w:rPr>
        <w:t xml:space="preserve"> </w:t>
      </w:r>
      <w:r w:rsidRPr="001540B0">
        <w:rPr>
          <w:szCs w:val="22"/>
        </w:rPr>
        <w:t>RM-11358</w:t>
      </w:r>
      <w:r w:rsidR="001540B0">
        <w:rPr>
          <w:szCs w:val="22"/>
        </w:rPr>
        <w:t>.</w:t>
      </w:r>
    </w:p>
    <w:p w:rsidR="000A2882" w:rsidRDefault="000A2882" w:rsidP="000A2882">
      <w:pPr>
        <w:widowControl/>
        <w:tabs>
          <w:tab w:val="center" w:pos="4680"/>
        </w:tabs>
        <w:suppressAutoHyphens/>
        <w:rPr>
          <w:szCs w:val="22"/>
        </w:rPr>
      </w:pPr>
    </w:p>
    <w:p w:rsidR="000A2882" w:rsidRDefault="000A2882" w:rsidP="000A2882">
      <w:pPr>
        <w:widowControl/>
        <w:suppressAutoHyphens/>
      </w:pPr>
      <w:r>
        <w:rPr>
          <w:szCs w:val="22"/>
        </w:rPr>
        <w:tab/>
        <w:t>I agree wholeheartedly with the Commission’s assessment that “[t]</w:t>
      </w:r>
      <w:r>
        <w:t>here has been an indisputable ‘</w:t>
      </w:r>
      <w:r w:rsidRPr="00351AC6">
        <w:t>societal and technological shift</w:t>
      </w:r>
      <w:r>
        <w:t>’</w:t>
      </w:r>
      <w:r w:rsidRPr="00351AC6">
        <w:t xml:space="preserve"> away from switched telephone service as a fixture of American life</w:t>
      </w:r>
      <w:r>
        <w:t xml:space="preserve">.”  </w:t>
      </w:r>
      <w:r w:rsidR="003F2062">
        <w:t>While switched access service “once dominated the landscape”</w:t>
      </w:r>
      <w:r>
        <w:t xml:space="preserve">, </w:t>
      </w:r>
      <w:r w:rsidR="003F2062">
        <w:t xml:space="preserve">demand for the service has “plummet[ed]” as </w:t>
      </w:r>
      <w:r>
        <w:t xml:space="preserve">consumers have switched to wireless and VoIP platforms—to the extent they make calls at all.  </w:t>
      </w:r>
      <w:r w:rsidR="003F2062">
        <w:t xml:space="preserve">Instead, consumers have voluntarily switched </w:t>
      </w:r>
      <w:r w:rsidR="000F1EC2">
        <w:t xml:space="preserve">to a degree for some and to a considerable amount for others </w:t>
      </w:r>
      <w:r w:rsidR="003F2062">
        <w:t xml:space="preserve">to </w:t>
      </w:r>
      <w:r w:rsidR="003F2062" w:rsidRPr="00351AC6">
        <w:t>text, email, video chat</w:t>
      </w:r>
      <w:r w:rsidR="003F2062">
        <w:t>,</w:t>
      </w:r>
      <w:r w:rsidR="003F2062" w:rsidRPr="00351AC6">
        <w:t xml:space="preserve"> and social networking applications</w:t>
      </w:r>
      <w:r w:rsidR="003F2062">
        <w:t xml:space="preserve"> to meet their communications needs.  </w:t>
      </w:r>
    </w:p>
    <w:p w:rsidR="003F2062" w:rsidRDefault="003F2062" w:rsidP="000A2882">
      <w:pPr>
        <w:widowControl/>
        <w:suppressAutoHyphens/>
      </w:pPr>
    </w:p>
    <w:p w:rsidR="003F2062" w:rsidRDefault="003F2062" w:rsidP="000A2882">
      <w:pPr>
        <w:widowControl/>
        <w:suppressAutoHyphens/>
      </w:pPr>
      <w:r>
        <w:tab/>
        <w:t xml:space="preserve">I am </w:t>
      </w:r>
      <w:r w:rsidR="000F1EC2">
        <w:t xml:space="preserve">pleased </w:t>
      </w:r>
      <w:r>
        <w:t>that the Commission recognize</w:t>
      </w:r>
      <w:r w:rsidR="00045879">
        <w:t>s</w:t>
      </w:r>
      <w:r>
        <w:t xml:space="preserve"> this and has finally </w:t>
      </w:r>
      <w:r w:rsidR="008E7F80">
        <w:t>issued a Declaratory Ruling granting</w:t>
      </w:r>
      <w:r>
        <w:t xml:space="preserve"> USTelecom’s long-pending petition for relief from dominant carrier regulations with respect to switched access voice.  While I would have decided the petition on broader grounds, and provided even greater relief, any step to remove unnecessary regulation is a step in the right direction. </w:t>
      </w:r>
    </w:p>
    <w:p w:rsidR="008E7F80" w:rsidRDefault="008E7F80" w:rsidP="000A2882">
      <w:pPr>
        <w:widowControl/>
        <w:suppressAutoHyphens/>
      </w:pPr>
    </w:p>
    <w:p w:rsidR="00B64C77" w:rsidRDefault="00E515AE" w:rsidP="00E515AE">
      <w:pPr>
        <w:widowControl/>
        <w:suppressAutoHyphens/>
        <w:ind w:firstLine="720"/>
      </w:pPr>
      <w:r>
        <w:t>However</w:t>
      </w:r>
      <w:r w:rsidR="008E7F80">
        <w:t xml:space="preserve">, </w:t>
      </w:r>
      <w:r w:rsidR="00DA35F9">
        <w:t>I find it hard to reconcile the</w:t>
      </w:r>
      <w:r w:rsidR="008E7F80">
        <w:t xml:space="preserve"> Commission’s findings </w:t>
      </w:r>
      <w:r w:rsidR="00DA35F9">
        <w:t xml:space="preserve">in the Declaratory Ruling </w:t>
      </w:r>
      <w:r w:rsidR="008E7F80">
        <w:t xml:space="preserve">that consumers </w:t>
      </w:r>
      <w:r w:rsidR="00DA35F9">
        <w:t xml:space="preserve">are </w:t>
      </w:r>
      <w:r w:rsidR="008E7F80">
        <w:t>“</w:t>
      </w:r>
      <w:r w:rsidR="008E7F80" w:rsidRPr="00351AC6">
        <w:t>increasingly able and willing to abandon their landlines in favor of communications technologies that do not rely on local telephone switches</w:t>
      </w:r>
      <w:r w:rsidR="008E7F80">
        <w:t xml:space="preserve">” </w:t>
      </w:r>
      <w:r w:rsidR="00DA35F9">
        <w:t>with the statement in the Second Report and Order that “</w:t>
      </w:r>
      <w:r w:rsidR="00DA35F9" w:rsidRPr="00FF4461">
        <w:t xml:space="preserve">the special and long-standing importance of voice service to consumers warrants developing </w:t>
      </w:r>
      <w:r w:rsidR="00DA35F9">
        <w:t xml:space="preserve">… </w:t>
      </w:r>
      <w:r w:rsidR="00DA35F9" w:rsidRPr="00FF4461">
        <w:t>additional criteria for streamlined treatment during technology transitions</w:t>
      </w:r>
      <w:r w:rsidR="00DA35F9">
        <w:t>.”</w:t>
      </w:r>
      <w:r w:rsidR="008E7F80">
        <w:t xml:space="preserve">  </w:t>
      </w:r>
      <w:r w:rsidR="00DA35F9">
        <w:t xml:space="preserve">This particular technology transition is nearly over.  </w:t>
      </w:r>
      <w:r w:rsidR="00B64C77">
        <w:t xml:space="preserve">The </w:t>
      </w:r>
      <w:r w:rsidR="00045879">
        <w:t>item states</w:t>
      </w:r>
      <w:r w:rsidR="00B64C77">
        <w:t xml:space="preserve"> that a</w:t>
      </w:r>
      <w:r w:rsidR="00B64C77" w:rsidRPr="00351AC6">
        <w:t xml:space="preserve">lmost 75 percent of </w:t>
      </w:r>
      <w:r w:rsidR="00B64C77">
        <w:t>U.S. residential customers (approximately 88 million households) no longer receive telephone service over traditional copper facilities</w:t>
      </w:r>
      <w:r w:rsidR="00DA35F9">
        <w:t xml:space="preserve">.  </w:t>
      </w:r>
    </w:p>
    <w:p w:rsidR="00B64C77" w:rsidRDefault="00B64C77" w:rsidP="008E7F80">
      <w:pPr>
        <w:widowControl/>
        <w:suppressAutoHyphens/>
      </w:pPr>
    </w:p>
    <w:p w:rsidR="008E7F80" w:rsidRDefault="00B64C77" w:rsidP="00B64C77">
      <w:pPr>
        <w:widowControl/>
        <w:suppressAutoHyphens/>
        <w:ind w:firstLine="720"/>
      </w:pPr>
      <w:r>
        <w:t xml:space="preserve">If it were so important to adopt criteria to ensure consumers receive an adequate replacement, that train left the station years ago.  The millions of consumers that have already abandoned </w:t>
      </w:r>
      <w:r w:rsidR="000F0C41">
        <w:t xml:space="preserve">legacy voice service </w:t>
      </w:r>
      <w:r w:rsidR="001A20A4">
        <w:t xml:space="preserve">seem to </w:t>
      </w:r>
      <w:r>
        <w:t xml:space="preserve">have their own criteria in mind, and there are a plethora of options that apparently meet those criteria.  </w:t>
      </w:r>
      <w:r w:rsidR="006811DD">
        <w:t>To the extent legacy voice service remains “special” to some consumers, the Commission could continue to ensure that consumers receive adequate notice of discontinuances</w:t>
      </w:r>
      <w:r w:rsidR="008C4495">
        <w:t xml:space="preserve"> so that they can plan accordingly</w:t>
      </w:r>
      <w:r w:rsidR="006811DD">
        <w:t>.  But in general, t</w:t>
      </w:r>
      <w:r w:rsidR="000F0C41">
        <w:t xml:space="preserve">he proper role for the Commission, at this stage, is </w:t>
      </w:r>
      <w:r w:rsidR="00045879">
        <w:t>to remove</w:t>
      </w:r>
      <w:r w:rsidR="00327060">
        <w:t xml:space="preserve"> obstacles to innovation and consumer choice</w:t>
      </w:r>
      <w:r w:rsidR="00045879">
        <w:t>, not create new ones</w:t>
      </w:r>
      <w:r w:rsidR="000F0C41">
        <w:t xml:space="preserve">.  </w:t>
      </w:r>
    </w:p>
    <w:p w:rsidR="000F0C41" w:rsidRDefault="000F0C41" w:rsidP="00B64C77">
      <w:pPr>
        <w:widowControl/>
        <w:suppressAutoHyphens/>
        <w:ind w:firstLine="720"/>
      </w:pPr>
    </w:p>
    <w:p w:rsidR="006368D2" w:rsidRDefault="006368D2" w:rsidP="006368D2">
      <w:pPr>
        <w:widowControl/>
        <w:suppressAutoHyphens/>
        <w:ind w:firstLine="720"/>
      </w:pPr>
      <w:r>
        <w:t xml:space="preserve">When I think of a streamlined process for discontinuing legacy services, </w:t>
      </w:r>
      <w:r w:rsidR="001A20A4">
        <w:t>I envision</w:t>
      </w:r>
      <w:r>
        <w:t xml:space="preserve"> fast tracking applications for services that are no longer widely used by consumers.  It would not entail </w:t>
      </w:r>
      <w:r w:rsidR="001A20A4">
        <w:t xml:space="preserve">things like </w:t>
      </w:r>
      <w:r w:rsidR="00667EE2">
        <w:t xml:space="preserve">three more prongs, </w:t>
      </w:r>
      <w:r>
        <w:t xml:space="preserve">network testing, </w:t>
      </w:r>
      <w:r w:rsidR="001A20A4">
        <w:t xml:space="preserve">cybersecurity certifications, </w:t>
      </w:r>
      <w:r>
        <w:t xml:space="preserve">promises to support fax machines for another </w:t>
      </w:r>
      <w:r w:rsidR="000D6D1B">
        <w:t>nine</w:t>
      </w:r>
      <w:r>
        <w:t xml:space="preserve"> years, or a “totality of the circumstances”</w:t>
      </w:r>
      <w:r w:rsidR="00667EE2">
        <w:t xml:space="preserve"> review, whatever that means</w:t>
      </w:r>
      <w:r>
        <w:t>.</w:t>
      </w:r>
      <w:r w:rsidR="00327060">
        <w:t xml:space="preserve">  Only the FCC could create a process that imports all of the existing rules, adds some new ones, makes no assurances about timing, and call it “streamlined” with a straight face.  </w:t>
      </w:r>
      <w:r w:rsidR="00431080">
        <w:t>And let’s face facts that despite how it is portrayed</w:t>
      </w:r>
      <w:r w:rsidR="00E515AE">
        <w:t>,</w:t>
      </w:r>
      <w:r w:rsidR="00431080">
        <w:t xml:space="preserve"> this new process is going to become the sole standard for getting Commission approval on such matters.  </w:t>
      </w:r>
    </w:p>
    <w:p w:rsidR="006368D2" w:rsidRDefault="006368D2" w:rsidP="006368D2">
      <w:pPr>
        <w:widowControl/>
        <w:suppressAutoHyphens/>
      </w:pPr>
    </w:p>
    <w:p w:rsidR="000F0C41" w:rsidRDefault="006811DD" w:rsidP="00B64C77">
      <w:pPr>
        <w:widowControl/>
        <w:suppressAutoHyphens/>
        <w:ind w:firstLine="720"/>
      </w:pPr>
      <w:r>
        <w:t xml:space="preserve">I am not surprised that the Commission goes to great length to stress how voluntary this process is because it does not actually comport with section 214 of the Act.  I do not begrudge any carrier that decides to take advantage of the new process.  However, I do not support the expansion of section 214 to </w:t>
      </w:r>
      <w:r w:rsidR="00684803">
        <w:t xml:space="preserve">implicitly </w:t>
      </w:r>
      <w:r>
        <w:t xml:space="preserve">regulate new services.  By </w:t>
      </w:r>
      <w:r w:rsidR="00401756">
        <w:t xml:space="preserve">effectively </w:t>
      </w:r>
      <w:r>
        <w:t xml:space="preserve">subjecting replacement offerings to rules originally </w:t>
      </w:r>
      <w:r>
        <w:lastRenderedPageBreak/>
        <w:t>adopted for legacy voice service</w:t>
      </w:r>
      <w:r w:rsidR="00684803">
        <w:t xml:space="preserve">, the Commission is further </w:t>
      </w:r>
      <w:r w:rsidR="00045879">
        <w:t>extending</w:t>
      </w:r>
      <w:r w:rsidR="008C4495">
        <w:t xml:space="preserve"> </w:t>
      </w:r>
      <w:r w:rsidR="00684803">
        <w:t xml:space="preserve">its regulatory </w:t>
      </w:r>
      <w:r w:rsidR="00045879">
        <w:t>overreach</w:t>
      </w:r>
      <w:r w:rsidR="00684803">
        <w:t>, and that is terrible precedent.</w:t>
      </w:r>
      <w:r w:rsidR="00D848BD">
        <w:t xml:space="preserve">  </w:t>
      </w:r>
    </w:p>
    <w:p w:rsidR="006368D2" w:rsidRDefault="006368D2" w:rsidP="00B64C77">
      <w:pPr>
        <w:widowControl/>
        <w:suppressAutoHyphens/>
        <w:ind w:firstLine="720"/>
      </w:pPr>
    </w:p>
    <w:p w:rsidR="00401756" w:rsidRDefault="008E7F80" w:rsidP="008E7F80">
      <w:pPr>
        <w:widowControl/>
        <w:suppressAutoHyphens/>
      </w:pPr>
      <w:r>
        <w:tab/>
      </w:r>
      <w:r w:rsidR="00D55B26">
        <w:t xml:space="preserve">Even worse, the Commission uses this </w:t>
      </w:r>
      <w:r w:rsidR="00D848BD">
        <w:t>optional</w:t>
      </w:r>
      <w:r w:rsidR="00D55B26">
        <w:t xml:space="preserve"> process as an excuse to </w:t>
      </w:r>
      <w:r w:rsidR="00401756">
        <w:t>create</w:t>
      </w:r>
      <w:r w:rsidR="00D55B26">
        <w:t xml:space="preserve"> cybersecurity require</w:t>
      </w:r>
      <w:r w:rsidR="00401756">
        <w:t>ments for replacement offerings</w:t>
      </w:r>
      <w:r w:rsidR="00D55B26">
        <w:t xml:space="preserve"> that never </w:t>
      </w:r>
      <w:r w:rsidR="00401756">
        <w:t>applied to legacy voice services.  As I have said many times, the Commission has no authority to adopt cybersecurity requirements</w:t>
      </w:r>
      <w:r w:rsidR="000F1EC2">
        <w:t xml:space="preserve">. While I certainly appreciate being lectured at our last meeting that somehow raising objections to illogical </w:t>
      </w:r>
      <w:r w:rsidR="008E2C95">
        <w:t>network protections</w:t>
      </w:r>
      <w:r w:rsidR="000F1EC2">
        <w:t xml:space="preserve"> was highly irresponsible, nothing changes the fact that </w:t>
      </w:r>
      <w:r w:rsidR="00401756">
        <w:t>cybersecurity is a</w:t>
      </w:r>
      <w:r w:rsidR="00D30FFF">
        <w:t>n</w:t>
      </w:r>
      <w:r w:rsidR="00401756">
        <w:t xml:space="preserve"> </w:t>
      </w:r>
      <w:r w:rsidR="00D30FFF">
        <w:t>important</w:t>
      </w:r>
      <w:r w:rsidR="00401756">
        <w:t xml:space="preserve"> issue </w:t>
      </w:r>
      <w:r w:rsidR="000F1EC2">
        <w:t xml:space="preserve">and </w:t>
      </w:r>
      <w:r w:rsidR="00401756">
        <w:t xml:space="preserve">Congress has assigned authority to </w:t>
      </w:r>
      <w:r w:rsidR="000F1EC2">
        <w:t xml:space="preserve">oversee </w:t>
      </w:r>
      <w:r w:rsidR="00E515AE">
        <w:t xml:space="preserve">it </w:t>
      </w:r>
      <w:r w:rsidR="000F1EC2">
        <w:t xml:space="preserve">to </w:t>
      </w:r>
      <w:r w:rsidR="00401756">
        <w:t>other agencies.</w:t>
      </w:r>
      <w:r w:rsidR="00E97C47">
        <w:t xml:space="preserve">  Therefore, I do not support its inclusion in this item, voluntary or not.</w:t>
      </w:r>
      <w:r w:rsidR="000F1EC2" w:rsidRPr="000F1EC2">
        <w:t xml:space="preserve"> </w:t>
      </w:r>
    </w:p>
    <w:p w:rsidR="00E515AE" w:rsidRDefault="00E515AE" w:rsidP="008E7F80">
      <w:pPr>
        <w:widowControl/>
        <w:suppressAutoHyphens/>
      </w:pPr>
    </w:p>
    <w:p w:rsidR="008E7F80" w:rsidRDefault="00401756" w:rsidP="00401756">
      <w:pPr>
        <w:widowControl/>
        <w:suppressAutoHyphens/>
        <w:ind w:firstLine="720"/>
      </w:pPr>
      <w:r>
        <w:t xml:space="preserve">Moreover, the cybersecurity section stands in stark contrast to other </w:t>
      </w:r>
      <w:r w:rsidR="003A2CA8">
        <w:t>part</w:t>
      </w:r>
      <w:r w:rsidR="00045879">
        <w:t>s</w:t>
      </w:r>
      <w:r w:rsidR="003A2CA8">
        <w:t xml:space="preserve"> of the item</w:t>
      </w:r>
      <w:r>
        <w:t>, where the Commission concludes “</w:t>
      </w:r>
      <w:r w:rsidRPr="008F3A3D">
        <w:t xml:space="preserve">this is not the appropriate forum in which to impose new </w:t>
      </w:r>
      <w:r>
        <w:t xml:space="preserve">substantive </w:t>
      </w:r>
      <w:r w:rsidRPr="008F3A3D">
        <w:t>requirements</w:t>
      </w:r>
      <w:r>
        <w:t xml:space="preserve">”.  </w:t>
      </w:r>
      <w:r w:rsidR="00635F65">
        <w:t xml:space="preserve">Of course, </w:t>
      </w:r>
      <w:r w:rsidR="00667EE2">
        <w:t xml:space="preserve">the Commission falls back on the familiar refrain that </w:t>
      </w:r>
      <w:r w:rsidR="00045879">
        <w:t>the new cybersecurity requirements are</w:t>
      </w:r>
      <w:r w:rsidR="007C5F44">
        <w:t xml:space="preserve"> limited to the voluntary process</w:t>
      </w:r>
      <w:r w:rsidR="00667EE2">
        <w:t xml:space="preserve">.  </w:t>
      </w:r>
      <w:r w:rsidR="007C5F44">
        <w:t>But the Commission has consistently dispelled the notion that its foray into cybersecurity is either limited or voluntary</w:t>
      </w:r>
      <w:r w:rsidR="00D30FFF">
        <w:t xml:space="preserve">.  </w:t>
      </w:r>
    </w:p>
    <w:p w:rsidR="00E74072" w:rsidRDefault="00E74072" w:rsidP="00401756">
      <w:pPr>
        <w:widowControl/>
        <w:suppressAutoHyphens/>
        <w:ind w:firstLine="720"/>
      </w:pPr>
    </w:p>
    <w:p w:rsidR="00D30FFF" w:rsidRDefault="00045879" w:rsidP="00401756">
      <w:pPr>
        <w:widowControl/>
        <w:suppressAutoHyphens/>
        <w:ind w:firstLine="720"/>
      </w:pPr>
      <w:r>
        <w:t>Regarding</w:t>
      </w:r>
      <w:r w:rsidR="00D30FFF">
        <w:t xml:space="preserve"> the Order on Reconsideration, </w:t>
      </w:r>
      <w:r>
        <w:t>I support the</w:t>
      </w:r>
      <w:r w:rsidR="00E97C47">
        <w:t xml:space="preserve"> common sense fix to ensure that competitive LECs are not potentially liable for violating our discontinuance rules for reasons entirely outside of their control.</w:t>
      </w:r>
    </w:p>
    <w:p w:rsidR="00045879" w:rsidRDefault="00045879" w:rsidP="00401756">
      <w:pPr>
        <w:widowControl/>
        <w:suppressAutoHyphens/>
        <w:ind w:firstLine="720"/>
      </w:pPr>
    </w:p>
    <w:p w:rsidR="00045879" w:rsidRDefault="00E74072" w:rsidP="00401756">
      <w:pPr>
        <w:widowControl/>
        <w:suppressAutoHyphens/>
        <w:ind w:firstLine="720"/>
      </w:pPr>
      <w:r>
        <w:t xml:space="preserve">In sum, </w:t>
      </w:r>
      <w:r w:rsidR="00C716D0">
        <w:t>I thank the Chairman and staff for working with me to come to resolution on the Declaratory Ruling</w:t>
      </w:r>
      <w:r>
        <w:t xml:space="preserve">, but I had hoped to see more progress made to remove </w:t>
      </w:r>
      <w:r w:rsidR="001928F5">
        <w:t xml:space="preserve">legacy rules and </w:t>
      </w:r>
      <w:r>
        <w:t>barriers to discontinue services that most consumers no longer use</w:t>
      </w:r>
      <w:r w:rsidR="00C716D0">
        <w:t xml:space="preserve">.  </w:t>
      </w:r>
      <w:r w:rsidR="00760F11">
        <w:t xml:space="preserve">Two and a half years ago, when </w:t>
      </w:r>
      <w:r w:rsidR="008E2C95">
        <w:t xml:space="preserve">the </w:t>
      </w:r>
      <w:r w:rsidR="00760F11">
        <w:t xml:space="preserve">Commission set up a voluntary process for technology transition trials, it was so laden with conditions that there were almost no participants.  I am skeptical that this latest voluntary process will be any different.  </w:t>
      </w:r>
    </w:p>
    <w:p w:rsidR="00045879" w:rsidRDefault="00045879" w:rsidP="00401756">
      <w:pPr>
        <w:widowControl/>
        <w:suppressAutoHyphens/>
        <w:ind w:firstLine="720"/>
      </w:pPr>
    </w:p>
    <w:p w:rsidR="00045879" w:rsidRDefault="00045879" w:rsidP="00401756">
      <w:pPr>
        <w:widowControl/>
        <w:suppressAutoHyphens/>
        <w:ind w:firstLine="720"/>
      </w:pPr>
    </w:p>
    <w:p w:rsidR="008E7F80" w:rsidRDefault="008E7F80" w:rsidP="003F2062">
      <w:pPr>
        <w:widowControl/>
        <w:suppressAutoHyphens/>
        <w:ind w:firstLine="720"/>
      </w:pPr>
    </w:p>
    <w:p w:rsidR="008E7F80" w:rsidRDefault="008E7F80" w:rsidP="003F2062">
      <w:pPr>
        <w:widowControl/>
        <w:suppressAutoHyphens/>
        <w:ind w:firstLine="720"/>
      </w:pPr>
    </w:p>
    <w:p w:rsidR="003F2062" w:rsidRDefault="003F2062" w:rsidP="000A2882">
      <w:pPr>
        <w:widowControl/>
        <w:suppressAutoHyphens/>
      </w:pPr>
    </w:p>
    <w:p w:rsidR="003F2062" w:rsidRDefault="003F2062" w:rsidP="000A2882">
      <w:pPr>
        <w:widowControl/>
        <w:suppressAutoHyphens/>
        <w:rPr>
          <w:szCs w:val="22"/>
        </w:rPr>
      </w:pPr>
      <w:r>
        <w:tab/>
      </w:r>
    </w:p>
    <w:p w:rsidR="000A2882" w:rsidRDefault="000A2882" w:rsidP="000A2882">
      <w:pPr>
        <w:widowControl/>
        <w:tabs>
          <w:tab w:val="center" w:pos="4680"/>
        </w:tabs>
        <w:suppressAutoHyphens/>
      </w:pPr>
    </w:p>
    <w:sectPr w:rsidR="000A28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9E" w:rsidRDefault="00F0429E" w:rsidP="000A2882">
      <w:r>
        <w:separator/>
      </w:r>
    </w:p>
  </w:endnote>
  <w:endnote w:type="continuationSeparator" w:id="0">
    <w:p w:rsidR="00F0429E" w:rsidRDefault="00F0429E" w:rsidP="000A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78" w:rsidRDefault="005B1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78" w:rsidRDefault="005B18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78" w:rsidRDefault="005B1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9E" w:rsidRDefault="00F0429E" w:rsidP="000A2882">
      <w:r>
        <w:separator/>
      </w:r>
    </w:p>
  </w:footnote>
  <w:footnote w:type="continuationSeparator" w:id="0">
    <w:p w:rsidR="00F0429E" w:rsidRDefault="00F0429E" w:rsidP="000A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78" w:rsidRDefault="005B1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78" w:rsidRDefault="005B1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78" w:rsidRDefault="005B1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82"/>
    <w:rsid w:val="00045879"/>
    <w:rsid w:val="000A2882"/>
    <w:rsid w:val="000D6D1B"/>
    <w:rsid w:val="000F0C41"/>
    <w:rsid w:val="000F1EC2"/>
    <w:rsid w:val="001540B0"/>
    <w:rsid w:val="001928F5"/>
    <w:rsid w:val="001A20A4"/>
    <w:rsid w:val="001E2AD7"/>
    <w:rsid w:val="00327060"/>
    <w:rsid w:val="00366FD0"/>
    <w:rsid w:val="003A2CA8"/>
    <w:rsid w:val="003F2062"/>
    <w:rsid w:val="00401756"/>
    <w:rsid w:val="00431080"/>
    <w:rsid w:val="004D3EE0"/>
    <w:rsid w:val="005B1878"/>
    <w:rsid w:val="00635F65"/>
    <w:rsid w:val="006368D2"/>
    <w:rsid w:val="00667EE2"/>
    <w:rsid w:val="006811DD"/>
    <w:rsid w:val="00684803"/>
    <w:rsid w:val="00760F11"/>
    <w:rsid w:val="007C5F44"/>
    <w:rsid w:val="007D3BF6"/>
    <w:rsid w:val="00860CBF"/>
    <w:rsid w:val="00864B1C"/>
    <w:rsid w:val="008C4495"/>
    <w:rsid w:val="008E2C95"/>
    <w:rsid w:val="008E7F80"/>
    <w:rsid w:val="00916BCF"/>
    <w:rsid w:val="00B64C77"/>
    <w:rsid w:val="00B835F2"/>
    <w:rsid w:val="00C716D0"/>
    <w:rsid w:val="00CC6A9A"/>
    <w:rsid w:val="00D274BD"/>
    <w:rsid w:val="00D30FFF"/>
    <w:rsid w:val="00D55B26"/>
    <w:rsid w:val="00D848BD"/>
    <w:rsid w:val="00DA35F9"/>
    <w:rsid w:val="00E515AE"/>
    <w:rsid w:val="00E74072"/>
    <w:rsid w:val="00E97C47"/>
    <w:rsid w:val="00F0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E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4D3EE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D3EE0"/>
    <w:pPr>
      <w:keepNext/>
      <w:numPr>
        <w:ilvl w:val="1"/>
        <w:numId w:val="3"/>
      </w:numPr>
      <w:spacing w:after="120"/>
      <w:outlineLvl w:val="1"/>
    </w:pPr>
    <w:rPr>
      <w:b/>
    </w:rPr>
  </w:style>
  <w:style w:type="paragraph" w:styleId="Heading3">
    <w:name w:val="heading 3"/>
    <w:basedOn w:val="Normal"/>
    <w:next w:val="ParaNum"/>
    <w:link w:val="Heading3Char"/>
    <w:qFormat/>
    <w:rsid w:val="004D3EE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D3EE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D3EE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D3EE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D3EE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D3EE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D3EE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D3E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3EE0"/>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4D3EE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0A2882"/>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4D3EE0"/>
    <w:rPr>
      <w:rFonts w:ascii="Times New Roman" w:hAnsi="Times New Roman"/>
      <w:dstrike w:val="0"/>
      <w:color w:val="auto"/>
      <w:sz w:val="20"/>
      <w:vertAlign w:val="superscript"/>
    </w:rPr>
  </w:style>
  <w:style w:type="character" w:styleId="CommentReference">
    <w:name w:val="annotation reference"/>
    <w:basedOn w:val="DefaultParagraphFont"/>
    <w:uiPriority w:val="99"/>
    <w:semiHidden/>
    <w:unhideWhenUsed/>
    <w:rsid w:val="001A20A4"/>
    <w:rPr>
      <w:sz w:val="16"/>
      <w:szCs w:val="16"/>
    </w:rPr>
  </w:style>
  <w:style w:type="paragraph" w:styleId="CommentText">
    <w:name w:val="annotation text"/>
    <w:basedOn w:val="Normal"/>
    <w:link w:val="CommentTextChar"/>
    <w:uiPriority w:val="99"/>
    <w:semiHidden/>
    <w:unhideWhenUsed/>
    <w:rsid w:val="001A20A4"/>
    <w:rPr>
      <w:sz w:val="20"/>
    </w:rPr>
  </w:style>
  <w:style w:type="character" w:customStyle="1" w:styleId="CommentTextChar">
    <w:name w:val="Comment Text Char"/>
    <w:basedOn w:val="DefaultParagraphFont"/>
    <w:link w:val="CommentText"/>
    <w:uiPriority w:val="99"/>
    <w:semiHidden/>
    <w:rsid w:val="001A20A4"/>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1A20A4"/>
    <w:rPr>
      <w:b/>
      <w:bCs/>
    </w:rPr>
  </w:style>
  <w:style w:type="character" w:customStyle="1" w:styleId="CommentSubjectChar">
    <w:name w:val="Comment Subject Char"/>
    <w:basedOn w:val="CommentTextChar"/>
    <w:link w:val="CommentSubject"/>
    <w:uiPriority w:val="99"/>
    <w:semiHidden/>
    <w:rsid w:val="001A20A4"/>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1A2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A4"/>
    <w:rPr>
      <w:rFonts w:ascii="Segoe UI" w:eastAsia="Times New Roman" w:hAnsi="Segoe UI" w:cs="Segoe UI"/>
      <w:snapToGrid w:val="0"/>
      <w:kern w:val="28"/>
      <w:sz w:val="18"/>
      <w:szCs w:val="18"/>
    </w:rPr>
  </w:style>
  <w:style w:type="character" w:customStyle="1" w:styleId="Heading1Char">
    <w:name w:val="Heading 1 Char"/>
    <w:basedOn w:val="DefaultParagraphFont"/>
    <w:link w:val="Heading1"/>
    <w:rsid w:val="00CC6A9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CC6A9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CC6A9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CC6A9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CC6A9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CC6A9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C6A9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C6A9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CC6A9A"/>
    <w:rPr>
      <w:rFonts w:ascii="Times New Roman" w:eastAsia="Times New Roman" w:hAnsi="Times New Roman" w:cs="Times New Roman"/>
      <w:b/>
      <w:snapToGrid w:val="0"/>
      <w:kern w:val="28"/>
      <w:szCs w:val="20"/>
    </w:rPr>
  </w:style>
  <w:style w:type="paragraph" w:customStyle="1" w:styleId="ParaNum">
    <w:name w:val="ParaNum"/>
    <w:basedOn w:val="Normal"/>
    <w:rsid w:val="004D3EE0"/>
    <w:pPr>
      <w:numPr>
        <w:numId w:val="2"/>
      </w:numPr>
      <w:tabs>
        <w:tab w:val="clear" w:pos="1080"/>
        <w:tab w:val="num" w:pos="1440"/>
      </w:tabs>
      <w:spacing w:after="120"/>
    </w:pPr>
  </w:style>
  <w:style w:type="paragraph" w:styleId="EndnoteText">
    <w:name w:val="endnote text"/>
    <w:basedOn w:val="Normal"/>
    <w:link w:val="EndnoteTextChar"/>
    <w:semiHidden/>
    <w:rsid w:val="004D3EE0"/>
    <w:rPr>
      <w:sz w:val="20"/>
    </w:rPr>
  </w:style>
  <w:style w:type="character" w:customStyle="1" w:styleId="EndnoteTextChar">
    <w:name w:val="Endnote Text Char"/>
    <w:basedOn w:val="DefaultParagraphFont"/>
    <w:link w:val="EndnoteText"/>
    <w:semiHidden/>
    <w:rsid w:val="00CC6A9A"/>
    <w:rPr>
      <w:rFonts w:ascii="Times New Roman" w:eastAsia="Times New Roman" w:hAnsi="Times New Roman" w:cs="Times New Roman"/>
      <w:snapToGrid w:val="0"/>
      <w:kern w:val="28"/>
      <w:sz w:val="20"/>
      <w:szCs w:val="20"/>
    </w:rPr>
  </w:style>
  <w:style w:type="character" w:styleId="EndnoteReference">
    <w:name w:val="endnote reference"/>
    <w:semiHidden/>
    <w:rsid w:val="004D3EE0"/>
    <w:rPr>
      <w:vertAlign w:val="superscript"/>
    </w:rPr>
  </w:style>
  <w:style w:type="paragraph" w:styleId="TOC1">
    <w:name w:val="toc 1"/>
    <w:basedOn w:val="Normal"/>
    <w:next w:val="Normal"/>
    <w:semiHidden/>
    <w:rsid w:val="004D3EE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D3EE0"/>
    <w:pPr>
      <w:tabs>
        <w:tab w:val="left" w:pos="720"/>
        <w:tab w:val="right" w:leader="dot" w:pos="9360"/>
      </w:tabs>
      <w:suppressAutoHyphens/>
      <w:ind w:left="720" w:right="720" w:hanging="360"/>
    </w:pPr>
    <w:rPr>
      <w:noProof/>
    </w:rPr>
  </w:style>
  <w:style w:type="paragraph" w:styleId="TOC3">
    <w:name w:val="toc 3"/>
    <w:basedOn w:val="Normal"/>
    <w:next w:val="Normal"/>
    <w:semiHidden/>
    <w:rsid w:val="004D3E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D3E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D3E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D3E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D3E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D3E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D3E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D3EE0"/>
    <w:pPr>
      <w:tabs>
        <w:tab w:val="right" w:pos="9360"/>
      </w:tabs>
      <w:suppressAutoHyphens/>
    </w:pPr>
  </w:style>
  <w:style w:type="character" w:customStyle="1" w:styleId="EquationCaption">
    <w:name w:val="_Equation Caption"/>
    <w:rsid w:val="004D3EE0"/>
  </w:style>
  <w:style w:type="paragraph" w:styleId="Header">
    <w:name w:val="header"/>
    <w:basedOn w:val="Normal"/>
    <w:link w:val="HeaderChar"/>
    <w:autoRedefine/>
    <w:rsid w:val="004D3EE0"/>
    <w:pPr>
      <w:tabs>
        <w:tab w:val="center" w:pos="4680"/>
        <w:tab w:val="right" w:pos="9360"/>
      </w:tabs>
    </w:pPr>
    <w:rPr>
      <w:b/>
    </w:rPr>
  </w:style>
  <w:style w:type="character" w:customStyle="1" w:styleId="HeaderChar">
    <w:name w:val="Header Char"/>
    <w:basedOn w:val="DefaultParagraphFont"/>
    <w:link w:val="Header"/>
    <w:rsid w:val="00CC6A9A"/>
    <w:rPr>
      <w:rFonts w:ascii="Times New Roman" w:eastAsia="Times New Roman" w:hAnsi="Times New Roman" w:cs="Times New Roman"/>
      <w:b/>
      <w:snapToGrid w:val="0"/>
      <w:kern w:val="28"/>
      <w:szCs w:val="20"/>
    </w:rPr>
  </w:style>
  <w:style w:type="paragraph" w:styleId="Footer">
    <w:name w:val="footer"/>
    <w:basedOn w:val="Normal"/>
    <w:link w:val="FooterChar"/>
    <w:rsid w:val="004D3EE0"/>
    <w:pPr>
      <w:tabs>
        <w:tab w:val="center" w:pos="4320"/>
        <w:tab w:val="right" w:pos="8640"/>
      </w:tabs>
    </w:pPr>
  </w:style>
  <w:style w:type="character" w:customStyle="1" w:styleId="FooterChar">
    <w:name w:val="Footer Char"/>
    <w:basedOn w:val="DefaultParagraphFont"/>
    <w:link w:val="Footer"/>
    <w:rsid w:val="00CC6A9A"/>
    <w:rPr>
      <w:rFonts w:ascii="Times New Roman" w:eastAsia="Times New Roman" w:hAnsi="Times New Roman" w:cs="Times New Roman"/>
      <w:snapToGrid w:val="0"/>
      <w:kern w:val="28"/>
      <w:szCs w:val="20"/>
    </w:rPr>
  </w:style>
  <w:style w:type="character" w:styleId="PageNumber">
    <w:name w:val="page number"/>
    <w:basedOn w:val="DefaultParagraphFont"/>
    <w:rsid w:val="004D3EE0"/>
  </w:style>
  <w:style w:type="paragraph" w:styleId="BlockText">
    <w:name w:val="Block Text"/>
    <w:basedOn w:val="Normal"/>
    <w:rsid w:val="004D3EE0"/>
    <w:pPr>
      <w:spacing w:after="240"/>
      <w:ind w:left="1440" w:right="1440"/>
    </w:pPr>
  </w:style>
  <w:style w:type="paragraph" w:customStyle="1" w:styleId="Paratitle">
    <w:name w:val="Para title"/>
    <w:basedOn w:val="Normal"/>
    <w:rsid w:val="004D3EE0"/>
    <w:pPr>
      <w:tabs>
        <w:tab w:val="center" w:pos="9270"/>
      </w:tabs>
      <w:spacing w:after="240"/>
    </w:pPr>
    <w:rPr>
      <w:spacing w:val="-2"/>
    </w:rPr>
  </w:style>
  <w:style w:type="paragraph" w:customStyle="1" w:styleId="Bullet">
    <w:name w:val="Bullet"/>
    <w:basedOn w:val="Normal"/>
    <w:rsid w:val="004D3EE0"/>
    <w:pPr>
      <w:tabs>
        <w:tab w:val="left" w:pos="2160"/>
      </w:tabs>
      <w:spacing w:after="220"/>
      <w:ind w:left="2160" w:hanging="720"/>
    </w:pPr>
  </w:style>
  <w:style w:type="paragraph" w:customStyle="1" w:styleId="TableFormat">
    <w:name w:val="TableFormat"/>
    <w:basedOn w:val="Bullet"/>
    <w:rsid w:val="004D3EE0"/>
    <w:pPr>
      <w:tabs>
        <w:tab w:val="clear" w:pos="2160"/>
        <w:tab w:val="left" w:pos="5040"/>
      </w:tabs>
      <w:ind w:left="5040" w:hanging="3600"/>
    </w:pPr>
  </w:style>
  <w:style w:type="paragraph" w:customStyle="1" w:styleId="TOCTitle">
    <w:name w:val="TOC Title"/>
    <w:basedOn w:val="Normal"/>
    <w:rsid w:val="004D3E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D3EE0"/>
    <w:pPr>
      <w:jc w:val="center"/>
    </w:pPr>
    <w:rPr>
      <w:rFonts w:ascii="Times New Roman Bold" w:hAnsi="Times New Roman Bold"/>
      <w:b/>
      <w:bCs/>
      <w:caps/>
      <w:szCs w:val="22"/>
    </w:rPr>
  </w:style>
  <w:style w:type="character" w:styleId="Hyperlink">
    <w:name w:val="Hyperlink"/>
    <w:rsid w:val="004D3E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E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4D3EE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D3EE0"/>
    <w:pPr>
      <w:keepNext/>
      <w:numPr>
        <w:ilvl w:val="1"/>
        <w:numId w:val="3"/>
      </w:numPr>
      <w:spacing w:after="120"/>
      <w:outlineLvl w:val="1"/>
    </w:pPr>
    <w:rPr>
      <w:b/>
    </w:rPr>
  </w:style>
  <w:style w:type="paragraph" w:styleId="Heading3">
    <w:name w:val="heading 3"/>
    <w:basedOn w:val="Normal"/>
    <w:next w:val="ParaNum"/>
    <w:link w:val="Heading3Char"/>
    <w:qFormat/>
    <w:rsid w:val="004D3EE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D3EE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D3EE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D3EE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D3EE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D3EE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D3EE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D3E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3EE0"/>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4D3EE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0A2882"/>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4D3EE0"/>
    <w:rPr>
      <w:rFonts w:ascii="Times New Roman" w:hAnsi="Times New Roman"/>
      <w:dstrike w:val="0"/>
      <w:color w:val="auto"/>
      <w:sz w:val="20"/>
      <w:vertAlign w:val="superscript"/>
    </w:rPr>
  </w:style>
  <w:style w:type="character" w:styleId="CommentReference">
    <w:name w:val="annotation reference"/>
    <w:basedOn w:val="DefaultParagraphFont"/>
    <w:uiPriority w:val="99"/>
    <w:semiHidden/>
    <w:unhideWhenUsed/>
    <w:rsid w:val="001A20A4"/>
    <w:rPr>
      <w:sz w:val="16"/>
      <w:szCs w:val="16"/>
    </w:rPr>
  </w:style>
  <w:style w:type="paragraph" w:styleId="CommentText">
    <w:name w:val="annotation text"/>
    <w:basedOn w:val="Normal"/>
    <w:link w:val="CommentTextChar"/>
    <w:uiPriority w:val="99"/>
    <w:semiHidden/>
    <w:unhideWhenUsed/>
    <w:rsid w:val="001A20A4"/>
    <w:rPr>
      <w:sz w:val="20"/>
    </w:rPr>
  </w:style>
  <w:style w:type="character" w:customStyle="1" w:styleId="CommentTextChar">
    <w:name w:val="Comment Text Char"/>
    <w:basedOn w:val="DefaultParagraphFont"/>
    <w:link w:val="CommentText"/>
    <w:uiPriority w:val="99"/>
    <w:semiHidden/>
    <w:rsid w:val="001A20A4"/>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1A20A4"/>
    <w:rPr>
      <w:b/>
      <w:bCs/>
    </w:rPr>
  </w:style>
  <w:style w:type="character" w:customStyle="1" w:styleId="CommentSubjectChar">
    <w:name w:val="Comment Subject Char"/>
    <w:basedOn w:val="CommentTextChar"/>
    <w:link w:val="CommentSubject"/>
    <w:uiPriority w:val="99"/>
    <w:semiHidden/>
    <w:rsid w:val="001A20A4"/>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1A2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A4"/>
    <w:rPr>
      <w:rFonts w:ascii="Segoe UI" w:eastAsia="Times New Roman" w:hAnsi="Segoe UI" w:cs="Segoe UI"/>
      <w:snapToGrid w:val="0"/>
      <w:kern w:val="28"/>
      <w:sz w:val="18"/>
      <w:szCs w:val="18"/>
    </w:rPr>
  </w:style>
  <w:style w:type="character" w:customStyle="1" w:styleId="Heading1Char">
    <w:name w:val="Heading 1 Char"/>
    <w:basedOn w:val="DefaultParagraphFont"/>
    <w:link w:val="Heading1"/>
    <w:rsid w:val="00CC6A9A"/>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CC6A9A"/>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CC6A9A"/>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CC6A9A"/>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CC6A9A"/>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CC6A9A"/>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C6A9A"/>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C6A9A"/>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CC6A9A"/>
    <w:rPr>
      <w:rFonts w:ascii="Times New Roman" w:eastAsia="Times New Roman" w:hAnsi="Times New Roman" w:cs="Times New Roman"/>
      <w:b/>
      <w:snapToGrid w:val="0"/>
      <w:kern w:val="28"/>
      <w:szCs w:val="20"/>
    </w:rPr>
  </w:style>
  <w:style w:type="paragraph" w:customStyle="1" w:styleId="ParaNum">
    <w:name w:val="ParaNum"/>
    <w:basedOn w:val="Normal"/>
    <w:rsid w:val="004D3EE0"/>
    <w:pPr>
      <w:numPr>
        <w:numId w:val="2"/>
      </w:numPr>
      <w:tabs>
        <w:tab w:val="clear" w:pos="1080"/>
        <w:tab w:val="num" w:pos="1440"/>
      </w:tabs>
      <w:spacing w:after="120"/>
    </w:pPr>
  </w:style>
  <w:style w:type="paragraph" w:styleId="EndnoteText">
    <w:name w:val="endnote text"/>
    <w:basedOn w:val="Normal"/>
    <w:link w:val="EndnoteTextChar"/>
    <w:semiHidden/>
    <w:rsid w:val="004D3EE0"/>
    <w:rPr>
      <w:sz w:val="20"/>
    </w:rPr>
  </w:style>
  <w:style w:type="character" w:customStyle="1" w:styleId="EndnoteTextChar">
    <w:name w:val="Endnote Text Char"/>
    <w:basedOn w:val="DefaultParagraphFont"/>
    <w:link w:val="EndnoteText"/>
    <w:semiHidden/>
    <w:rsid w:val="00CC6A9A"/>
    <w:rPr>
      <w:rFonts w:ascii="Times New Roman" w:eastAsia="Times New Roman" w:hAnsi="Times New Roman" w:cs="Times New Roman"/>
      <w:snapToGrid w:val="0"/>
      <w:kern w:val="28"/>
      <w:sz w:val="20"/>
      <w:szCs w:val="20"/>
    </w:rPr>
  </w:style>
  <w:style w:type="character" w:styleId="EndnoteReference">
    <w:name w:val="endnote reference"/>
    <w:semiHidden/>
    <w:rsid w:val="004D3EE0"/>
    <w:rPr>
      <w:vertAlign w:val="superscript"/>
    </w:rPr>
  </w:style>
  <w:style w:type="paragraph" w:styleId="TOC1">
    <w:name w:val="toc 1"/>
    <w:basedOn w:val="Normal"/>
    <w:next w:val="Normal"/>
    <w:semiHidden/>
    <w:rsid w:val="004D3EE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D3EE0"/>
    <w:pPr>
      <w:tabs>
        <w:tab w:val="left" w:pos="720"/>
        <w:tab w:val="right" w:leader="dot" w:pos="9360"/>
      </w:tabs>
      <w:suppressAutoHyphens/>
      <w:ind w:left="720" w:right="720" w:hanging="360"/>
    </w:pPr>
    <w:rPr>
      <w:noProof/>
    </w:rPr>
  </w:style>
  <w:style w:type="paragraph" w:styleId="TOC3">
    <w:name w:val="toc 3"/>
    <w:basedOn w:val="Normal"/>
    <w:next w:val="Normal"/>
    <w:semiHidden/>
    <w:rsid w:val="004D3E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D3E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D3E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D3E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D3E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D3E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D3E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D3EE0"/>
    <w:pPr>
      <w:tabs>
        <w:tab w:val="right" w:pos="9360"/>
      </w:tabs>
      <w:suppressAutoHyphens/>
    </w:pPr>
  </w:style>
  <w:style w:type="character" w:customStyle="1" w:styleId="EquationCaption">
    <w:name w:val="_Equation Caption"/>
    <w:rsid w:val="004D3EE0"/>
  </w:style>
  <w:style w:type="paragraph" w:styleId="Header">
    <w:name w:val="header"/>
    <w:basedOn w:val="Normal"/>
    <w:link w:val="HeaderChar"/>
    <w:autoRedefine/>
    <w:rsid w:val="004D3EE0"/>
    <w:pPr>
      <w:tabs>
        <w:tab w:val="center" w:pos="4680"/>
        <w:tab w:val="right" w:pos="9360"/>
      </w:tabs>
    </w:pPr>
    <w:rPr>
      <w:b/>
    </w:rPr>
  </w:style>
  <w:style w:type="character" w:customStyle="1" w:styleId="HeaderChar">
    <w:name w:val="Header Char"/>
    <w:basedOn w:val="DefaultParagraphFont"/>
    <w:link w:val="Header"/>
    <w:rsid w:val="00CC6A9A"/>
    <w:rPr>
      <w:rFonts w:ascii="Times New Roman" w:eastAsia="Times New Roman" w:hAnsi="Times New Roman" w:cs="Times New Roman"/>
      <w:b/>
      <w:snapToGrid w:val="0"/>
      <w:kern w:val="28"/>
      <w:szCs w:val="20"/>
    </w:rPr>
  </w:style>
  <w:style w:type="paragraph" w:styleId="Footer">
    <w:name w:val="footer"/>
    <w:basedOn w:val="Normal"/>
    <w:link w:val="FooterChar"/>
    <w:rsid w:val="004D3EE0"/>
    <w:pPr>
      <w:tabs>
        <w:tab w:val="center" w:pos="4320"/>
        <w:tab w:val="right" w:pos="8640"/>
      </w:tabs>
    </w:pPr>
  </w:style>
  <w:style w:type="character" w:customStyle="1" w:styleId="FooterChar">
    <w:name w:val="Footer Char"/>
    <w:basedOn w:val="DefaultParagraphFont"/>
    <w:link w:val="Footer"/>
    <w:rsid w:val="00CC6A9A"/>
    <w:rPr>
      <w:rFonts w:ascii="Times New Roman" w:eastAsia="Times New Roman" w:hAnsi="Times New Roman" w:cs="Times New Roman"/>
      <w:snapToGrid w:val="0"/>
      <w:kern w:val="28"/>
      <w:szCs w:val="20"/>
    </w:rPr>
  </w:style>
  <w:style w:type="character" w:styleId="PageNumber">
    <w:name w:val="page number"/>
    <w:basedOn w:val="DefaultParagraphFont"/>
    <w:rsid w:val="004D3EE0"/>
  </w:style>
  <w:style w:type="paragraph" w:styleId="BlockText">
    <w:name w:val="Block Text"/>
    <w:basedOn w:val="Normal"/>
    <w:rsid w:val="004D3EE0"/>
    <w:pPr>
      <w:spacing w:after="240"/>
      <w:ind w:left="1440" w:right="1440"/>
    </w:pPr>
  </w:style>
  <w:style w:type="paragraph" w:customStyle="1" w:styleId="Paratitle">
    <w:name w:val="Para title"/>
    <w:basedOn w:val="Normal"/>
    <w:rsid w:val="004D3EE0"/>
    <w:pPr>
      <w:tabs>
        <w:tab w:val="center" w:pos="9270"/>
      </w:tabs>
      <w:spacing w:after="240"/>
    </w:pPr>
    <w:rPr>
      <w:spacing w:val="-2"/>
    </w:rPr>
  </w:style>
  <w:style w:type="paragraph" w:customStyle="1" w:styleId="Bullet">
    <w:name w:val="Bullet"/>
    <w:basedOn w:val="Normal"/>
    <w:rsid w:val="004D3EE0"/>
    <w:pPr>
      <w:tabs>
        <w:tab w:val="left" w:pos="2160"/>
      </w:tabs>
      <w:spacing w:after="220"/>
      <w:ind w:left="2160" w:hanging="720"/>
    </w:pPr>
  </w:style>
  <w:style w:type="paragraph" w:customStyle="1" w:styleId="TableFormat">
    <w:name w:val="TableFormat"/>
    <w:basedOn w:val="Bullet"/>
    <w:rsid w:val="004D3EE0"/>
    <w:pPr>
      <w:tabs>
        <w:tab w:val="clear" w:pos="2160"/>
        <w:tab w:val="left" w:pos="5040"/>
      </w:tabs>
      <w:ind w:left="5040" w:hanging="3600"/>
    </w:pPr>
  </w:style>
  <w:style w:type="paragraph" w:customStyle="1" w:styleId="TOCTitle">
    <w:name w:val="TOC Title"/>
    <w:basedOn w:val="Normal"/>
    <w:rsid w:val="004D3E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D3EE0"/>
    <w:pPr>
      <w:jc w:val="center"/>
    </w:pPr>
    <w:rPr>
      <w:rFonts w:ascii="Times New Roman Bold" w:hAnsi="Times New Roman Bold"/>
      <w:b/>
      <w:bCs/>
      <w:caps/>
      <w:szCs w:val="22"/>
    </w:rPr>
  </w:style>
  <w:style w:type="character" w:styleId="Hyperlink">
    <w:name w:val="Hyperlink"/>
    <w:rsid w:val="004D3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898</Words>
  <Characters>4958</Characters>
  <Application>Microsoft Office Word</Application>
  <DocSecurity>0</DocSecurity>
  <Lines>83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2016-07-14T21:48:00Z</dcterms:created>
  <dcterms:modified xsi:type="dcterms:W3CDTF">2016-07-14T21:48:00Z</dcterms:modified>
  <cp:category> </cp:category>
  <cp:contentStatus> </cp:contentStatus>
</cp:coreProperties>
</file>