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6E146B" w14:textId="77777777" w:rsidR="0060228B" w:rsidRDefault="0060228B">
      <w:pPr>
        <w:jc w:val="center"/>
        <w:rPr>
          <w:b/>
        </w:rPr>
      </w:pPr>
      <w:bookmarkStart w:id="0" w:name="_GoBack"/>
      <w:bookmarkEnd w:id="0"/>
      <w:r>
        <w:rPr>
          <w:b/>
        </w:rPr>
        <w:t>Before the</w:t>
      </w:r>
    </w:p>
    <w:p w14:paraId="7711F2A2" w14:textId="77777777" w:rsidR="0060228B" w:rsidRDefault="0060228B">
      <w:pPr>
        <w:jc w:val="center"/>
        <w:rPr>
          <w:b/>
        </w:rPr>
      </w:pPr>
      <w:r>
        <w:rPr>
          <w:b/>
        </w:rPr>
        <w:t>Federal Communications Commission</w:t>
      </w:r>
    </w:p>
    <w:p w14:paraId="06961FAD" w14:textId="77777777" w:rsidR="0060228B" w:rsidRDefault="0060228B">
      <w:pPr>
        <w:jc w:val="center"/>
        <w:rPr>
          <w:b/>
        </w:rPr>
      </w:pPr>
      <w:smartTag w:uri="urn:schemas-microsoft-com:office:smarttags" w:element="place">
        <w:smartTag w:uri="urn:schemas-microsoft-com:office:smarttags" w:element="City">
          <w:r>
            <w:rPr>
              <w:b/>
            </w:rPr>
            <w:t>Washington</w:t>
          </w:r>
        </w:smartTag>
        <w:r>
          <w:rPr>
            <w:b/>
          </w:rPr>
          <w:t xml:space="preserve">, </w:t>
        </w:r>
        <w:smartTag w:uri="urn:schemas-microsoft-com:office:smarttags" w:element="State">
          <w:r>
            <w:rPr>
              <w:b/>
            </w:rPr>
            <w:t>D.C.</w:t>
          </w:r>
        </w:smartTag>
        <w:r>
          <w:rPr>
            <w:b/>
          </w:rPr>
          <w:t xml:space="preserve"> </w:t>
        </w:r>
        <w:smartTag w:uri="urn:schemas-microsoft-com:office:smarttags" w:element="PostalCode">
          <w:r>
            <w:rPr>
              <w:b/>
            </w:rPr>
            <w:t>20554</w:t>
          </w:r>
        </w:smartTag>
      </w:smartTag>
    </w:p>
    <w:p w14:paraId="4849E160" w14:textId="77777777" w:rsidR="0060228B" w:rsidRDefault="0060228B"/>
    <w:p w14:paraId="5557FC30" w14:textId="77777777" w:rsidR="0060228B" w:rsidRDefault="0060228B"/>
    <w:tbl>
      <w:tblPr>
        <w:tblW w:w="23742" w:type="dxa"/>
        <w:tblLayout w:type="fixed"/>
        <w:tblLook w:val="0000" w:firstRow="0" w:lastRow="0" w:firstColumn="0" w:lastColumn="0" w:noHBand="0" w:noVBand="0"/>
      </w:tblPr>
      <w:tblGrid>
        <w:gridCol w:w="4698"/>
        <w:gridCol w:w="630"/>
        <w:gridCol w:w="4068"/>
        <w:gridCol w:w="180"/>
        <w:gridCol w:w="4518"/>
        <w:gridCol w:w="4698"/>
        <w:gridCol w:w="720"/>
        <w:gridCol w:w="4230"/>
      </w:tblGrid>
      <w:tr w:rsidR="009F27FA" w14:paraId="57BC6CE2" w14:textId="77777777" w:rsidTr="009F27FA">
        <w:tc>
          <w:tcPr>
            <w:tcW w:w="4698" w:type="dxa"/>
          </w:tcPr>
          <w:p w14:paraId="2B728EE3" w14:textId="77777777" w:rsidR="009F27FA" w:rsidRDefault="009F27FA" w:rsidP="009F27FA">
            <w:pPr>
              <w:pStyle w:val="TOAHeading"/>
              <w:widowControl/>
              <w:tabs>
                <w:tab w:val="clear" w:pos="9360"/>
              </w:tabs>
              <w:suppressAutoHyphens w:val="0"/>
            </w:pPr>
          </w:p>
        </w:tc>
        <w:tc>
          <w:tcPr>
            <w:tcW w:w="4698" w:type="dxa"/>
            <w:gridSpan w:val="2"/>
          </w:tcPr>
          <w:p w14:paraId="64E05EF3" w14:textId="77777777" w:rsidR="009F27FA" w:rsidRDefault="009F27FA" w:rsidP="009F27FA">
            <w:pPr>
              <w:widowControl/>
              <w:tabs>
                <w:tab w:val="center" w:pos="4680"/>
              </w:tabs>
              <w:suppressAutoHyphens/>
              <w:rPr>
                <w:spacing w:val="-2"/>
              </w:rPr>
            </w:pPr>
          </w:p>
        </w:tc>
        <w:tc>
          <w:tcPr>
            <w:tcW w:w="4698" w:type="dxa"/>
            <w:gridSpan w:val="2"/>
          </w:tcPr>
          <w:p w14:paraId="0EA76ADE" w14:textId="77777777" w:rsidR="009F27FA" w:rsidRPr="000964D0" w:rsidRDefault="009F27FA" w:rsidP="009F27FA"/>
        </w:tc>
        <w:tc>
          <w:tcPr>
            <w:tcW w:w="4698" w:type="dxa"/>
          </w:tcPr>
          <w:p w14:paraId="47BB9147" w14:textId="77777777" w:rsidR="009F27FA" w:rsidRDefault="009F27FA" w:rsidP="009F27FA">
            <w:pPr>
              <w:ind w:right="-18"/>
            </w:pPr>
          </w:p>
        </w:tc>
        <w:tc>
          <w:tcPr>
            <w:tcW w:w="720" w:type="dxa"/>
          </w:tcPr>
          <w:p w14:paraId="01C12757" w14:textId="77777777" w:rsidR="009F27FA" w:rsidRDefault="009F27FA" w:rsidP="009F27FA">
            <w:pPr>
              <w:rPr>
                <w:b/>
              </w:rPr>
            </w:pPr>
          </w:p>
        </w:tc>
        <w:tc>
          <w:tcPr>
            <w:tcW w:w="4230" w:type="dxa"/>
          </w:tcPr>
          <w:p w14:paraId="6A0EE036" w14:textId="77777777" w:rsidR="009F27FA" w:rsidRPr="009C72E6" w:rsidRDefault="009F27FA" w:rsidP="009F27FA"/>
        </w:tc>
      </w:tr>
      <w:tr w:rsidR="009F27FA" w:rsidRPr="000964D0" w14:paraId="7DA4C878" w14:textId="77777777" w:rsidTr="009F27FA">
        <w:trPr>
          <w:gridAfter w:val="4"/>
          <w:wAfter w:w="14166" w:type="dxa"/>
        </w:trPr>
        <w:tc>
          <w:tcPr>
            <w:tcW w:w="4698" w:type="dxa"/>
          </w:tcPr>
          <w:p w14:paraId="72A9EED8" w14:textId="77777777" w:rsidR="009F27FA" w:rsidRDefault="009F27FA" w:rsidP="00BD0F7A">
            <w:pPr>
              <w:widowControl/>
              <w:tabs>
                <w:tab w:val="center" w:pos="4680"/>
              </w:tabs>
              <w:suppressAutoHyphens/>
              <w:rPr>
                <w:spacing w:val="-2"/>
              </w:rPr>
            </w:pPr>
            <w:r>
              <w:rPr>
                <w:spacing w:val="-2"/>
              </w:rPr>
              <w:t>In the Matter of</w:t>
            </w:r>
          </w:p>
          <w:p w14:paraId="7C3CBF03" w14:textId="77777777" w:rsidR="009F27FA" w:rsidRDefault="009F27FA" w:rsidP="00BD0F7A">
            <w:pPr>
              <w:widowControl/>
              <w:tabs>
                <w:tab w:val="center" w:pos="4680"/>
              </w:tabs>
              <w:suppressAutoHyphens/>
              <w:rPr>
                <w:spacing w:val="-2"/>
              </w:rPr>
            </w:pPr>
          </w:p>
          <w:p w14:paraId="4178E1AE" w14:textId="77777777" w:rsidR="009F27FA" w:rsidRDefault="009F27FA" w:rsidP="00BD0F7A">
            <w:pPr>
              <w:pStyle w:val="TOAHeading"/>
              <w:widowControl/>
              <w:tabs>
                <w:tab w:val="clear" w:pos="9360"/>
              </w:tabs>
              <w:suppressAutoHyphens w:val="0"/>
            </w:pPr>
            <w:r>
              <w:t xml:space="preserve">Use of Spectrum Bands Above 24 GHz For Mobile Radio Services </w:t>
            </w:r>
          </w:p>
          <w:p w14:paraId="5576B956" w14:textId="77777777" w:rsidR="009F27FA" w:rsidRDefault="009F27FA" w:rsidP="00BD0F7A"/>
          <w:p w14:paraId="46B0EC03" w14:textId="77777777" w:rsidR="009F27FA" w:rsidRPr="00740087" w:rsidRDefault="009F27FA" w:rsidP="00BD0F7A">
            <w:r>
              <w:t xml:space="preserve">Establishing a More Flexible Framework to Facilitate Satellite Operations in the 27.5-28.35 GHz and 37.5-40 GHz Bands </w:t>
            </w:r>
          </w:p>
          <w:p w14:paraId="0C5B0BC8" w14:textId="77777777" w:rsidR="009F27FA" w:rsidRDefault="009F27FA" w:rsidP="00BD0F7A"/>
          <w:p w14:paraId="1BDF9F39" w14:textId="77777777" w:rsidR="009F27FA" w:rsidRDefault="009F27FA" w:rsidP="00BD0F7A">
            <w:pPr>
              <w:rPr>
                <w:color w:val="000000"/>
                <w:szCs w:val="22"/>
              </w:rPr>
            </w:pPr>
            <w:r>
              <w:rPr>
                <w:color w:val="000000"/>
                <w:szCs w:val="22"/>
              </w:rPr>
              <w:t>Petition for Rulemaking of the Fixed Wireless Communications Coalition to Create Service Rules for the 42-43.5 GHz Band</w:t>
            </w:r>
          </w:p>
          <w:p w14:paraId="6CEBFD95" w14:textId="77777777" w:rsidR="009F27FA" w:rsidRDefault="009F27FA" w:rsidP="00BD0F7A">
            <w:pPr>
              <w:rPr>
                <w:color w:val="000000"/>
                <w:szCs w:val="22"/>
              </w:rPr>
            </w:pPr>
          </w:p>
          <w:p w14:paraId="346C3FF4" w14:textId="77777777" w:rsidR="009F27FA" w:rsidRDefault="009F27FA" w:rsidP="00BD0F7A">
            <w:pPr>
              <w:rPr>
                <w:color w:val="000000"/>
                <w:szCs w:val="22"/>
              </w:rPr>
            </w:pPr>
            <w:r w:rsidRPr="000964D0">
              <w:rPr>
                <w:color w:val="000000"/>
                <w:szCs w:val="22"/>
              </w:rPr>
              <w:t>Amendment of Parts 1, 22, 24, 27, 74, 80, 90, 95, and 101 To Establish Uniform License Renewal, Discontinuance of Operation, and Geographic Partitioning and Spectrum Disaggregation Rules and Policies for Certain Wireless Radio Services</w:t>
            </w:r>
          </w:p>
          <w:p w14:paraId="37DE532D" w14:textId="77777777" w:rsidR="009F27FA" w:rsidRDefault="009F27FA" w:rsidP="00BD0F7A">
            <w:pPr>
              <w:rPr>
                <w:color w:val="000000"/>
                <w:szCs w:val="22"/>
              </w:rPr>
            </w:pPr>
          </w:p>
          <w:p w14:paraId="6729AF86" w14:textId="77777777" w:rsidR="009F27FA" w:rsidRDefault="009F27FA" w:rsidP="00BD0F7A">
            <w:pPr>
              <w:rPr>
                <w:color w:val="000000"/>
                <w:szCs w:val="22"/>
              </w:rPr>
            </w:pPr>
            <w:r w:rsidRPr="000964D0">
              <w:rPr>
                <w:color w:val="000000"/>
                <w:szCs w:val="22"/>
              </w:rPr>
              <w:t>Allocation and Designation of Spectrum for Fixed-Satellite Services in the 37.5-38.5 GHz, 40.5-41.5 GHz and 48.2-50.2 GHz Frequency Bands; Allocation of Spectrum to Upgrade Fixed and Mobile Allocations in the 40.5-42.5 GHz Frequency Band;  Allocation of Spectrum in the 46.9-47.0 GHz Frequency Band for Wireless Services; and Allocation of Spectrum in the 37.0-38.0 GHz and 40.0-40.5 GHz for Government Operations</w:t>
            </w:r>
          </w:p>
          <w:p w14:paraId="453FA123" w14:textId="77777777" w:rsidR="009F27FA" w:rsidRDefault="009F27FA" w:rsidP="00BD0F7A">
            <w:pPr>
              <w:pStyle w:val="TOAHeading"/>
              <w:widowControl/>
              <w:tabs>
                <w:tab w:val="clear" w:pos="9360"/>
              </w:tabs>
              <w:suppressAutoHyphens w:val="0"/>
            </w:pPr>
          </w:p>
        </w:tc>
        <w:tc>
          <w:tcPr>
            <w:tcW w:w="630" w:type="dxa"/>
          </w:tcPr>
          <w:p w14:paraId="3515A66A" w14:textId="77777777" w:rsidR="009F27FA" w:rsidRDefault="009F27FA" w:rsidP="00BD0F7A">
            <w:pPr>
              <w:widowControl/>
              <w:tabs>
                <w:tab w:val="center" w:pos="4680"/>
              </w:tabs>
              <w:suppressAutoHyphens/>
              <w:rPr>
                <w:b/>
                <w:spacing w:val="-2"/>
              </w:rPr>
            </w:pPr>
            <w:r>
              <w:rPr>
                <w:b/>
                <w:spacing w:val="-2"/>
              </w:rPr>
              <w:t>)</w:t>
            </w:r>
          </w:p>
          <w:p w14:paraId="1A9DFD29" w14:textId="77777777" w:rsidR="009F27FA" w:rsidRDefault="009F27FA" w:rsidP="00BD0F7A">
            <w:pPr>
              <w:widowControl/>
              <w:tabs>
                <w:tab w:val="center" w:pos="4680"/>
              </w:tabs>
              <w:suppressAutoHyphens/>
              <w:rPr>
                <w:b/>
                <w:spacing w:val="-2"/>
              </w:rPr>
            </w:pPr>
            <w:r>
              <w:rPr>
                <w:b/>
                <w:spacing w:val="-2"/>
              </w:rPr>
              <w:t>)</w:t>
            </w:r>
          </w:p>
          <w:p w14:paraId="3A05E0C4" w14:textId="77777777" w:rsidR="009F27FA" w:rsidRDefault="009F27FA" w:rsidP="00BD0F7A">
            <w:pPr>
              <w:widowControl/>
              <w:tabs>
                <w:tab w:val="center" w:pos="4680"/>
              </w:tabs>
              <w:suppressAutoHyphens/>
              <w:rPr>
                <w:b/>
                <w:spacing w:val="-2"/>
              </w:rPr>
            </w:pPr>
            <w:r>
              <w:rPr>
                <w:b/>
                <w:spacing w:val="-2"/>
              </w:rPr>
              <w:t>)</w:t>
            </w:r>
          </w:p>
          <w:p w14:paraId="0E8C9500" w14:textId="77777777" w:rsidR="009F27FA" w:rsidRDefault="009F27FA" w:rsidP="00BD0F7A">
            <w:pPr>
              <w:widowControl/>
              <w:tabs>
                <w:tab w:val="center" w:pos="4680"/>
              </w:tabs>
              <w:suppressAutoHyphens/>
              <w:rPr>
                <w:b/>
                <w:spacing w:val="-2"/>
              </w:rPr>
            </w:pPr>
            <w:r>
              <w:rPr>
                <w:b/>
                <w:spacing w:val="-2"/>
              </w:rPr>
              <w:t>)</w:t>
            </w:r>
          </w:p>
          <w:p w14:paraId="423CD3A7" w14:textId="77777777" w:rsidR="009F27FA" w:rsidRDefault="009F27FA" w:rsidP="00BD0F7A">
            <w:pPr>
              <w:widowControl/>
              <w:tabs>
                <w:tab w:val="center" w:pos="4680"/>
              </w:tabs>
              <w:suppressAutoHyphens/>
              <w:rPr>
                <w:b/>
                <w:spacing w:val="-2"/>
              </w:rPr>
            </w:pPr>
            <w:r>
              <w:rPr>
                <w:b/>
                <w:spacing w:val="-2"/>
              </w:rPr>
              <w:t>)</w:t>
            </w:r>
          </w:p>
          <w:p w14:paraId="32907F6A" w14:textId="77777777" w:rsidR="009F27FA" w:rsidRDefault="009F27FA" w:rsidP="00BD0F7A">
            <w:pPr>
              <w:widowControl/>
              <w:tabs>
                <w:tab w:val="center" w:pos="4680"/>
              </w:tabs>
              <w:suppressAutoHyphens/>
              <w:rPr>
                <w:b/>
                <w:spacing w:val="-2"/>
              </w:rPr>
            </w:pPr>
            <w:r>
              <w:rPr>
                <w:b/>
                <w:spacing w:val="-2"/>
              </w:rPr>
              <w:t>)</w:t>
            </w:r>
          </w:p>
          <w:p w14:paraId="6C74E5DD" w14:textId="77777777" w:rsidR="009F27FA" w:rsidRDefault="009F27FA" w:rsidP="00BD0F7A">
            <w:pPr>
              <w:widowControl/>
              <w:tabs>
                <w:tab w:val="center" w:pos="4680"/>
              </w:tabs>
              <w:suppressAutoHyphens/>
              <w:rPr>
                <w:b/>
                <w:spacing w:val="-2"/>
              </w:rPr>
            </w:pPr>
            <w:r>
              <w:rPr>
                <w:b/>
                <w:spacing w:val="-2"/>
              </w:rPr>
              <w:t>)</w:t>
            </w:r>
          </w:p>
          <w:p w14:paraId="5BA33FC0" w14:textId="77777777" w:rsidR="009F27FA" w:rsidRDefault="009F27FA" w:rsidP="00BD0F7A">
            <w:pPr>
              <w:widowControl/>
              <w:tabs>
                <w:tab w:val="center" w:pos="4680"/>
              </w:tabs>
              <w:suppressAutoHyphens/>
              <w:rPr>
                <w:b/>
                <w:spacing w:val="-2"/>
              </w:rPr>
            </w:pPr>
            <w:r>
              <w:rPr>
                <w:b/>
                <w:spacing w:val="-2"/>
              </w:rPr>
              <w:t>)</w:t>
            </w:r>
          </w:p>
          <w:p w14:paraId="20D19B51" w14:textId="77777777" w:rsidR="009F27FA" w:rsidRDefault="009F27FA" w:rsidP="00BD0F7A">
            <w:pPr>
              <w:widowControl/>
              <w:tabs>
                <w:tab w:val="center" w:pos="4680"/>
              </w:tabs>
              <w:suppressAutoHyphens/>
              <w:rPr>
                <w:b/>
                <w:spacing w:val="-2"/>
              </w:rPr>
            </w:pPr>
            <w:r>
              <w:rPr>
                <w:b/>
                <w:spacing w:val="-2"/>
              </w:rPr>
              <w:t>)</w:t>
            </w:r>
          </w:p>
          <w:p w14:paraId="244041DA" w14:textId="77777777" w:rsidR="009F27FA" w:rsidRDefault="009F27FA" w:rsidP="00BD0F7A">
            <w:pPr>
              <w:widowControl/>
              <w:tabs>
                <w:tab w:val="center" w:pos="4680"/>
              </w:tabs>
              <w:suppressAutoHyphens/>
              <w:rPr>
                <w:b/>
                <w:spacing w:val="-2"/>
              </w:rPr>
            </w:pPr>
            <w:r>
              <w:rPr>
                <w:b/>
                <w:spacing w:val="-2"/>
              </w:rPr>
              <w:t>)</w:t>
            </w:r>
          </w:p>
          <w:p w14:paraId="502B105A" w14:textId="77777777" w:rsidR="009F27FA" w:rsidRDefault="009F27FA" w:rsidP="00BD0F7A">
            <w:pPr>
              <w:widowControl/>
              <w:tabs>
                <w:tab w:val="center" w:pos="4680"/>
              </w:tabs>
              <w:suppressAutoHyphens/>
              <w:rPr>
                <w:b/>
                <w:spacing w:val="-2"/>
              </w:rPr>
            </w:pPr>
            <w:r>
              <w:rPr>
                <w:b/>
                <w:spacing w:val="-2"/>
              </w:rPr>
              <w:t>)</w:t>
            </w:r>
          </w:p>
          <w:p w14:paraId="1F1F2377" w14:textId="77777777" w:rsidR="009F27FA" w:rsidRDefault="009F27FA" w:rsidP="00BD0F7A">
            <w:pPr>
              <w:widowControl/>
              <w:tabs>
                <w:tab w:val="center" w:pos="4680"/>
              </w:tabs>
              <w:suppressAutoHyphens/>
              <w:rPr>
                <w:b/>
                <w:spacing w:val="-2"/>
              </w:rPr>
            </w:pPr>
            <w:r>
              <w:rPr>
                <w:b/>
                <w:spacing w:val="-2"/>
              </w:rPr>
              <w:t>)</w:t>
            </w:r>
          </w:p>
          <w:p w14:paraId="08A04CBF" w14:textId="77777777" w:rsidR="009F27FA" w:rsidRDefault="009F27FA" w:rsidP="00BD0F7A">
            <w:pPr>
              <w:widowControl/>
              <w:tabs>
                <w:tab w:val="center" w:pos="4680"/>
              </w:tabs>
              <w:suppressAutoHyphens/>
              <w:rPr>
                <w:b/>
                <w:spacing w:val="-2"/>
              </w:rPr>
            </w:pPr>
            <w:r>
              <w:rPr>
                <w:b/>
                <w:spacing w:val="-2"/>
              </w:rPr>
              <w:t>)</w:t>
            </w:r>
          </w:p>
          <w:p w14:paraId="08ACFDED" w14:textId="77777777" w:rsidR="009F27FA" w:rsidRDefault="009F27FA" w:rsidP="00BD0F7A">
            <w:pPr>
              <w:widowControl/>
              <w:tabs>
                <w:tab w:val="center" w:pos="4680"/>
              </w:tabs>
              <w:suppressAutoHyphens/>
              <w:rPr>
                <w:b/>
                <w:spacing w:val="-2"/>
              </w:rPr>
            </w:pPr>
            <w:r>
              <w:rPr>
                <w:b/>
                <w:spacing w:val="-2"/>
              </w:rPr>
              <w:t>)</w:t>
            </w:r>
          </w:p>
          <w:p w14:paraId="6F962BF6" w14:textId="77777777" w:rsidR="009F27FA" w:rsidRDefault="009F27FA" w:rsidP="00BD0F7A">
            <w:pPr>
              <w:widowControl/>
              <w:tabs>
                <w:tab w:val="center" w:pos="4680"/>
              </w:tabs>
              <w:suppressAutoHyphens/>
              <w:rPr>
                <w:b/>
                <w:spacing w:val="-2"/>
              </w:rPr>
            </w:pPr>
            <w:r>
              <w:rPr>
                <w:b/>
                <w:spacing w:val="-2"/>
              </w:rPr>
              <w:t>)</w:t>
            </w:r>
          </w:p>
          <w:p w14:paraId="6F21656A" w14:textId="77777777" w:rsidR="009F27FA" w:rsidRDefault="009F27FA" w:rsidP="00BD0F7A">
            <w:pPr>
              <w:widowControl/>
              <w:tabs>
                <w:tab w:val="center" w:pos="4680"/>
              </w:tabs>
              <w:suppressAutoHyphens/>
              <w:rPr>
                <w:b/>
                <w:spacing w:val="-2"/>
              </w:rPr>
            </w:pPr>
            <w:r>
              <w:rPr>
                <w:b/>
                <w:spacing w:val="-2"/>
              </w:rPr>
              <w:t>)</w:t>
            </w:r>
          </w:p>
          <w:p w14:paraId="6F3C86D2" w14:textId="77777777" w:rsidR="009F27FA" w:rsidRDefault="009F27FA" w:rsidP="00BD0F7A">
            <w:pPr>
              <w:widowControl/>
              <w:tabs>
                <w:tab w:val="center" w:pos="4680"/>
              </w:tabs>
              <w:suppressAutoHyphens/>
              <w:rPr>
                <w:b/>
                <w:spacing w:val="-2"/>
              </w:rPr>
            </w:pPr>
            <w:r>
              <w:rPr>
                <w:b/>
                <w:spacing w:val="-2"/>
              </w:rPr>
              <w:t>)</w:t>
            </w:r>
          </w:p>
          <w:p w14:paraId="000D151D" w14:textId="77777777" w:rsidR="009F27FA" w:rsidRDefault="009F27FA" w:rsidP="00BD0F7A">
            <w:pPr>
              <w:widowControl/>
              <w:tabs>
                <w:tab w:val="center" w:pos="4680"/>
              </w:tabs>
              <w:suppressAutoHyphens/>
              <w:rPr>
                <w:b/>
                <w:spacing w:val="-2"/>
              </w:rPr>
            </w:pPr>
            <w:r>
              <w:rPr>
                <w:b/>
                <w:spacing w:val="-2"/>
              </w:rPr>
              <w:t>)</w:t>
            </w:r>
          </w:p>
          <w:p w14:paraId="10EF9F87" w14:textId="77777777" w:rsidR="009F27FA" w:rsidRDefault="009F27FA" w:rsidP="00BD0F7A">
            <w:pPr>
              <w:widowControl/>
              <w:tabs>
                <w:tab w:val="center" w:pos="4680"/>
              </w:tabs>
              <w:suppressAutoHyphens/>
              <w:rPr>
                <w:b/>
                <w:spacing w:val="-2"/>
              </w:rPr>
            </w:pPr>
            <w:r>
              <w:rPr>
                <w:b/>
                <w:spacing w:val="-2"/>
              </w:rPr>
              <w:t>)</w:t>
            </w:r>
          </w:p>
          <w:p w14:paraId="53C7B50A" w14:textId="77777777" w:rsidR="009F27FA" w:rsidRDefault="009F27FA" w:rsidP="00BD0F7A">
            <w:pPr>
              <w:widowControl/>
              <w:tabs>
                <w:tab w:val="center" w:pos="4680"/>
              </w:tabs>
              <w:suppressAutoHyphens/>
              <w:rPr>
                <w:b/>
                <w:spacing w:val="-2"/>
              </w:rPr>
            </w:pPr>
            <w:r>
              <w:rPr>
                <w:b/>
                <w:spacing w:val="-2"/>
              </w:rPr>
              <w:t>)</w:t>
            </w:r>
          </w:p>
          <w:p w14:paraId="2F793491" w14:textId="77777777" w:rsidR="009F27FA" w:rsidRDefault="009F27FA" w:rsidP="00BD0F7A">
            <w:pPr>
              <w:widowControl/>
              <w:tabs>
                <w:tab w:val="center" w:pos="4680"/>
              </w:tabs>
              <w:suppressAutoHyphens/>
              <w:rPr>
                <w:b/>
                <w:spacing w:val="-2"/>
              </w:rPr>
            </w:pPr>
            <w:r>
              <w:rPr>
                <w:b/>
                <w:spacing w:val="-2"/>
              </w:rPr>
              <w:t>)</w:t>
            </w:r>
          </w:p>
          <w:p w14:paraId="57E27092" w14:textId="77777777" w:rsidR="009F27FA" w:rsidRDefault="009F27FA" w:rsidP="00BD0F7A">
            <w:pPr>
              <w:widowControl/>
              <w:tabs>
                <w:tab w:val="center" w:pos="4680"/>
              </w:tabs>
              <w:suppressAutoHyphens/>
              <w:rPr>
                <w:b/>
                <w:spacing w:val="-2"/>
              </w:rPr>
            </w:pPr>
            <w:r>
              <w:rPr>
                <w:b/>
                <w:spacing w:val="-2"/>
              </w:rPr>
              <w:t>)</w:t>
            </w:r>
          </w:p>
          <w:p w14:paraId="25057F56" w14:textId="77777777" w:rsidR="009F27FA" w:rsidRDefault="009F27FA" w:rsidP="00BD0F7A">
            <w:pPr>
              <w:widowControl/>
              <w:tabs>
                <w:tab w:val="center" w:pos="4680"/>
              </w:tabs>
              <w:suppressAutoHyphens/>
              <w:rPr>
                <w:b/>
                <w:spacing w:val="-2"/>
              </w:rPr>
            </w:pPr>
            <w:r>
              <w:rPr>
                <w:b/>
                <w:spacing w:val="-2"/>
              </w:rPr>
              <w:t>)</w:t>
            </w:r>
          </w:p>
          <w:p w14:paraId="5EF2C81A" w14:textId="77777777" w:rsidR="009F27FA" w:rsidRDefault="009F27FA" w:rsidP="00BD0F7A">
            <w:pPr>
              <w:widowControl/>
              <w:tabs>
                <w:tab w:val="center" w:pos="4680"/>
              </w:tabs>
              <w:suppressAutoHyphens/>
              <w:rPr>
                <w:b/>
                <w:spacing w:val="-2"/>
              </w:rPr>
            </w:pPr>
            <w:r>
              <w:rPr>
                <w:b/>
                <w:spacing w:val="-2"/>
              </w:rPr>
              <w:t>)</w:t>
            </w:r>
          </w:p>
          <w:p w14:paraId="22F380B0" w14:textId="77777777" w:rsidR="009F27FA" w:rsidRDefault="009F27FA" w:rsidP="00BD0F7A">
            <w:pPr>
              <w:widowControl/>
              <w:tabs>
                <w:tab w:val="center" w:pos="4680"/>
              </w:tabs>
              <w:suppressAutoHyphens/>
              <w:rPr>
                <w:b/>
                <w:spacing w:val="-2"/>
              </w:rPr>
            </w:pPr>
            <w:r>
              <w:rPr>
                <w:b/>
                <w:spacing w:val="-2"/>
              </w:rPr>
              <w:t>)</w:t>
            </w:r>
          </w:p>
          <w:p w14:paraId="729CA159" w14:textId="77777777" w:rsidR="009F27FA" w:rsidRDefault="009F27FA" w:rsidP="00BD0F7A">
            <w:pPr>
              <w:widowControl/>
              <w:tabs>
                <w:tab w:val="center" w:pos="4680"/>
              </w:tabs>
              <w:suppressAutoHyphens/>
              <w:rPr>
                <w:b/>
                <w:spacing w:val="-2"/>
              </w:rPr>
            </w:pPr>
            <w:r>
              <w:rPr>
                <w:b/>
                <w:spacing w:val="-2"/>
              </w:rPr>
              <w:t>)</w:t>
            </w:r>
          </w:p>
          <w:p w14:paraId="7DE6C31F" w14:textId="77777777" w:rsidR="009F27FA" w:rsidRDefault="009F27FA" w:rsidP="00BD0F7A">
            <w:pPr>
              <w:widowControl/>
              <w:tabs>
                <w:tab w:val="center" w:pos="4680"/>
              </w:tabs>
              <w:suppressAutoHyphens/>
              <w:rPr>
                <w:b/>
                <w:spacing w:val="-2"/>
              </w:rPr>
            </w:pPr>
            <w:r>
              <w:rPr>
                <w:b/>
                <w:spacing w:val="-2"/>
              </w:rPr>
              <w:t>)</w:t>
            </w:r>
          </w:p>
          <w:p w14:paraId="18D87CC4" w14:textId="77777777" w:rsidR="009F27FA" w:rsidRDefault="009F27FA" w:rsidP="00BD0F7A">
            <w:pPr>
              <w:widowControl/>
              <w:tabs>
                <w:tab w:val="center" w:pos="4680"/>
              </w:tabs>
              <w:suppressAutoHyphens/>
              <w:rPr>
                <w:b/>
                <w:spacing w:val="-2"/>
              </w:rPr>
            </w:pPr>
            <w:r>
              <w:rPr>
                <w:b/>
                <w:spacing w:val="-2"/>
              </w:rPr>
              <w:t>)</w:t>
            </w:r>
          </w:p>
          <w:p w14:paraId="44373276" w14:textId="77777777" w:rsidR="009F27FA" w:rsidRDefault="009F27FA" w:rsidP="00BD0F7A">
            <w:pPr>
              <w:widowControl/>
              <w:tabs>
                <w:tab w:val="center" w:pos="4680"/>
              </w:tabs>
              <w:suppressAutoHyphens/>
              <w:rPr>
                <w:spacing w:val="-2"/>
              </w:rPr>
            </w:pPr>
            <w:r>
              <w:rPr>
                <w:b/>
                <w:spacing w:val="-2"/>
              </w:rPr>
              <w:t>)</w:t>
            </w:r>
          </w:p>
        </w:tc>
        <w:tc>
          <w:tcPr>
            <w:tcW w:w="4248" w:type="dxa"/>
            <w:gridSpan w:val="2"/>
          </w:tcPr>
          <w:p w14:paraId="1497A8BE" w14:textId="77777777" w:rsidR="009F27FA" w:rsidRDefault="009F27FA" w:rsidP="00BD0F7A"/>
          <w:p w14:paraId="19314CA1" w14:textId="77777777" w:rsidR="009F27FA" w:rsidRDefault="009F27FA" w:rsidP="00BD0F7A"/>
          <w:p w14:paraId="13557A88" w14:textId="77777777" w:rsidR="009F27FA" w:rsidRDefault="009F27FA" w:rsidP="00BD0F7A">
            <w:r>
              <w:t>GN Docket No. 14-177</w:t>
            </w:r>
          </w:p>
          <w:p w14:paraId="514A762B" w14:textId="77777777" w:rsidR="009F27FA" w:rsidRDefault="009F27FA" w:rsidP="00BD0F7A"/>
          <w:p w14:paraId="30A42364" w14:textId="77777777" w:rsidR="009F27FA" w:rsidRDefault="009F27FA" w:rsidP="00BD0F7A"/>
          <w:p w14:paraId="23EE9004" w14:textId="77777777" w:rsidR="009F27FA" w:rsidRDefault="009F27FA" w:rsidP="00BD0F7A">
            <w:pPr>
              <w:rPr>
                <w:szCs w:val="22"/>
              </w:rPr>
            </w:pPr>
            <w:r>
              <w:rPr>
                <w:szCs w:val="22"/>
              </w:rPr>
              <w:t>IB Docket No. 15-256</w:t>
            </w:r>
          </w:p>
          <w:p w14:paraId="1217B762" w14:textId="77777777" w:rsidR="009F27FA" w:rsidRDefault="009F27FA" w:rsidP="00BD0F7A">
            <w:pPr>
              <w:rPr>
                <w:szCs w:val="22"/>
              </w:rPr>
            </w:pPr>
          </w:p>
          <w:p w14:paraId="32E2DA7B" w14:textId="77777777" w:rsidR="009F27FA" w:rsidRDefault="009F27FA" w:rsidP="00BD0F7A">
            <w:pPr>
              <w:rPr>
                <w:szCs w:val="22"/>
              </w:rPr>
            </w:pPr>
          </w:p>
          <w:p w14:paraId="43E47D25" w14:textId="77777777" w:rsidR="009F27FA" w:rsidRDefault="009F27FA" w:rsidP="00BD0F7A">
            <w:pPr>
              <w:rPr>
                <w:szCs w:val="22"/>
              </w:rPr>
            </w:pPr>
          </w:p>
          <w:p w14:paraId="2FA1D3D4" w14:textId="77777777" w:rsidR="009F27FA" w:rsidRDefault="009F27FA" w:rsidP="00BD0F7A">
            <w:pPr>
              <w:rPr>
                <w:szCs w:val="22"/>
              </w:rPr>
            </w:pPr>
            <w:r>
              <w:rPr>
                <w:szCs w:val="22"/>
              </w:rPr>
              <w:t>RM-11664</w:t>
            </w:r>
          </w:p>
          <w:p w14:paraId="6E482841" w14:textId="77777777" w:rsidR="009F27FA" w:rsidRDefault="009F27FA" w:rsidP="00BD0F7A"/>
          <w:p w14:paraId="613D4750" w14:textId="77777777" w:rsidR="009F27FA" w:rsidRDefault="009F27FA" w:rsidP="00BD0F7A"/>
          <w:p w14:paraId="06E5B217" w14:textId="77777777" w:rsidR="009F27FA" w:rsidRDefault="009F27FA" w:rsidP="00BD0F7A"/>
          <w:p w14:paraId="34EDD0A8" w14:textId="77777777" w:rsidR="009F27FA" w:rsidRDefault="009F27FA" w:rsidP="00BD0F7A">
            <w:r>
              <w:t>WT Docket No. 10-112</w:t>
            </w:r>
          </w:p>
          <w:p w14:paraId="226A8EA1" w14:textId="77777777" w:rsidR="009F27FA" w:rsidRDefault="009F27FA" w:rsidP="00BD0F7A"/>
          <w:p w14:paraId="6CEE88E8" w14:textId="77777777" w:rsidR="009F27FA" w:rsidRDefault="009F27FA" w:rsidP="00BD0F7A"/>
          <w:p w14:paraId="160724FE" w14:textId="77777777" w:rsidR="009F27FA" w:rsidRDefault="009F27FA" w:rsidP="00BD0F7A"/>
          <w:p w14:paraId="2B22EFBA" w14:textId="77777777" w:rsidR="009F27FA" w:rsidRDefault="009F27FA" w:rsidP="00BD0F7A"/>
          <w:p w14:paraId="76538909" w14:textId="77777777" w:rsidR="009F27FA" w:rsidRDefault="009F27FA" w:rsidP="00BD0F7A"/>
          <w:p w14:paraId="7DBD0FA2" w14:textId="77777777" w:rsidR="009F27FA" w:rsidRDefault="009F27FA" w:rsidP="00BD0F7A">
            <w:r>
              <w:t>IB Docket No. 97-95</w:t>
            </w:r>
          </w:p>
          <w:p w14:paraId="590DB34F" w14:textId="77777777" w:rsidR="009F27FA" w:rsidRPr="000964D0" w:rsidRDefault="009F27FA" w:rsidP="00BD0F7A"/>
        </w:tc>
      </w:tr>
    </w:tbl>
    <w:p w14:paraId="35AB9D94" w14:textId="77777777" w:rsidR="0060228B" w:rsidRDefault="0060228B"/>
    <w:p w14:paraId="13C90585" w14:textId="77777777" w:rsidR="0060228B" w:rsidRDefault="002E484C" w:rsidP="000F34C9">
      <w:pPr>
        <w:jc w:val="center"/>
        <w:rPr>
          <w:b/>
          <w:spacing w:val="-2"/>
        </w:rPr>
      </w:pPr>
      <w:r>
        <w:rPr>
          <w:b/>
          <w:spacing w:val="-2"/>
        </w:rPr>
        <w:t>ERRATUM</w:t>
      </w:r>
    </w:p>
    <w:p w14:paraId="21E56F1F" w14:textId="77777777" w:rsidR="00E00E22" w:rsidRDefault="00E00E22">
      <w:pPr>
        <w:tabs>
          <w:tab w:val="left" w:pos="5760"/>
        </w:tabs>
        <w:rPr>
          <w:b/>
        </w:rPr>
      </w:pPr>
    </w:p>
    <w:p w14:paraId="79E4CDC0" w14:textId="0C76265F" w:rsidR="0060228B" w:rsidRDefault="0060228B" w:rsidP="002A29D2">
      <w:pPr>
        <w:jc w:val="right"/>
        <w:rPr>
          <w:b/>
        </w:rPr>
      </w:pPr>
      <w:r>
        <w:rPr>
          <w:b/>
        </w:rPr>
        <w:t xml:space="preserve">Released:  </w:t>
      </w:r>
      <w:r w:rsidR="002956B4">
        <w:rPr>
          <w:b/>
        </w:rPr>
        <w:t xml:space="preserve">July </w:t>
      </w:r>
      <w:r w:rsidR="007D2143">
        <w:rPr>
          <w:b/>
        </w:rPr>
        <w:t>27</w:t>
      </w:r>
      <w:r w:rsidR="002956B4">
        <w:rPr>
          <w:b/>
        </w:rPr>
        <w:t>, 2016</w:t>
      </w:r>
    </w:p>
    <w:p w14:paraId="59B6489E" w14:textId="77777777" w:rsidR="0060228B" w:rsidRDefault="0060228B">
      <w:pPr>
        <w:tabs>
          <w:tab w:val="left" w:pos="5760"/>
        </w:tabs>
        <w:rPr>
          <w:b/>
        </w:rPr>
      </w:pPr>
    </w:p>
    <w:p w14:paraId="410CB7A1" w14:textId="77777777" w:rsidR="0060228B" w:rsidRDefault="008B7989">
      <w:pPr>
        <w:tabs>
          <w:tab w:val="left" w:pos="5760"/>
        </w:tabs>
      </w:pPr>
      <w:r>
        <w:t>By the</w:t>
      </w:r>
      <w:r w:rsidR="00E54F94">
        <w:t xml:space="preserve"> </w:t>
      </w:r>
      <w:r w:rsidR="002956B4">
        <w:t xml:space="preserve">Deputy </w:t>
      </w:r>
      <w:r w:rsidR="009C72E6">
        <w:t>Chief</w:t>
      </w:r>
      <w:r w:rsidR="00E54F94">
        <w:t>,</w:t>
      </w:r>
      <w:r w:rsidR="009C72E6">
        <w:t xml:space="preserve"> </w:t>
      </w:r>
      <w:r w:rsidR="002956B4">
        <w:t xml:space="preserve">Broadband Division, </w:t>
      </w:r>
      <w:r w:rsidR="009C72E6">
        <w:t>Wireless Telecommunications Bureau</w:t>
      </w:r>
      <w:r w:rsidR="0060228B">
        <w:rPr>
          <w:spacing w:val="-2"/>
        </w:rPr>
        <w:t>:</w:t>
      </w:r>
    </w:p>
    <w:p w14:paraId="1FED7A5A" w14:textId="77777777" w:rsidR="0060228B" w:rsidRDefault="0060228B"/>
    <w:p w14:paraId="747B8085" w14:textId="77777777" w:rsidR="00B07300" w:rsidRPr="002D0B4C" w:rsidRDefault="002A29D2" w:rsidP="002A29D2">
      <w:pPr>
        <w:pStyle w:val="ParaNum"/>
        <w:numPr>
          <w:ilvl w:val="0"/>
          <w:numId w:val="0"/>
        </w:numPr>
        <w:rPr>
          <w:szCs w:val="22"/>
        </w:rPr>
      </w:pPr>
      <w:r>
        <w:t xml:space="preserve"> </w:t>
      </w:r>
      <w:r>
        <w:tab/>
      </w:r>
      <w:r w:rsidR="008571CD">
        <w:t xml:space="preserve">On </w:t>
      </w:r>
      <w:r w:rsidR="002956B4">
        <w:t>July 14</w:t>
      </w:r>
      <w:r w:rsidR="008571CD">
        <w:t>, 201</w:t>
      </w:r>
      <w:r w:rsidR="002956B4">
        <w:t>6</w:t>
      </w:r>
      <w:r w:rsidR="008571CD">
        <w:t>,</w:t>
      </w:r>
      <w:r w:rsidR="00B07300">
        <w:t xml:space="preserve"> the </w:t>
      </w:r>
      <w:r w:rsidR="00467C4B">
        <w:t xml:space="preserve">Commission </w:t>
      </w:r>
      <w:r w:rsidR="00B07300">
        <w:t>released a</w:t>
      </w:r>
      <w:r w:rsidR="00B07300" w:rsidRPr="00A6678A">
        <w:t xml:space="preserve"> </w:t>
      </w:r>
      <w:r w:rsidR="00467C4B" w:rsidRPr="006B076F">
        <w:rPr>
          <w:i/>
        </w:rPr>
        <w:t xml:space="preserve">Report and Order and </w:t>
      </w:r>
      <w:r w:rsidR="002956B4">
        <w:rPr>
          <w:i/>
        </w:rPr>
        <w:t xml:space="preserve">Further </w:t>
      </w:r>
      <w:r w:rsidR="00467C4B" w:rsidRPr="006B076F">
        <w:rPr>
          <w:i/>
        </w:rPr>
        <w:t>Notice of Proposed Rulemaking</w:t>
      </w:r>
      <w:r w:rsidR="00B07300">
        <w:rPr>
          <w:i/>
        </w:rPr>
        <w:t xml:space="preserve">, </w:t>
      </w:r>
      <w:r w:rsidR="00467C4B">
        <w:t>FCC 1</w:t>
      </w:r>
      <w:r w:rsidR="002956B4">
        <w:t>6</w:t>
      </w:r>
      <w:r w:rsidR="00467C4B">
        <w:t>-</w:t>
      </w:r>
      <w:r w:rsidR="002956B4">
        <w:t>89</w:t>
      </w:r>
      <w:r w:rsidR="008B7989">
        <w:t>, in the above-</w:t>
      </w:r>
      <w:r w:rsidR="00B07300">
        <w:t xml:space="preserve">captioned proceeding.  This Erratum </w:t>
      </w:r>
      <w:r w:rsidR="004602B4">
        <w:t>amends</w:t>
      </w:r>
      <w:r w:rsidR="008B7989">
        <w:t xml:space="preserve"> the </w:t>
      </w:r>
      <w:r w:rsidR="008B7989">
        <w:rPr>
          <w:i/>
        </w:rPr>
        <w:t xml:space="preserve">Report and Order and </w:t>
      </w:r>
      <w:r w:rsidR="002956B4">
        <w:rPr>
          <w:i/>
        </w:rPr>
        <w:t xml:space="preserve">Further </w:t>
      </w:r>
      <w:r w:rsidR="008B7989">
        <w:rPr>
          <w:i/>
        </w:rPr>
        <w:t xml:space="preserve">Notice of Proposed </w:t>
      </w:r>
      <w:r w:rsidR="008B7989" w:rsidRPr="002D0B4C">
        <w:rPr>
          <w:i/>
          <w:szCs w:val="22"/>
        </w:rPr>
        <w:t>Rulemaking</w:t>
      </w:r>
      <w:r w:rsidR="002D0B4C" w:rsidRPr="002D0B4C">
        <w:rPr>
          <w:szCs w:val="22"/>
        </w:rPr>
        <w:t xml:space="preserve"> </w:t>
      </w:r>
      <w:r w:rsidR="009A2707">
        <w:rPr>
          <w:szCs w:val="22"/>
        </w:rPr>
        <w:t>and Appendi</w:t>
      </w:r>
      <w:r w:rsidR="009F27FA">
        <w:rPr>
          <w:szCs w:val="22"/>
        </w:rPr>
        <w:t>ces A and G</w:t>
      </w:r>
      <w:r w:rsidR="009A2707">
        <w:rPr>
          <w:szCs w:val="22"/>
        </w:rPr>
        <w:t xml:space="preserve"> to that document </w:t>
      </w:r>
      <w:r w:rsidR="002D0B4C" w:rsidRPr="002D0B4C">
        <w:rPr>
          <w:szCs w:val="22"/>
        </w:rPr>
        <w:t>as indicated below</w:t>
      </w:r>
      <w:r w:rsidR="00010C8C">
        <w:rPr>
          <w:szCs w:val="22"/>
        </w:rPr>
        <w:t>:</w:t>
      </w:r>
      <w:r w:rsidR="002D0B4C" w:rsidRPr="002D0B4C">
        <w:rPr>
          <w:szCs w:val="22"/>
        </w:rPr>
        <w:t xml:space="preserve">  </w:t>
      </w:r>
    </w:p>
    <w:p w14:paraId="40FE6680" w14:textId="77777777" w:rsidR="00377729" w:rsidRDefault="00377729" w:rsidP="00A64C85">
      <w:pPr>
        <w:pStyle w:val="ParaNum"/>
        <w:numPr>
          <w:ilvl w:val="0"/>
          <w:numId w:val="4"/>
        </w:numPr>
        <w:ind w:left="0" w:firstLine="720"/>
      </w:pPr>
      <w:r>
        <w:t>In Paragraph 51, correct the first sentence to read as follows:</w:t>
      </w:r>
    </w:p>
    <w:p w14:paraId="7AAF23D3" w14:textId="77777777" w:rsidR="00377729" w:rsidRDefault="00377729" w:rsidP="00377729">
      <w:pPr>
        <w:pStyle w:val="ParaNum"/>
        <w:numPr>
          <w:ilvl w:val="0"/>
          <w:numId w:val="0"/>
        </w:numPr>
        <w:ind w:left="720"/>
      </w:pPr>
      <w:r>
        <w:t>“</w:t>
      </w:r>
      <w:r w:rsidRPr="00377729">
        <w:t>We recognize, however, that FSS operators rely on this band for gateway connectivity and have invested significant capital in the band and will continue to do so in the future.</w:t>
      </w:r>
      <w:r>
        <w:t>”</w:t>
      </w:r>
    </w:p>
    <w:p w14:paraId="2BFE4200" w14:textId="77777777" w:rsidR="00C77D56" w:rsidRDefault="00C77D56" w:rsidP="00A64C85">
      <w:pPr>
        <w:pStyle w:val="ParaNum"/>
        <w:numPr>
          <w:ilvl w:val="0"/>
          <w:numId w:val="4"/>
        </w:numPr>
        <w:ind w:left="0" w:firstLine="720"/>
      </w:pPr>
      <w:r>
        <w:t xml:space="preserve">In footnote </w:t>
      </w:r>
      <w:r w:rsidR="009F27FA">
        <w:t>135</w:t>
      </w:r>
      <w:r>
        <w:t xml:space="preserve">, </w:t>
      </w:r>
      <w:r w:rsidR="009F27FA">
        <w:t>correct the last sentence to read, “</w:t>
      </w:r>
      <w:r w:rsidR="009F27FA" w:rsidRPr="00407C1B">
        <w:rPr>
          <w:i/>
        </w:rPr>
        <w:t>See</w:t>
      </w:r>
      <w:r w:rsidR="009F27FA">
        <w:t xml:space="preserve"> para. 69, </w:t>
      </w:r>
      <w:r w:rsidR="009F27FA">
        <w:rPr>
          <w:i/>
        </w:rPr>
        <w:t>infra</w:t>
      </w:r>
      <w:r w:rsidR="009F27FA">
        <w:t>.”</w:t>
      </w:r>
    </w:p>
    <w:p w14:paraId="5436C6A7" w14:textId="77777777" w:rsidR="00806FBD" w:rsidRDefault="009F27FA" w:rsidP="00A64C85">
      <w:pPr>
        <w:pStyle w:val="ParaNum"/>
        <w:numPr>
          <w:ilvl w:val="0"/>
          <w:numId w:val="4"/>
        </w:numPr>
        <w:ind w:left="0" w:firstLine="720"/>
      </w:pPr>
      <w:r>
        <w:lastRenderedPageBreak/>
        <w:t>Correct footnote 165 to read, “</w:t>
      </w:r>
      <w:r>
        <w:rPr>
          <w:i/>
        </w:rPr>
        <w:t>See</w:t>
      </w:r>
      <w:r>
        <w:t xml:space="preserve"> para. 22, </w:t>
      </w:r>
      <w:r>
        <w:rPr>
          <w:i/>
        </w:rPr>
        <w:t>supra</w:t>
      </w:r>
      <w:r>
        <w:t>.”</w:t>
      </w:r>
    </w:p>
    <w:p w14:paraId="546FC78A" w14:textId="77777777" w:rsidR="00B46E11" w:rsidRDefault="00BB2D1B" w:rsidP="00A64C85">
      <w:pPr>
        <w:pStyle w:val="ParaNum"/>
        <w:numPr>
          <w:ilvl w:val="0"/>
          <w:numId w:val="4"/>
        </w:numPr>
        <w:ind w:left="0" w:firstLine="720"/>
      </w:pPr>
      <w:r>
        <w:t>In p</w:t>
      </w:r>
      <w:r w:rsidR="00B46E11">
        <w:t xml:space="preserve">aragraph </w:t>
      </w:r>
      <w:r w:rsidR="00E174D2">
        <w:t>92</w:t>
      </w:r>
      <w:r w:rsidR="00B46E11">
        <w:t>,</w:t>
      </w:r>
      <w:r w:rsidR="00E174D2">
        <w:t xml:space="preserve"> the map of the United States should be immediately below “Figure 1:  Long-Haul Internet Links.”  “Figure 2” should be bolded, centered, and placed before the map “Earth Depressions in Northeast Pennsylvania.”</w:t>
      </w:r>
    </w:p>
    <w:p w14:paraId="5F46CEED" w14:textId="77777777" w:rsidR="00B366DD" w:rsidRDefault="00B366DD" w:rsidP="00407C1B">
      <w:pPr>
        <w:pStyle w:val="ParaNum"/>
        <w:numPr>
          <w:ilvl w:val="0"/>
          <w:numId w:val="4"/>
        </w:numPr>
        <w:ind w:left="1440" w:hanging="720"/>
      </w:pPr>
      <w:r>
        <w:t>Correct footnote 334 to read, “</w:t>
      </w:r>
      <w:r>
        <w:rPr>
          <w:i/>
        </w:rPr>
        <w:t>See</w:t>
      </w:r>
      <w:r>
        <w:t xml:space="preserve"> Section V.A.7</w:t>
      </w:r>
      <w:r w:rsidR="00EA776B">
        <w:t xml:space="preserve"> (</w:t>
      </w:r>
      <w:r w:rsidR="00EA776B" w:rsidRPr="00EA776B">
        <w:t>70/80 GHz Bands (71-76 GHz and 81-86 GHz)</w:t>
      </w:r>
      <w:r w:rsidR="00EA776B">
        <w:t>)</w:t>
      </w:r>
      <w:r>
        <w:t xml:space="preserve">, </w:t>
      </w:r>
      <w:r>
        <w:rPr>
          <w:i/>
        </w:rPr>
        <w:t>infra</w:t>
      </w:r>
      <w:r>
        <w:t>.”</w:t>
      </w:r>
    </w:p>
    <w:p w14:paraId="3A7D331D" w14:textId="20313F55" w:rsidR="00B366DD" w:rsidRDefault="00B366DD" w:rsidP="00A64C85">
      <w:pPr>
        <w:pStyle w:val="ParaNum"/>
        <w:numPr>
          <w:ilvl w:val="0"/>
          <w:numId w:val="4"/>
        </w:numPr>
        <w:ind w:left="0" w:firstLine="720"/>
      </w:pPr>
      <w:r>
        <w:t>Correct footnote 541 to read “</w:t>
      </w:r>
      <w:r>
        <w:rPr>
          <w:i/>
        </w:rPr>
        <w:t xml:space="preserve">See </w:t>
      </w:r>
      <w:r w:rsidR="00EA776B">
        <w:t xml:space="preserve">Section </w:t>
      </w:r>
      <w:r>
        <w:t>V.C.1</w:t>
      </w:r>
      <w:r w:rsidR="00EA776B">
        <w:t xml:space="preserve"> (Additional Metrics), </w:t>
      </w:r>
      <w:r w:rsidR="00EA776B">
        <w:rPr>
          <w:i/>
        </w:rPr>
        <w:t>infra</w:t>
      </w:r>
      <w:r>
        <w:t>.”</w:t>
      </w:r>
    </w:p>
    <w:p w14:paraId="701EB148" w14:textId="4FA8A8A1" w:rsidR="00B366DD" w:rsidRDefault="00B366DD" w:rsidP="00A64C85">
      <w:pPr>
        <w:pStyle w:val="ParaNum"/>
        <w:numPr>
          <w:ilvl w:val="0"/>
          <w:numId w:val="4"/>
        </w:numPr>
        <w:ind w:left="0" w:firstLine="720"/>
      </w:pPr>
      <w:r>
        <w:t>Correct footnote 910 to read “</w:t>
      </w:r>
      <w:r w:rsidRPr="00B366DD">
        <w:rPr>
          <w:i/>
        </w:rPr>
        <w:t xml:space="preserve">See </w:t>
      </w:r>
      <w:r w:rsidRPr="00B366DD">
        <w:t xml:space="preserve">discussion in Section </w:t>
      </w:r>
      <w:r w:rsidR="00EA776B">
        <w:t>V.</w:t>
      </w:r>
      <w:r w:rsidRPr="00B366DD">
        <w:t xml:space="preserve">G.5 </w:t>
      </w:r>
      <w:r w:rsidR="00EA776B">
        <w:t>(</w:t>
      </w:r>
      <w:r w:rsidRPr="00B366DD">
        <w:t>Technical Issues-Part 15 Operation on</w:t>
      </w:r>
      <w:r w:rsidRPr="00B366DD">
        <w:noBreakHyphen/>
        <w:t>board Aircraft in the 57</w:t>
      </w:r>
      <w:r w:rsidRPr="00B366DD">
        <w:noBreakHyphen/>
        <w:t>71 GHz Band</w:t>
      </w:r>
      <w:r w:rsidR="00EA776B">
        <w:t>)</w:t>
      </w:r>
      <w:r w:rsidRPr="00B366DD">
        <w:t xml:space="preserve">, at paras. </w:t>
      </w:r>
      <w:r>
        <w:t>514</w:t>
      </w:r>
      <w:r w:rsidRPr="00B366DD">
        <w:noBreakHyphen/>
      </w:r>
      <w:r w:rsidRPr="00B366DD">
        <w:fldChar w:fldCharType="begin"/>
      </w:r>
      <w:r w:rsidRPr="00B366DD">
        <w:instrText xml:space="preserve"> REF _Ref456084100 \r \h </w:instrText>
      </w:r>
      <w:r w:rsidRPr="00B366DD">
        <w:fldChar w:fldCharType="separate"/>
      </w:r>
      <w:r w:rsidRPr="00B366DD">
        <w:t>516</w:t>
      </w:r>
      <w:r w:rsidRPr="00B366DD">
        <w:fldChar w:fldCharType="end"/>
      </w:r>
      <w:r w:rsidRPr="00B366DD">
        <w:t xml:space="preserve">, </w:t>
      </w:r>
      <w:r w:rsidRPr="00B366DD">
        <w:rPr>
          <w:i/>
        </w:rPr>
        <w:t>infra</w:t>
      </w:r>
      <w:r w:rsidRPr="00B366DD">
        <w:t>.</w:t>
      </w:r>
      <w:r w:rsidR="00407C1B">
        <w:t>”</w:t>
      </w:r>
    </w:p>
    <w:p w14:paraId="6483F783" w14:textId="77777777" w:rsidR="009E34BB" w:rsidRDefault="009E34BB" w:rsidP="00A64C85">
      <w:pPr>
        <w:pStyle w:val="ParaNum"/>
        <w:numPr>
          <w:ilvl w:val="0"/>
          <w:numId w:val="4"/>
        </w:numPr>
        <w:ind w:left="0" w:firstLine="720"/>
      </w:pPr>
      <w:r>
        <w:t xml:space="preserve">In </w:t>
      </w:r>
      <w:r w:rsidR="00377729">
        <w:t xml:space="preserve">paragraph </w:t>
      </w:r>
      <w:r>
        <w:t>4</w:t>
      </w:r>
      <w:r w:rsidR="00377729">
        <w:t>3</w:t>
      </w:r>
      <w:r>
        <w:t xml:space="preserve">3, </w:t>
      </w:r>
      <w:r w:rsidR="00C44771">
        <w:t>correct</w:t>
      </w:r>
      <w:r w:rsidR="00377729">
        <w:t xml:space="preserve"> the last sentence to read as follows:</w:t>
      </w:r>
    </w:p>
    <w:p w14:paraId="35BB4D35" w14:textId="77777777" w:rsidR="00377729" w:rsidRDefault="00377729" w:rsidP="00377729">
      <w:pPr>
        <w:pStyle w:val="ParaNum"/>
        <w:numPr>
          <w:ilvl w:val="0"/>
          <w:numId w:val="0"/>
        </w:numPr>
        <w:ind w:left="720"/>
      </w:pPr>
      <w:r>
        <w:t>“</w:t>
      </w:r>
      <w:r w:rsidRPr="00377729">
        <w:t>However, as shown in Figure 4, the 71-76 and 81-86 GHz bands experience less attenuation than frequencies in the 50-60 GHz range.</w:t>
      </w:r>
      <w:r>
        <w:t>”</w:t>
      </w:r>
    </w:p>
    <w:p w14:paraId="6D8DC451" w14:textId="77777777" w:rsidR="00377729" w:rsidRDefault="00377729" w:rsidP="00377729">
      <w:pPr>
        <w:pStyle w:val="ParaNum"/>
        <w:numPr>
          <w:ilvl w:val="0"/>
          <w:numId w:val="4"/>
        </w:numPr>
        <w:ind w:left="0" w:firstLine="720"/>
      </w:pPr>
      <w:r>
        <w:t>In paragraph 434, correct the last sentence to read as follows:</w:t>
      </w:r>
    </w:p>
    <w:p w14:paraId="72B13E00" w14:textId="77777777" w:rsidR="00377729" w:rsidRDefault="00377729" w:rsidP="00377729">
      <w:pPr>
        <w:pStyle w:val="ParaNum"/>
        <w:numPr>
          <w:ilvl w:val="0"/>
          <w:numId w:val="0"/>
        </w:numPr>
        <w:ind w:left="720"/>
      </w:pPr>
      <w:r>
        <w:t>“</w:t>
      </w:r>
      <w:r w:rsidRPr="00377729">
        <w:t>Based upon this preliminary analysis, we believe the bands might be valuable for a variety of uses, including mobile as well as fixed uses.</w:t>
      </w:r>
      <w:r>
        <w:t>”</w:t>
      </w:r>
    </w:p>
    <w:p w14:paraId="14A47978" w14:textId="77777777" w:rsidR="00664505" w:rsidRDefault="00D9560C" w:rsidP="00A64C85">
      <w:pPr>
        <w:pStyle w:val="ParaNum"/>
        <w:numPr>
          <w:ilvl w:val="0"/>
          <w:numId w:val="4"/>
        </w:numPr>
        <w:ind w:left="0" w:firstLine="720"/>
      </w:pPr>
      <w:r>
        <w:t>In paragraph 440, in the list after the bullet entitled “Technical Rules,” the language that begins “Class A licensees would be authorized only for operations. . .” should be bullet a., and the subsequent bullets should be relettered.</w:t>
      </w:r>
    </w:p>
    <w:p w14:paraId="04D4A0A0" w14:textId="5D8D38CE" w:rsidR="00B366DD" w:rsidRDefault="00B366DD" w:rsidP="00A64C85">
      <w:pPr>
        <w:pStyle w:val="ParaNum"/>
        <w:numPr>
          <w:ilvl w:val="0"/>
          <w:numId w:val="4"/>
        </w:numPr>
        <w:ind w:left="0" w:firstLine="720"/>
      </w:pPr>
      <w:r>
        <w:t>Correct footnote 1235 to read “</w:t>
      </w:r>
      <w:r w:rsidRPr="00B366DD">
        <w:rPr>
          <w:i/>
        </w:rPr>
        <w:t xml:space="preserve">See </w:t>
      </w:r>
      <w:r w:rsidRPr="00B366DD">
        <w:t xml:space="preserve">discussion in </w:t>
      </w:r>
      <w:r w:rsidR="00695892" w:rsidRPr="00B366DD">
        <w:t xml:space="preserve">Section </w:t>
      </w:r>
      <w:r w:rsidR="00695892">
        <w:t>V.</w:t>
      </w:r>
      <w:r w:rsidR="00695892" w:rsidRPr="00B366DD">
        <w:t xml:space="preserve">G.5 </w:t>
      </w:r>
      <w:r w:rsidR="00695892">
        <w:t>(</w:t>
      </w:r>
      <w:r w:rsidRPr="00B366DD">
        <w:t>Technical Rules for Part 15 Operation in the 57</w:t>
      </w:r>
      <w:r w:rsidRPr="00B366DD">
        <w:noBreakHyphen/>
        <w:t>71 GHz Band</w:t>
      </w:r>
      <w:r w:rsidR="00695892">
        <w:t>)</w:t>
      </w:r>
      <w:r w:rsidRPr="00B366DD">
        <w:t xml:space="preserve"> at para.</w:t>
      </w:r>
      <w:r>
        <w:t xml:space="preserve"> 332</w:t>
      </w:r>
      <w:r w:rsidR="00695892">
        <w:t xml:space="preserve">, </w:t>
      </w:r>
      <w:r w:rsidR="00695892" w:rsidRPr="00407C1B">
        <w:rPr>
          <w:i/>
        </w:rPr>
        <w:t>supra</w:t>
      </w:r>
      <w:r>
        <w:t>.”</w:t>
      </w:r>
    </w:p>
    <w:p w14:paraId="6C22DE28" w14:textId="77777777" w:rsidR="0016448A" w:rsidRPr="00DD7A90" w:rsidRDefault="0016448A" w:rsidP="009A2707">
      <w:pPr>
        <w:pStyle w:val="ParaNum"/>
        <w:numPr>
          <w:ilvl w:val="0"/>
          <w:numId w:val="0"/>
        </w:numPr>
        <w:spacing w:before="240" w:after="240"/>
        <w:rPr>
          <w:szCs w:val="22"/>
        </w:rPr>
      </w:pPr>
      <w:r w:rsidRPr="00067F0C">
        <w:rPr>
          <w:b/>
          <w:szCs w:val="22"/>
        </w:rPr>
        <w:t>A</w:t>
      </w:r>
      <w:r w:rsidR="00DC24C1" w:rsidRPr="00067F0C">
        <w:rPr>
          <w:b/>
          <w:szCs w:val="22"/>
        </w:rPr>
        <w:t>PPENDIX</w:t>
      </w:r>
      <w:r w:rsidRPr="00067F0C">
        <w:rPr>
          <w:b/>
          <w:szCs w:val="22"/>
        </w:rPr>
        <w:t xml:space="preserve"> A</w:t>
      </w:r>
      <w:r w:rsidRPr="00DD7A90">
        <w:rPr>
          <w:szCs w:val="22"/>
        </w:rPr>
        <w:t xml:space="preserve"> </w:t>
      </w:r>
      <w:r w:rsidR="00DC24C1">
        <w:rPr>
          <w:szCs w:val="22"/>
        </w:rPr>
        <w:t>is corrected</w:t>
      </w:r>
      <w:r w:rsidR="009A2707">
        <w:rPr>
          <w:szCs w:val="22"/>
        </w:rPr>
        <w:t xml:space="preserve"> as follows</w:t>
      </w:r>
      <w:r w:rsidRPr="00DD7A90">
        <w:rPr>
          <w:szCs w:val="22"/>
        </w:rPr>
        <w:t>:</w:t>
      </w:r>
    </w:p>
    <w:p w14:paraId="10B1A20A" w14:textId="77777777" w:rsidR="00D028FF" w:rsidRDefault="00D028FF" w:rsidP="00D028FF">
      <w:pPr>
        <w:pStyle w:val="ParaNum"/>
        <w:numPr>
          <w:ilvl w:val="0"/>
          <w:numId w:val="4"/>
        </w:numPr>
        <w:ind w:left="0" w:firstLine="720"/>
        <w:rPr>
          <w:szCs w:val="22"/>
        </w:rPr>
      </w:pPr>
      <w:r>
        <w:rPr>
          <w:szCs w:val="22"/>
        </w:rPr>
        <w:t>Section 2.106, i</w:t>
      </w:r>
      <w:r w:rsidRPr="00D028FF">
        <w:rPr>
          <w:szCs w:val="22"/>
        </w:rPr>
        <w:t>n the 27.5-29.5 GHz band within the non-Federal Table (on page 181 of the released item), delete the extra line between “FIXED-SATELLITE (Earth-to-space)” and “MOBILE.”</w:t>
      </w:r>
    </w:p>
    <w:p w14:paraId="5C0FB3AD" w14:textId="77777777" w:rsidR="004023E0" w:rsidRPr="00D028FF" w:rsidRDefault="004023E0" w:rsidP="004023E0">
      <w:pPr>
        <w:pStyle w:val="ParaNum"/>
        <w:numPr>
          <w:ilvl w:val="0"/>
          <w:numId w:val="4"/>
        </w:numPr>
        <w:ind w:left="0" w:firstLine="720"/>
        <w:rPr>
          <w:szCs w:val="22"/>
        </w:rPr>
      </w:pPr>
      <w:r w:rsidRPr="00130812">
        <w:rPr>
          <w:szCs w:val="22"/>
        </w:rPr>
        <w:t xml:space="preserve">Section 2.106, in the </w:t>
      </w:r>
      <w:r>
        <w:rPr>
          <w:szCs w:val="22"/>
        </w:rPr>
        <w:t>37-38</w:t>
      </w:r>
      <w:r w:rsidRPr="00130812">
        <w:rPr>
          <w:szCs w:val="22"/>
        </w:rPr>
        <w:t xml:space="preserve"> GHz band within the Federal Table (on page 18</w:t>
      </w:r>
      <w:r>
        <w:rPr>
          <w:szCs w:val="22"/>
        </w:rPr>
        <w:t>2</w:t>
      </w:r>
      <w:r w:rsidRPr="00130812">
        <w:rPr>
          <w:szCs w:val="22"/>
        </w:rPr>
        <w:t xml:space="preserve"> of the released item), </w:t>
      </w:r>
      <w:r>
        <w:rPr>
          <w:szCs w:val="22"/>
        </w:rPr>
        <w:t>footnote US151 is moved from next to “</w:t>
      </w:r>
      <w:r w:rsidRPr="00130812">
        <w:rPr>
          <w:szCs w:val="22"/>
        </w:rPr>
        <w:t>SPACE RESEARCH (space-to-Earth)</w:t>
      </w:r>
      <w:r>
        <w:rPr>
          <w:szCs w:val="22"/>
        </w:rPr>
        <w:t>” to the bottom of the cell.</w:t>
      </w:r>
    </w:p>
    <w:p w14:paraId="09A216B4" w14:textId="77777777" w:rsidR="00DC24C1" w:rsidRDefault="00BD0F7A" w:rsidP="00A64C85">
      <w:pPr>
        <w:pStyle w:val="ParaNum"/>
        <w:numPr>
          <w:ilvl w:val="0"/>
          <w:numId w:val="4"/>
        </w:numPr>
        <w:ind w:left="0" w:firstLine="720"/>
        <w:rPr>
          <w:szCs w:val="22"/>
        </w:rPr>
      </w:pPr>
      <w:r>
        <w:rPr>
          <w:szCs w:val="22"/>
        </w:rPr>
        <w:t>Section 2.106, the text of footnote NG63 is corrected to read as follows:</w:t>
      </w:r>
    </w:p>
    <w:p w14:paraId="2A4DAC4B" w14:textId="77777777" w:rsidR="00DA1D01" w:rsidRPr="00DD7A90" w:rsidRDefault="0016448A" w:rsidP="00DC24C1">
      <w:pPr>
        <w:pStyle w:val="ParaNum"/>
        <w:numPr>
          <w:ilvl w:val="0"/>
          <w:numId w:val="0"/>
        </w:numPr>
        <w:ind w:left="720"/>
        <w:rPr>
          <w:szCs w:val="22"/>
        </w:rPr>
      </w:pPr>
      <w:r w:rsidRPr="00DD7A90">
        <w:rPr>
          <w:szCs w:val="22"/>
        </w:rPr>
        <w:t>“</w:t>
      </w:r>
      <w:r w:rsidR="00BD0F7A" w:rsidRPr="00BD0F7A">
        <w:rPr>
          <w:szCs w:val="22"/>
        </w:rPr>
        <w:t xml:space="preserve">In the band 37.5-40 GHz, earth station operations in the fixed-satellite service (space-to-Earth) shall not claim protection from stations in the fixed and mobile services, except where individually licensed earth stations are authorized pursuant to </w:t>
      </w:r>
      <w:r w:rsidR="00D028FF">
        <w:rPr>
          <w:szCs w:val="22"/>
        </w:rPr>
        <w:t>47 CFR</w:t>
      </w:r>
      <w:r w:rsidR="00BD0F7A" w:rsidRPr="00BD0F7A">
        <w:rPr>
          <w:szCs w:val="22"/>
        </w:rPr>
        <w:t> 25.136.</w:t>
      </w:r>
      <w:r w:rsidRPr="00DD7A90">
        <w:rPr>
          <w:szCs w:val="22"/>
        </w:rPr>
        <w:t>”</w:t>
      </w:r>
    </w:p>
    <w:p w14:paraId="00D775DE" w14:textId="77777777" w:rsidR="00DC24C1" w:rsidRDefault="00D028FF" w:rsidP="00A64C85">
      <w:pPr>
        <w:pStyle w:val="ParaNum"/>
        <w:numPr>
          <w:ilvl w:val="0"/>
          <w:numId w:val="4"/>
        </w:numPr>
        <w:ind w:left="0" w:firstLine="720"/>
        <w:rPr>
          <w:szCs w:val="22"/>
        </w:rPr>
      </w:pPr>
      <w:r>
        <w:rPr>
          <w:szCs w:val="22"/>
        </w:rPr>
        <w:t>Section 30.204, subsection (a) is corrected to read as follows</w:t>
      </w:r>
      <w:r w:rsidR="00DC24C1">
        <w:rPr>
          <w:szCs w:val="22"/>
        </w:rPr>
        <w:t>:</w:t>
      </w:r>
    </w:p>
    <w:p w14:paraId="64D17719" w14:textId="77777777" w:rsidR="00DA1D01" w:rsidRPr="00DD7A90" w:rsidRDefault="00DA1D01" w:rsidP="00DC24C1">
      <w:pPr>
        <w:pStyle w:val="ParaNum"/>
        <w:numPr>
          <w:ilvl w:val="0"/>
          <w:numId w:val="0"/>
        </w:numPr>
        <w:ind w:left="720"/>
        <w:rPr>
          <w:szCs w:val="22"/>
        </w:rPr>
      </w:pPr>
      <w:r w:rsidRPr="00DD7A90">
        <w:rPr>
          <w:szCs w:val="22"/>
        </w:rPr>
        <w:t>“</w:t>
      </w:r>
      <w:r w:rsidR="00D028FF" w:rsidRPr="00D028FF">
        <w:rPr>
          <w:szCs w:val="22"/>
        </w:rPr>
        <w:t>Base/Mobile Operations: The predicted or measured Power Flux Density (PFD) from any Base Station operating in the 27.5-28.35 GHz band, 37-38.6 GHz band, and 38.6-40 GHz bands at any location on the geographical border of a licensee's service area shall not exceed -76dBm/m</w:t>
      </w:r>
      <w:r w:rsidR="00D028FF" w:rsidRPr="00D028FF">
        <w:rPr>
          <w:szCs w:val="22"/>
          <w:vertAlign w:val="superscript"/>
        </w:rPr>
        <w:t>2</w:t>
      </w:r>
      <w:r w:rsidR="00D028FF" w:rsidRPr="00D028FF">
        <w:rPr>
          <w:szCs w:val="22"/>
        </w:rPr>
        <w:t>/MHz (measured at 1</w:t>
      </w:r>
      <w:r w:rsidR="00D028FF">
        <w:rPr>
          <w:szCs w:val="22"/>
        </w:rPr>
        <w:t>.5</w:t>
      </w:r>
      <w:r w:rsidR="00D028FF" w:rsidRPr="00D028FF">
        <w:rPr>
          <w:szCs w:val="22"/>
        </w:rPr>
        <w:t xml:space="preserve"> meters above ground) unless the adjacent affected service area licensee(s) agree(s) to a different PFD.</w:t>
      </w:r>
      <w:r w:rsidR="008E1DD4" w:rsidRPr="00DD7A90">
        <w:rPr>
          <w:snapToGrid/>
          <w:kern w:val="0"/>
          <w:szCs w:val="22"/>
        </w:rPr>
        <w:t>”</w:t>
      </w:r>
    </w:p>
    <w:p w14:paraId="52D2F5CA" w14:textId="77777777" w:rsidR="000A4936" w:rsidRPr="00DD7A90" w:rsidRDefault="000A4936" w:rsidP="00DC24C1">
      <w:pPr>
        <w:pStyle w:val="ParaNum"/>
        <w:numPr>
          <w:ilvl w:val="0"/>
          <w:numId w:val="0"/>
        </w:numPr>
        <w:spacing w:before="240" w:after="240"/>
        <w:rPr>
          <w:szCs w:val="22"/>
        </w:rPr>
      </w:pPr>
      <w:r w:rsidRPr="00067F0C">
        <w:rPr>
          <w:b/>
          <w:szCs w:val="22"/>
        </w:rPr>
        <w:t>A</w:t>
      </w:r>
      <w:r w:rsidR="00DC24C1" w:rsidRPr="00067F0C">
        <w:rPr>
          <w:b/>
          <w:szCs w:val="22"/>
        </w:rPr>
        <w:t>PPENDIX</w:t>
      </w:r>
      <w:r w:rsidRPr="00067F0C">
        <w:rPr>
          <w:b/>
          <w:szCs w:val="22"/>
        </w:rPr>
        <w:t xml:space="preserve"> </w:t>
      </w:r>
      <w:r w:rsidR="00D028FF">
        <w:rPr>
          <w:b/>
          <w:szCs w:val="22"/>
        </w:rPr>
        <w:t>G</w:t>
      </w:r>
      <w:r w:rsidRPr="00DD7A90">
        <w:rPr>
          <w:szCs w:val="22"/>
        </w:rPr>
        <w:t xml:space="preserve"> </w:t>
      </w:r>
      <w:r w:rsidR="00DC24C1">
        <w:rPr>
          <w:szCs w:val="22"/>
        </w:rPr>
        <w:t>is corrected</w:t>
      </w:r>
      <w:r w:rsidRPr="00DD7A90">
        <w:rPr>
          <w:i/>
          <w:szCs w:val="22"/>
        </w:rPr>
        <w:t xml:space="preserve"> </w:t>
      </w:r>
      <w:r w:rsidRPr="00DD7A90">
        <w:rPr>
          <w:szCs w:val="22"/>
        </w:rPr>
        <w:t xml:space="preserve">as </w:t>
      </w:r>
      <w:r w:rsidR="00DC24C1">
        <w:rPr>
          <w:szCs w:val="22"/>
        </w:rPr>
        <w:t>follows</w:t>
      </w:r>
      <w:r w:rsidRPr="00DD7A90">
        <w:rPr>
          <w:szCs w:val="22"/>
        </w:rPr>
        <w:t>:</w:t>
      </w:r>
    </w:p>
    <w:p w14:paraId="022C276B" w14:textId="77777777" w:rsidR="006E7977" w:rsidRDefault="00D028FF" w:rsidP="00D028FF">
      <w:pPr>
        <w:pStyle w:val="ParaNum"/>
        <w:numPr>
          <w:ilvl w:val="0"/>
          <w:numId w:val="4"/>
        </w:numPr>
        <w:rPr>
          <w:szCs w:val="22"/>
        </w:rPr>
      </w:pPr>
      <w:r>
        <w:rPr>
          <w:szCs w:val="22"/>
        </w:rPr>
        <w:t>Section 2.106</w:t>
      </w:r>
      <w:r w:rsidR="006675C0">
        <w:rPr>
          <w:szCs w:val="22"/>
        </w:rPr>
        <w:t>, in the 42-42.5 GHz band within the non-Federal table (on page 243 of the released item), delete the “BROADCASTING” allocation.</w:t>
      </w:r>
    </w:p>
    <w:p w14:paraId="72F0EFF6" w14:textId="77777777" w:rsidR="006E7977" w:rsidRDefault="006E7977">
      <w:pPr>
        <w:widowControl/>
        <w:rPr>
          <w:szCs w:val="22"/>
        </w:rPr>
      </w:pPr>
      <w:r>
        <w:rPr>
          <w:szCs w:val="22"/>
        </w:rPr>
        <w:br w:type="page"/>
      </w:r>
    </w:p>
    <w:p w14:paraId="2032A423" w14:textId="77777777" w:rsidR="00D028FF" w:rsidRDefault="00D028FF" w:rsidP="00D028FF">
      <w:pPr>
        <w:pStyle w:val="ParaNum"/>
        <w:numPr>
          <w:ilvl w:val="0"/>
          <w:numId w:val="4"/>
        </w:numPr>
        <w:rPr>
          <w:szCs w:val="22"/>
        </w:rPr>
      </w:pPr>
      <w:r>
        <w:rPr>
          <w:szCs w:val="22"/>
        </w:rPr>
        <w:lastRenderedPageBreak/>
        <w:t>Section 30.5, subsection (a) is corrected to read as follows:</w:t>
      </w:r>
    </w:p>
    <w:p w14:paraId="51CF8F2E" w14:textId="77777777" w:rsidR="00E51024" w:rsidRPr="008F0C0F" w:rsidRDefault="00D028FF" w:rsidP="00D028FF">
      <w:pPr>
        <w:pStyle w:val="ParaNum"/>
        <w:numPr>
          <w:ilvl w:val="0"/>
          <w:numId w:val="0"/>
        </w:numPr>
        <w:ind w:left="1080"/>
        <w:rPr>
          <w:szCs w:val="22"/>
        </w:rPr>
      </w:pPr>
      <w:r>
        <w:rPr>
          <w:szCs w:val="22"/>
        </w:rPr>
        <w:t>“</w:t>
      </w:r>
      <w:r w:rsidRPr="00D028FF">
        <w:rPr>
          <w:szCs w:val="22"/>
        </w:rPr>
        <w:t>Except as noted in paragraphs (b) and (c) of this section, and except for the shared 37-37.6 GHz, 71-76 GHz, and 81-86 GHz bands, the service areas for the Upper Microwave Flexible Use Service are</w:t>
      </w:r>
      <w:r>
        <w:rPr>
          <w:szCs w:val="22"/>
        </w:rPr>
        <w:t xml:space="preserve"> Partial Economic Areas</w:t>
      </w:r>
      <w:r w:rsidRPr="00D028FF">
        <w:rPr>
          <w:szCs w:val="22"/>
        </w:rPr>
        <w:t>.</w:t>
      </w:r>
      <w:r>
        <w:rPr>
          <w:szCs w:val="22"/>
        </w:rPr>
        <w:t>”</w:t>
      </w:r>
    </w:p>
    <w:p w14:paraId="22B4C7F5" w14:textId="77777777" w:rsidR="00B07300" w:rsidRPr="00DD7A90" w:rsidRDefault="00B07300" w:rsidP="005A09E4">
      <w:pPr>
        <w:pStyle w:val="Heading1"/>
        <w:numPr>
          <w:ilvl w:val="0"/>
          <w:numId w:val="0"/>
        </w:numPr>
        <w:spacing w:before="220" w:after="0"/>
        <w:rPr>
          <w:rFonts w:ascii="Times New Roman" w:hAnsi="Times New Roman"/>
          <w:b w:val="0"/>
          <w:caps w:val="0"/>
          <w:spacing w:val="-2"/>
          <w:szCs w:val="22"/>
        </w:rPr>
      </w:pPr>
      <w:r w:rsidRPr="00DD7A90">
        <w:rPr>
          <w:b w:val="0"/>
          <w:caps w:val="0"/>
          <w:spacing w:val="-2"/>
          <w:szCs w:val="22"/>
        </w:rPr>
        <w:tab/>
      </w:r>
      <w:r w:rsidRPr="00DD7A90">
        <w:rPr>
          <w:b w:val="0"/>
          <w:caps w:val="0"/>
          <w:spacing w:val="-2"/>
          <w:szCs w:val="22"/>
        </w:rPr>
        <w:tab/>
      </w:r>
      <w:r w:rsidRPr="00DD7A90">
        <w:rPr>
          <w:b w:val="0"/>
          <w:caps w:val="0"/>
          <w:spacing w:val="-2"/>
          <w:szCs w:val="22"/>
        </w:rPr>
        <w:tab/>
      </w:r>
      <w:r w:rsidRPr="00DD7A90">
        <w:rPr>
          <w:b w:val="0"/>
          <w:caps w:val="0"/>
          <w:spacing w:val="-2"/>
          <w:szCs w:val="22"/>
        </w:rPr>
        <w:tab/>
      </w:r>
      <w:r w:rsidRPr="00DD7A90">
        <w:rPr>
          <w:b w:val="0"/>
          <w:caps w:val="0"/>
          <w:spacing w:val="-2"/>
          <w:szCs w:val="22"/>
        </w:rPr>
        <w:tab/>
      </w:r>
      <w:r w:rsidRPr="00DD7A90">
        <w:rPr>
          <w:b w:val="0"/>
          <w:caps w:val="0"/>
          <w:spacing w:val="-2"/>
          <w:szCs w:val="22"/>
        </w:rPr>
        <w:tab/>
      </w:r>
      <w:r w:rsidRPr="00DD7A90">
        <w:rPr>
          <w:rFonts w:ascii="Times New Roman" w:hAnsi="Times New Roman"/>
          <w:b w:val="0"/>
          <w:caps w:val="0"/>
          <w:spacing w:val="-2"/>
          <w:szCs w:val="22"/>
        </w:rPr>
        <w:t>FEDERAL COMMUNICATIONS COMMISSION</w:t>
      </w:r>
    </w:p>
    <w:p w14:paraId="0C67B93B" w14:textId="77777777" w:rsidR="00B07300" w:rsidRPr="00DD7A90" w:rsidRDefault="00B07300" w:rsidP="002A29D2">
      <w:pPr>
        <w:pStyle w:val="Heading1"/>
        <w:numPr>
          <w:ilvl w:val="0"/>
          <w:numId w:val="0"/>
        </w:numPr>
        <w:spacing w:after="0"/>
        <w:rPr>
          <w:rFonts w:ascii="Times New Roman" w:hAnsi="Times New Roman"/>
          <w:b w:val="0"/>
          <w:caps w:val="0"/>
          <w:spacing w:val="-2"/>
          <w:szCs w:val="22"/>
        </w:rPr>
      </w:pPr>
    </w:p>
    <w:p w14:paraId="0239BAE5" w14:textId="77777777" w:rsidR="002A29D2" w:rsidRPr="00DD7A90" w:rsidRDefault="002A29D2" w:rsidP="002A29D2">
      <w:pPr>
        <w:pStyle w:val="ParaNum"/>
        <w:numPr>
          <w:ilvl w:val="0"/>
          <w:numId w:val="0"/>
        </w:numPr>
        <w:spacing w:after="0"/>
        <w:rPr>
          <w:szCs w:val="22"/>
        </w:rPr>
      </w:pPr>
    </w:p>
    <w:p w14:paraId="7BC387FA" w14:textId="77777777" w:rsidR="00153184" w:rsidRDefault="00153184" w:rsidP="002A29D2">
      <w:pPr>
        <w:pStyle w:val="ParaNum"/>
        <w:numPr>
          <w:ilvl w:val="0"/>
          <w:numId w:val="0"/>
        </w:numPr>
        <w:spacing w:after="0"/>
        <w:rPr>
          <w:szCs w:val="22"/>
        </w:rPr>
      </w:pPr>
    </w:p>
    <w:p w14:paraId="17448925" w14:textId="77777777" w:rsidR="0072575B" w:rsidRPr="00DD7A90" w:rsidRDefault="0072575B" w:rsidP="002A29D2">
      <w:pPr>
        <w:pStyle w:val="ParaNum"/>
        <w:numPr>
          <w:ilvl w:val="0"/>
          <w:numId w:val="0"/>
        </w:numPr>
        <w:spacing w:after="0"/>
        <w:rPr>
          <w:szCs w:val="22"/>
        </w:rPr>
      </w:pPr>
    </w:p>
    <w:p w14:paraId="3B4E1CA5" w14:textId="77777777" w:rsidR="00153184" w:rsidRPr="00DD7A90" w:rsidRDefault="006675C0" w:rsidP="00153184">
      <w:pPr>
        <w:ind w:left="3600" w:firstLine="720"/>
        <w:rPr>
          <w:szCs w:val="22"/>
        </w:rPr>
      </w:pPr>
      <w:r>
        <w:rPr>
          <w:szCs w:val="22"/>
        </w:rPr>
        <w:t>John J. Schauble</w:t>
      </w:r>
    </w:p>
    <w:p w14:paraId="3EADB55E" w14:textId="77777777" w:rsidR="00492342" w:rsidRPr="00DD7A90" w:rsidRDefault="006675C0" w:rsidP="00153184">
      <w:pPr>
        <w:pStyle w:val="ParaNum"/>
        <w:numPr>
          <w:ilvl w:val="0"/>
          <w:numId w:val="0"/>
        </w:numPr>
        <w:spacing w:after="0"/>
        <w:ind w:left="3600" w:firstLine="720"/>
        <w:rPr>
          <w:szCs w:val="22"/>
        </w:rPr>
      </w:pPr>
      <w:r>
        <w:rPr>
          <w:szCs w:val="22"/>
        </w:rPr>
        <w:t xml:space="preserve">Deputy </w:t>
      </w:r>
      <w:r w:rsidR="00153184" w:rsidRPr="00DD7A90">
        <w:rPr>
          <w:szCs w:val="22"/>
        </w:rPr>
        <w:t>Chief</w:t>
      </w:r>
      <w:r>
        <w:rPr>
          <w:szCs w:val="22"/>
        </w:rPr>
        <w:t>, Broadband Division</w:t>
      </w:r>
    </w:p>
    <w:p w14:paraId="29139F4E" w14:textId="77777777" w:rsidR="002E484C" w:rsidRPr="00DD7A90" w:rsidRDefault="00153184" w:rsidP="00153184">
      <w:pPr>
        <w:pStyle w:val="ParaNum"/>
        <w:numPr>
          <w:ilvl w:val="0"/>
          <w:numId w:val="0"/>
        </w:numPr>
        <w:spacing w:after="0"/>
        <w:ind w:left="3600" w:firstLine="720"/>
        <w:rPr>
          <w:szCs w:val="22"/>
        </w:rPr>
      </w:pPr>
      <w:r w:rsidRPr="00DD7A90">
        <w:rPr>
          <w:szCs w:val="22"/>
        </w:rPr>
        <w:t>Wireless Telecommunications Bureau</w:t>
      </w:r>
    </w:p>
    <w:sectPr w:rsidR="002E484C" w:rsidRPr="00DD7A90" w:rsidSect="007D2143">
      <w:headerReference w:type="even" r:id="rId8"/>
      <w:headerReference w:type="default" r:id="rId9"/>
      <w:footerReference w:type="even" r:id="rId10"/>
      <w:footerReference w:type="default" r:id="rId11"/>
      <w:headerReference w:type="first" r:id="rId12"/>
      <w:footerReference w:type="first" r:id="rId13"/>
      <w:footnotePr>
        <w:numStart w:val="255"/>
      </w:footnotePr>
      <w:pgSz w:w="12240" w:h="15840" w:code="1"/>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9183C4" w14:textId="77777777" w:rsidR="00CE4B5D" w:rsidRDefault="00CE4B5D">
      <w:r>
        <w:separator/>
      </w:r>
    </w:p>
  </w:endnote>
  <w:endnote w:type="continuationSeparator" w:id="0">
    <w:p w14:paraId="1D99384C" w14:textId="77777777" w:rsidR="00CE4B5D" w:rsidRDefault="00CE4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18E17" w14:textId="77777777" w:rsidR="002C65ED" w:rsidRDefault="002C65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596309"/>
      <w:docPartObj>
        <w:docPartGallery w:val="Page Numbers (Bottom of Page)"/>
        <w:docPartUnique/>
      </w:docPartObj>
    </w:sdtPr>
    <w:sdtEndPr>
      <w:rPr>
        <w:noProof/>
      </w:rPr>
    </w:sdtEndPr>
    <w:sdtContent>
      <w:p w14:paraId="210A1244" w14:textId="26E4614E" w:rsidR="00BD0F7A" w:rsidRPr="007D2143" w:rsidRDefault="007D2143" w:rsidP="007D2143">
        <w:pPr>
          <w:pStyle w:val="Footer"/>
          <w:jc w:val="center"/>
        </w:pPr>
        <w:r>
          <w:fldChar w:fldCharType="begin"/>
        </w:r>
        <w:r>
          <w:instrText xml:space="preserve"> PAGE   \* MERGEFORMAT </w:instrText>
        </w:r>
        <w:r>
          <w:fldChar w:fldCharType="separate"/>
        </w:r>
        <w:r w:rsidR="0090270B">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8029826"/>
      <w:docPartObj>
        <w:docPartGallery w:val="Page Numbers (Bottom of Page)"/>
        <w:docPartUnique/>
      </w:docPartObj>
    </w:sdtPr>
    <w:sdtEndPr>
      <w:rPr>
        <w:noProof/>
      </w:rPr>
    </w:sdtEndPr>
    <w:sdtContent>
      <w:p w14:paraId="3D36F24B" w14:textId="5BCCF762" w:rsidR="007D2143" w:rsidRDefault="0090270B" w:rsidP="007D2143">
        <w:pPr>
          <w:pStyle w:val="Footer"/>
          <w:tabs>
            <w:tab w:val="clear" w:pos="8640"/>
          </w:tabs>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00DEC5" w14:textId="77777777" w:rsidR="00CE4B5D" w:rsidRDefault="00CE4B5D">
      <w:pPr>
        <w:rPr>
          <w:sz w:val="20"/>
        </w:rPr>
      </w:pPr>
      <w:r>
        <w:rPr>
          <w:sz w:val="20"/>
        </w:rPr>
        <w:separator/>
      </w:r>
    </w:p>
  </w:footnote>
  <w:footnote w:type="continuationSeparator" w:id="0">
    <w:p w14:paraId="7EFDAC9C" w14:textId="77777777" w:rsidR="00CE4B5D" w:rsidRDefault="00CE4B5D">
      <w:pPr>
        <w:rPr>
          <w:sz w:val="20"/>
        </w:rPr>
      </w:pPr>
      <w:r>
        <w:rPr>
          <w:sz w:val="20"/>
        </w:rPr>
        <w:separator/>
      </w:r>
    </w:p>
    <w:p w14:paraId="64D3CC77" w14:textId="77777777" w:rsidR="00CE4B5D" w:rsidRDefault="00CE4B5D">
      <w:pPr>
        <w:rPr>
          <w:sz w:val="20"/>
        </w:rPr>
      </w:pPr>
      <w:r>
        <w:rPr>
          <w:sz w:val="20"/>
        </w:rPr>
        <w:t>(...continued from previous page)</w:t>
      </w:r>
    </w:p>
  </w:footnote>
  <w:footnote w:type="continuationNotice" w:id="1">
    <w:p w14:paraId="3F21C2B2" w14:textId="77777777" w:rsidR="00CE4B5D" w:rsidRDefault="00CE4B5D">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8CEF7" w14:textId="77777777" w:rsidR="002C65ED" w:rsidRDefault="002C65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ECE10" w14:textId="77777777" w:rsidR="00BD0F7A" w:rsidRDefault="00BD0F7A" w:rsidP="002A29D2">
    <w:pPr>
      <w:pStyle w:val="Header"/>
    </w:pPr>
    <w:r>
      <w:tab/>
      <w:t>Federal Communications Commission</w:t>
    </w:r>
    <w:r>
      <w:tab/>
      <w:t xml:space="preserve"> </w:t>
    </w:r>
  </w:p>
  <w:p w14:paraId="4833FB6D" w14:textId="77777777" w:rsidR="00BD0F7A" w:rsidRDefault="00BD0F7A" w:rsidP="002A29D2">
    <w:pPr>
      <w:pStyle w:val="Header"/>
    </w:pPr>
    <w:r>
      <w:rPr>
        <w:noProof/>
        <w:snapToGrid/>
      </w:rPr>
      <mc:AlternateContent>
        <mc:Choice Requires="wps">
          <w:drawing>
            <wp:anchor distT="0" distB="0" distL="114300" distR="114300" simplePos="0" relativeHeight="251658240" behindDoc="0" locked="0" layoutInCell="0" allowOverlap="1" wp14:anchorId="3A1E1D36" wp14:editId="305380D4">
              <wp:simplePos x="0" y="0"/>
              <wp:positionH relativeFrom="column">
                <wp:posOffset>0</wp:posOffset>
              </wp:positionH>
              <wp:positionV relativeFrom="paragraph">
                <wp:posOffset>22225</wp:posOffset>
              </wp:positionV>
              <wp:extent cx="5943600" cy="0"/>
              <wp:effectExtent l="0" t="0" r="1905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EF924ED"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xkREA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" o:allowincell="f" strokeweight="1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9B9E4" w14:textId="77777777" w:rsidR="00BD0F7A" w:rsidRPr="002A29D2" w:rsidRDefault="00BD0F7A" w:rsidP="002A29D2">
    <w:pPr>
      <w:pStyle w:val="Header"/>
    </w:pPr>
    <w:r>
      <w:tab/>
    </w:r>
    <w:r w:rsidRPr="002A29D2">
      <w:t>Federal Communications Commission</w:t>
    </w:r>
    <w:r w:rsidRPr="002A29D2">
      <w:tab/>
      <w:t xml:space="preserve"> </w:t>
    </w:r>
  </w:p>
  <w:p w14:paraId="182D2B5C" w14:textId="77777777" w:rsidR="00BD0F7A" w:rsidRDefault="00BD0F7A" w:rsidP="002A29D2">
    <w:pPr>
      <w:pStyle w:val="Header"/>
    </w:pPr>
    <w:r>
      <w:rPr>
        <w:noProof/>
        <w:snapToGrid/>
      </w:rPr>
      <mc:AlternateContent>
        <mc:Choice Requires="wps">
          <w:drawing>
            <wp:anchor distT="0" distB="0" distL="114300" distR="114300" simplePos="0" relativeHeight="251657216" behindDoc="0" locked="0" layoutInCell="0" allowOverlap="1" wp14:anchorId="0E820130" wp14:editId="2C743C72">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C95D7AC"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G/i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2466989"/>
    <w:multiLevelType w:val="hybridMultilevel"/>
    <w:tmpl w:val="827C6E66"/>
    <w:lvl w:ilvl="0" w:tplc="28C80D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B5859EE"/>
    <w:multiLevelType w:val="hybridMultilevel"/>
    <w:tmpl w:val="AF3C2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4E5271A3"/>
    <w:multiLevelType w:val="hybridMultilevel"/>
    <w:tmpl w:val="869473B4"/>
    <w:lvl w:ilvl="0" w:tplc="28C80D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39530E2"/>
    <w:multiLevelType w:val="hybridMultilevel"/>
    <w:tmpl w:val="D52A5916"/>
    <w:lvl w:ilvl="0" w:tplc="28C80D8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8"/>
  </w:num>
  <w:num w:numId="2">
    <w:abstractNumId w:val="10"/>
  </w:num>
  <w:num w:numId="3">
    <w:abstractNumId w:val="3"/>
  </w:num>
  <w:num w:numId="4">
    <w:abstractNumId w:val="9"/>
  </w:num>
  <w:num w:numId="5">
    <w:abstractNumId w:val="1"/>
  </w:num>
  <w:num w:numId="6">
    <w:abstractNumId w:val="6"/>
  </w:num>
  <w:num w:numId="7">
    <w:abstractNumId w:val="2"/>
  </w:num>
  <w:num w:numId="8">
    <w:abstractNumId w:val="0"/>
  </w:num>
  <w:num w:numId="9">
    <w:abstractNumId w:val="5"/>
  </w:num>
  <w:num w:numId="10">
    <w:abstractNumId w:val="5"/>
  </w:num>
  <w:num w:numId="11">
    <w:abstractNumId w:val="7"/>
  </w:num>
  <w:num w:numId="12">
    <w:abstractNumId w:val="4"/>
  </w:num>
  <w:num w:numId="13">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numStart w:val="255"/>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84C"/>
    <w:rsid w:val="00010C8C"/>
    <w:rsid w:val="00020D97"/>
    <w:rsid w:val="00042D73"/>
    <w:rsid w:val="000463D1"/>
    <w:rsid w:val="00051538"/>
    <w:rsid w:val="00067F0C"/>
    <w:rsid w:val="000808DD"/>
    <w:rsid w:val="000846D1"/>
    <w:rsid w:val="00085026"/>
    <w:rsid w:val="00097941"/>
    <w:rsid w:val="000A4936"/>
    <w:rsid w:val="000A5702"/>
    <w:rsid w:val="000F34C9"/>
    <w:rsid w:val="0010534A"/>
    <w:rsid w:val="00117B74"/>
    <w:rsid w:val="001305E3"/>
    <w:rsid w:val="00147EE4"/>
    <w:rsid w:val="00153184"/>
    <w:rsid w:val="0016448A"/>
    <w:rsid w:val="001654D4"/>
    <w:rsid w:val="00181FED"/>
    <w:rsid w:val="00183939"/>
    <w:rsid w:val="0019114F"/>
    <w:rsid w:val="001916C3"/>
    <w:rsid w:val="001A368B"/>
    <w:rsid w:val="001B3D75"/>
    <w:rsid w:val="001B4934"/>
    <w:rsid w:val="001B70C0"/>
    <w:rsid w:val="00214C43"/>
    <w:rsid w:val="002956B4"/>
    <w:rsid w:val="002A29D2"/>
    <w:rsid w:val="002A4E36"/>
    <w:rsid w:val="002B59BD"/>
    <w:rsid w:val="002B660E"/>
    <w:rsid w:val="002C3C19"/>
    <w:rsid w:val="002C65ED"/>
    <w:rsid w:val="002D0B4C"/>
    <w:rsid w:val="002D2C2B"/>
    <w:rsid w:val="002E0DDD"/>
    <w:rsid w:val="002E33FB"/>
    <w:rsid w:val="002E484C"/>
    <w:rsid w:val="00352583"/>
    <w:rsid w:val="00355D7B"/>
    <w:rsid w:val="00367162"/>
    <w:rsid w:val="00377729"/>
    <w:rsid w:val="003A11B5"/>
    <w:rsid w:val="003C7F5A"/>
    <w:rsid w:val="003E0BC9"/>
    <w:rsid w:val="004023E0"/>
    <w:rsid w:val="00407C1B"/>
    <w:rsid w:val="00432EEC"/>
    <w:rsid w:val="00456E40"/>
    <w:rsid w:val="0045763B"/>
    <w:rsid w:val="004602B4"/>
    <w:rsid w:val="00467C4B"/>
    <w:rsid w:val="00492342"/>
    <w:rsid w:val="0049461D"/>
    <w:rsid w:val="004A0CBB"/>
    <w:rsid w:val="00540430"/>
    <w:rsid w:val="0055407D"/>
    <w:rsid w:val="0056645B"/>
    <w:rsid w:val="0057022D"/>
    <w:rsid w:val="00586C02"/>
    <w:rsid w:val="005946F5"/>
    <w:rsid w:val="005A09E4"/>
    <w:rsid w:val="005C4054"/>
    <w:rsid w:val="005E29B1"/>
    <w:rsid w:val="005E2C76"/>
    <w:rsid w:val="0060228B"/>
    <w:rsid w:val="00664505"/>
    <w:rsid w:val="006675C0"/>
    <w:rsid w:val="00672346"/>
    <w:rsid w:val="0069181E"/>
    <w:rsid w:val="00695892"/>
    <w:rsid w:val="006B076F"/>
    <w:rsid w:val="006B38D7"/>
    <w:rsid w:val="006B68D5"/>
    <w:rsid w:val="006E5F3F"/>
    <w:rsid w:val="006E7977"/>
    <w:rsid w:val="007103FC"/>
    <w:rsid w:val="0072575B"/>
    <w:rsid w:val="00744226"/>
    <w:rsid w:val="00752430"/>
    <w:rsid w:val="00782862"/>
    <w:rsid w:val="007D2143"/>
    <w:rsid w:val="007D2B3E"/>
    <w:rsid w:val="007E43CD"/>
    <w:rsid w:val="00806FBD"/>
    <w:rsid w:val="008571CD"/>
    <w:rsid w:val="00865B46"/>
    <w:rsid w:val="008777A1"/>
    <w:rsid w:val="00880AC7"/>
    <w:rsid w:val="0089010F"/>
    <w:rsid w:val="00891AB5"/>
    <w:rsid w:val="00891ADC"/>
    <w:rsid w:val="008B7989"/>
    <w:rsid w:val="008D5C74"/>
    <w:rsid w:val="008E1DD4"/>
    <w:rsid w:val="008F0264"/>
    <w:rsid w:val="008F0C0F"/>
    <w:rsid w:val="0090270B"/>
    <w:rsid w:val="00917CD5"/>
    <w:rsid w:val="0097751C"/>
    <w:rsid w:val="009A2707"/>
    <w:rsid w:val="009B513A"/>
    <w:rsid w:val="009B7986"/>
    <w:rsid w:val="009C4ACA"/>
    <w:rsid w:val="009C72E6"/>
    <w:rsid w:val="009E34BB"/>
    <w:rsid w:val="009F27FA"/>
    <w:rsid w:val="00A07697"/>
    <w:rsid w:val="00A57F62"/>
    <w:rsid w:val="00A64C85"/>
    <w:rsid w:val="00A908F1"/>
    <w:rsid w:val="00A958E4"/>
    <w:rsid w:val="00AA2D6B"/>
    <w:rsid w:val="00AD09E3"/>
    <w:rsid w:val="00AD6744"/>
    <w:rsid w:val="00B07300"/>
    <w:rsid w:val="00B222A4"/>
    <w:rsid w:val="00B366DD"/>
    <w:rsid w:val="00B37BB3"/>
    <w:rsid w:val="00B46E11"/>
    <w:rsid w:val="00B616F4"/>
    <w:rsid w:val="00B6517D"/>
    <w:rsid w:val="00BB2D1B"/>
    <w:rsid w:val="00BC4020"/>
    <w:rsid w:val="00BD0F7A"/>
    <w:rsid w:val="00BE6A1C"/>
    <w:rsid w:val="00C063B1"/>
    <w:rsid w:val="00C2070B"/>
    <w:rsid w:val="00C44771"/>
    <w:rsid w:val="00C46669"/>
    <w:rsid w:val="00C7654D"/>
    <w:rsid w:val="00C77D56"/>
    <w:rsid w:val="00CD4452"/>
    <w:rsid w:val="00CE4B5D"/>
    <w:rsid w:val="00D028FF"/>
    <w:rsid w:val="00D62A07"/>
    <w:rsid w:val="00D65129"/>
    <w:rsid w:val="00D713D3"/>
    <w:rsid w:val="00D9560C"/>
    <w:rsid w:val="00DA1D01"/>
    <w:rsid w:val="00DB1245"/>
    <w:rsid w:val="00DB6A2E"/>
    <w:rsid w:val="00DC1241"/>
    <w:rsid w:val="00DC24C1"/>
    <w:rsid w:val="00DC42C6"/>
    <w:rsid w:val="00DC6A41"/>
    <w:rsid w:val="00DD7A90"/>
    <w:rsid w:val="00DE3CB1"/>
    <w:rsid w:val="00E00C13"/>
    <w:rsid w:val="00E00E22"/>
    <w:rsid w:val="00E174D2"/>
    <w:rsid w:val="00E34B8F"/>
    <w:rsid w:val="00E51024"/>
    <w:rsid w:val="00E54F94"/>
    <w:rsid w:val="00EA776B"/>
    <w:rsid w:val="00EB082B"/>
    <w:rsid w:val="00EB1A95"/>
    <w:rsid w:val="00ED139F"/>
    <w:rsid w:val="00ED2B76"/>
    <w:rsid w:val="00ED2EA8"/>
    <w:rsid w:val="00EF5278"/>
    <w:rsid w:val="00F25801"/>
    <w:rsid w:val="00F50030"/>
    <w:rsid w:val="00F60D6A"/>
    <w:rsid w:val="00F67BFC"/>
    <w:rsid w:val="00F75BB8"/>
    <w:rsid w:val="00F97813"/>
    <w:rsid w:val="00FA6283"/>
    <w:rsid w:val="00FB087F"/>
    <w:rsid w:val="00FB2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41"/>
    <o:shapelayout v:ext="edit">
      <o:idmap v:ext="edit" data="1"/>
    </o:shapelayout>
  </w:shapeDefaults>
  <w:decimalSymbol w:val="."/>
  <w:listSeparator w:val=","/>
  <w14:docId w14:val="7025F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6F4"/>
    <w:pPr>
      <w:widowControl w:val="0"/>
    </w:pPr>
    <w:rPr>
      <w:snapToGrid w:val="0"/>
      <w:kern w:val="28"/>
      <w:sz w:val="22"/>
    </w:rPr>
  </w:style>
  <w:style w:type="paragraph" w:styleId="Heading1">
    <w:name w:val="heading 1"/>
    <w:basedOn w:val="Normal"/>
    <w:next w:val="ParaNum"/>
    <w:qFormat/>
    <w:rsid w:val="00B616F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B616F4"/>
    <w:pPr>
      <w:keepNext/>
      <w:numPr>
        <w:ilvl w:val="1"/>
        <w:numId w:val="3"/>
      </w:numPr>
      <w:spacing w:after="120"/>
      <w:outlineLvl w:val="1"/>
    </w:pPr>
    <w:rPr>
      <w:b/>
    </w:rPr>
  </w:style>
  <w:style w:type="paragraph" w:styleId="Heading3">
    <w:name w:val="heading 3"/>
    <w:basedOn w:val="Normal"/>
    <w:next w:val="ParaNum"/>
    <w:qFormat/>
    <w:rsid w:val="00B616F4"/>
    <w:pPr>
      <w:keepNext/>
      <w:numPr>
        <w:ilvl w:val="2"/>
        <w:numId w:val="3"/>
      </w:numPr>
      <w:tabs>
        <w:tab w:val="left" w:pos="2160"/>
      </w:tabs>
      <w:spacing w:after="120"/>
      <w:outlineLvl w:val="2"/>
    </w:pPr>
    <w:rPr>
      <w:b/>
    </w:rPr>
  </w:style>
  <w:style w:type="paragraph" w:styleId="Heading4">
    <w:name w:val="heading 4"/>
    <w:basedOn w:val="Normal"/>
    <w:next w:val="ParaNum"/>
    <w:qFormat/>
    <w:rsid w:val="00B616F4"/>
    <w:pPr>
      <w:keepNext/>
      <w:numPr>
        <w:ilvl w:val="3"/>
        <w:numId w:val="3"/>
      </w:numPr>
      <w:tabs>
        <w:tab w:val="left" w:pos="2880"/>
      </w:tabs>
      <w:spacing w:after="120"/>
      <w:outlineLvl w:val="3"/>
    </w:pPr>
    <w:rPr>
      <w:b/>
    </w:rPr>
  </w:style>
  <w:style w:type="paragraph" w:styleId="Heading5">
    <w:name w:val="heading 5"/>
    <w:basedOn w:val="Normal"/>
    <w:next w:val="ParaNum"/>
    <w:qFormat/>
    <w:rsid w:val="00B616F4"/>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B616F4"/>
    <w:pPr>
      <w:numPr>
        <w:ilvl w:val="5"/>
        <w:numId w:val="3"/>
      </w:numPr>
      <w:tabs>
        <w:tab w:val="left" w:pos="4320"/>
      </w:tabs>
      <w:spacing w:after="120"/>
      <w:outlineLvl w:val="5"/>
    </w:pPr>
    <w:rPr>
      <w:b/>
    </w:rPr>
  </w:style>
  <w:style w:type="paragraph" w:styleId="Heading7">
    <w:name w:val="heading 7"/>
    <w:basedOn w:val="Normal"/>
    <w:next w:val="ParaNum"/>
    <w:qFormat/>
    <w:rsid w:val="00B616F4"/>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616F4"/>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B616F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rsid w:val="00B616F4"/>
    <w:pPr>
      <w:numPr>
        <w:numId w:val="2"/>
      </w:numPr>
      <w:spacing w:after="120"/>
    </w:pPr>
  </w:style>
  <w:style w:type="paragraph" w:styleId="FootnoteText">
    <w:name w:val="footnote text"/>
    <w:aliases w:val="Footnote Text Char1,Footnote Text Char3 Char1,Footnote Text Char Char Char,Footnote Text Char1 Char Char Char1,Footnote Text Char Char Char Char Char2,Footnote Text Char2 Char Char Char Char Char,Footnote Text Char3,Footnote Text Char Char"/>
    <w:link w:val="FootnoteTextChar"/>
    <w:rsid w:val="00B616F4"/>
    <w:pPr>
      <w:spacing w:after="120"/>
    </w:pPr>
  </w:style>
  <w:style w:type="paragraph" w:customStyle="1" w:styleId="Bullet">
    <w:name w:val="Bullet"/>
    <w:basedOn w:val="Normal"/>
    <w:rsid w:val="00B616F4"/>
    <w:pPr>
      <w:tabs>
        <w:tab w:val="left" w:pos="2160"/>
      </w:tabs>
      <w:spacing w:after="220"/>
      <w:ind w:left="2160" w:hanging="720"/>
    </w:pPr>
  </w:style>
  <w:style w:type="paragraph" w:styleId="BlockText">
    <w:name w:val="Block Text"/>
    <w:basedOn w:val="Normal"/>
    <w:rsid w:val="00B616F4"/>
    <w:pPr>
      <w:spacing w:after="240"/>
      <w:ind w:left="1440" w:right="1440"/>
    </w:pPr>
  </w:style>
  <w:style w:type="paragraph" w:customStyle="1" w:styleId="TableFormat">
    <w:name w:val="TableFormat"/>
    <w:basedOn w:val="Bullet"/>
    <w:rsid w:val="00B616F4"/>
    <w:pPr>
      <w:tabs>
        <w:tab w:val="clear" w:pos="2160"/>
        <w:tab w:val="left" w:pos="5040"/>
      </w:tabs>
      <w:ind w:left="5040" w:hanging="3600"/>
    </w:pPr>
  </w:style>
  <w:style w:type="character" w:styleId="FootnoteReference">
    <w:name w:val="footnote reference"/>
    <w:aliases w:val="Appel note de bas de p,Style 12,(NECG) Footnote Reference,Style 124,o,fr,Style 3,Style 13,FR,Style 17,Style 6,Footnote Reference/,Style 4,Style 7,Footnote Reference1,Style 34,Style 9,A"/>
    <w:rsid w:val="00B616F4"/>
    <w:rPr>
      <w:rFonts w:ascii="Times New Roman" w:hAnsi="Times New Roman"/>
      <w:dstrike w:val="0"/>
      <w:color w:val="auto"/>
      <w:sz w:val="20"/>
      <w:vertAlign w:val="superscript"/>
    </w:rPr>
  </w:style>
  <w:style w:type="paragraph" w:styleId="Header">
    <w:name w:val="header"/>
    <w:basedOn w:val="Normal"/>
    <w:autoRedefine/>
    <w:rsid w:val="00B616F4"/>
    <w:pPr>
      <w:tabs>
        <w:tab w:val="center" w:pos="4680"/>
        <w:tab w:val="right" w:pos="9360"/>
      </w:tabs>
    </w:pPr>
    <w:rPr>
      <w:b/>
    </w:rPr>
  </w:style>
  <w:style w:type="paragraph" w:styleId="Footer">
    <w:name w:val="footer"/>
    <w:basedOn w:val="Normal"/>
    <w:link w:val="FooterChar"/>
    <w:uiPriority w:val="99"/>
    <w:rsid w:val="00B616F4"/>
    <w:pPr>
      <w:tabs>
        <w:tab w:val="center" w:pos="4320"/>
        <w:tab w:val="right" w:pos="8640"/>
      </w:tabs>
    </w:pPr>
  </w:style>
  <w:style w:type="paragraph" w:styleId="TOC2">
    <w:name w:val="toc 2"/>
    <w:basedOn w:val="Normal"/>
    <w:next w:val="Normal"/>
    <w:semiHidden/>
    <w:rsid w:val="00B616F4"/>
    <w:pPr>
      <w:tabs>
        <w:tab w:val="left" w:pos="720"/>
        <w:tab w:val="right" w:leader="dot" w:pos="9360"/>
      </w:tabs>
      <w:suppressAutoHyphens/>
      <w:ind w:left="720" w:right="720" w:hanging="360"/>
    </w:pPr>
    <w:rPr>
      <w:noProof/>
    </w:rPr>
  </w:style>
  <w:style w:type="paragraph" w:customStyle="1" w:styleId="NumberedList">
    <w:name w:val="Numbered List"/>
    <w:basedOn w:val="Normal"/>
    <w:pPr>
      <w:numPr>
        <w:numId w:val="1"/>
      </w:numPr>
      <w:tabs>
        <w:tab w:val="clear" w:pos="1080"/>
      </w:tabs>
      <w:spacing w:after="220"/>
      <w:ind w:firstLine="0"/>
    </w:pPr>
  </w:style>
  <w:style w:type="paragraph" w:styleId="TOC1">
    <w:name w:val="toc 1"/>
    <w:basedOn w:val="Normal"/>
    <w:next w:val="Normal"/>
    <w:semiHidden/>
    <w:rsid w:val="00B616F4"/>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B616F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616F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616F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616F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616F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616F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616F4"/>
    <w:pPr>
      <w:tabs>
        <w:tab w:val="left" w:pos="3240"/>
        <w:tab w:val="right" w:leader="dot" w:pos="9360"/>
      </w:tabs>
      <w:suppressAutoHyphens/>
      <w:ind w:left="3240" w:hanging="360"/>
    </w:pPr>
    <w:rPr>
      <w:noProof/>
    </w:rPr>
  </w:style>
  <w:style w:type="character" w:styleId="PageNumber">
    <w:name w:val="page number"/>
    <w:basedOn w:val="DefaultParagraphFont"/>
    <w:rsid w:val="00B616F4"/>
  </w:style>
  <w:style w:type="paragraph" w:styleId="Title">
    <w:name w:val="Title"/>
    <w:basedOn w:val="Normal"/>
    <w:qFormat/>
    <w:pPr>
      <w:jc w:val="center"/>
    </w:pPr>
    <w:rPr>
      <w:b/>
    </w:rPr>
  </w:style>
  <w:style w:type="paragraph" w:styleId="EndnoteText">
    <w:name w:val="endnote text"/>
    <w:basedOn w:val="Normal"/>
    <w:link w:val="EndnoteTextChar"/>
    <w:rsid w:val="00B616F4"/>
    <w:rPr>
      <w:sz w:val="20"/>
    </w:rPr>
  </w:style>
  <w:style w:type="character" w:customStyle="1" w:styleId="EndnoteTextChar">
    <w:name w:val="Endnote Text Char"/>
    <w:basedOn w:val="DefaultParagraphFont"/>
    <w:link w:val="EndnoteText"/>
    <w:rsid w:val="002A29D2"/>
    <w:rPr>
      <w:snapToGrid w:val="0"/>
      <w:kern w:val="28"/>
    </w:rPr>
  </w:style>
  <w:style w:type="character" w:styleId="EndnoteReference">
    <w:name w:val="endnote reference"/>
    <w:rsid w:val="00B616F4"/>
    <w:rPr>
      <w:vertAlign w:val="superscript"/>
    </w:rPr>
  </w:style>
  <w:style w:type="paragraph" w:styleId="TOAHeading">
    <w:name w:val="toa heading"/>
    <w:basedOn w:val="Normal"/>
    <w:next w:val="Normal"/>
    <w:rsid w:val="00B616F4"/>
    <w:pPr>
      <w:tabs>
        <w:tab w:val="right" w:pos="9360"/>
      </w:tabs>
      <w:suppressAutoHyphens/>
    </w:pPr>
  </w:style>
  <w:style w:type="character" w:customStyle="1" w:styleId="EquationCaption">
    <w:name w:val="_Equation Caption"/>
    <w:rsid w:val="00B616F4"/>
  </w:style>
  <w:style w:type="paragraph" w:customStyle="1" w:styleId="Paratitle">
    <w:name w:val="Para title"/>
    <w:basedOn w:val="Normal"/>
    <w:rsid w:val="00B616F4"/>
    <w:pPr>
      <w:tabs>
        <w:tab w:val="center" w:pos="9270"/>
      </w:tabs>
      <w:spacing w:after="240"/>
    </w:pPr>
    <w:rPr>
      <w:spacing w:val="-2"/>
    </w:rPr>
  </w:style>
  <w:style w:type="paragraph" w:customStyle="1" w:styleId="TOCTitle">
    <w:name w:val="TOC Title"/>
    <w:basedOn w:val="Normal"/>
    <w:rsid w:val="00B616F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616F4"/>
    <w:pPr>
      <w:jc w:val="center"/>
    </w:pPr>
    <w:rPr>
      <w:rFonts w:ascii="Times New Roman Bold" w:hAnsi="Times New Roman Bold"/>
      <w:b/>
      <w:bCs/>
      <w:caps/>
      <w:szCs w:val="22"/>
    </w:rPr>
  </w:style>
  <w:style w:type="character" w:styleId="Hyperlink">
    <w:name w:val="Hyperlink"/>
    <w:rsid w:val="00B616F4"/>
    <w:rPr>
      <w:color w:val="0000FF"/>
      <w:u w:val="single"/>
    </w:rPr>
  </w:style>
  <w:style w:type="character" w:customStyle="1" w:styleId="ParaNumChar">
    <w:name w:val="ParaNum Char"/>
    <w:link w:val="ParaNum"/>
    <w:rsid w:val="003E0BC9"/>
    <w:rPr>
      <w:snapToGrid w:val="0"/>
      <w:kern w:val="28"/>
      <w:sz w:val="22"/>
    </w:rPr>
  </w:style>
  <w:style w:type="character" w:customStyle="1" w:styleId="FootnoteTextChar">
    <w:name w:val="Footnote Text Char"/>
    <w:aliases w:val="Footnote Text Char1 Char,Footnote Text Char3 Char1 Char,Footnote Text Char Char Char Char,Footnote Text Char1 Char Char Char1 Char,Footnote Text Char Char Char Char Char2 Char,Footnote Text Char2 Char Char Char Char Char Char"/>
    <w:basedOn w:val="DefaultParagraphFont"/>
    <w:link w:val="FootnoteText"/>
    <w:rsid w:val="00B46E11"/>
  </w:style>
  <w:style w:type="character" w:styleId="FollowedHyperlink">
    <w:name w:val="FollowedHyperlink"/>
    <w:basedOn w:val="DefaultParagraphFont"/>
    <w:semiHidden/>
    <w:unhideWhenUsed/>
    <w:rsid w:val="002B660E"/>
    <w:rPr>
      <w:color w:val="800080" w:themeColor="followedHyperlink"/>
      <w:u w:val="single"/>
    </w:rPr>
  </w:style>
  <w:style w:type="character" w:customStyle="1" w:styleId="documentbody1">
    <w:name w:val="documentbody1"/>
    <w:basedOn w:val="DefaultParagraphFont"/>
    <w:rsid w:val="002D0B4C"/>
    <w:rPr>
      <w:rFonts w:ascii="Verdana" w:hAnsi="Verdana" w:hint="default"/>
      <w:sz w:val="19"/>
      <w:szCs w:val="19"/>
    </w:rPr>
  </w:style>
  <w:style w:type="paragraph" w:customStyle="1" w:styleId="Default">
    <w:name w:val="Default"/>
    <w:rsid w:val="0016448A"/>
    <w:pPr>
      <w:autoSpaceDE w:val="0"/>
      <w:autoSpaceDN w:val="0"/>
      <w:adjustRightInd w:val="0"/>
    </w:pPr>
    <w:rPr>
      <w:color w:val="000000"/>
      <w:sz w:val="24"/>
      <w:szCs w:val="24"/>
    </w:rPr>
  </w:style>
  <w:style w:type="paragraph" w:styleId="BalloonText">
    <w:name w:val="Balloon Text"/>
    <w:basedOn w:val="Normal"/>
    <w:link w:val="BalloonTextChar"/>
    <w:semiHidden/>
    <w:unhideWhenUsed/>
    <w:rsid w:val="00F67BFC"/>
    <w:rPr>
      <w:rFonts w:ascii="Segoe UI" w:hAnsi="Segoe UI" w:cs="Segoe UI"/>
      <w:sz w:val="18"/>
      <w:szCs w:val="18"/>
    </w:rPr>
  </w:style>
  <w:style w:type="character" w:customStyle="1" w:styleId="BalloonTextChar">
    <w:name w:val="Balloon Text Char"/>
    <w:basedOn w:val="DefaultParagraphFont"/>
    <w:link w:val="BalloonText"/>
    <w:semiHidden/>
    <w:rsid w:val="00F67BFC"/>
    <w:rPr>
      <w:rFonts w:ascii="Segoe UI" w:hAnsi="Segoe UI" w:cs="Segoe UI"/>
      <w:snapToGrid w:val="0"/>
      <w:kern w:val="28"/>
      <w:sz w:val="18"/>
      <w:szCs w:val="18"/>
    </w:rPr>
  </w:style>
  <w:style w:type="paragraph" w:styleId="ListParagraph">
    <w:name w:val="List Paragraph"/>
    <w:basedOn w:val="Normal"/>
    <w:uiPriority w:val="34"/>
    <w:qFormat/>
    <w:rsid w:val="00D028FF"/>
    <w:pPr>
      <w:ind w:left="720"/>
      <w:contextualSpacing/>
    </w:pPr>
  </w:style>
  <w:style w:type="character" w:styleId="CommentReference">
    <w:name w:val="annotation reference"/>
    <w:basedOn w:val="DefaultParagraphFont"/>
    <w:semiHidden/>
    <w:unhideWhenUsed/>
    <w:rsid w:val="00EA776B"/>
    <w:rPr>
      <w:sz w:val="16"/>
      <w:szCs w:val="16"/>
    </w:rPr>
  </w:style>
  <w:style w:type="paragraph" w:styleId="CommentText">
    <w:name w:val="annotation text"/>
    <w:basedOn w:val="Normal"/>
    <w:link w:val="CommentTextChar"/>
    <w:semiHidden/>
    <w:unhideWhenUsed/>
    <w:rsid w:val="00EA776B"/>
    <w:rPr>
      <w:sz w:val="20"/>
    </w:rPr>
  </w:style>
  <w:style w:type="character" w:customStyle="1" w:styleId="CommentTextChar">
    <w:name w:val="Comment Text Char"/>
    <w:basedOn w:val="DefaultParagraphFont"/>
    <w:link w:val="CommentText"/>
    <w:semiHidden/>
    <w:rsid w:val="00EA776B"/>
    <w:rPr>
      <w:snapToGrid w:val="0"/>
      <w:kern w:val="28"/>
    </w:rPr>
  </w:style>
  <w:style w:type="paragraph" w:styleId="CommentSubject">
    <w:name w:val="annotation subject"/>
    <w:basedOn w:val="CommentText"/>
    <w:next w:val="CommentText"/>
    <w:link w:val="CommentSubjectChar"/>
    <w:semiHidden/>
    <w:unhideWhenUsed/>
    <w:rsid w:val="00EA776B"/>
    <w:rPr>
      <w:b/>
      <w:bCs/>
    </w:rPr>
  </w:style>
  <w:style w:type="character" w:customStyle="1" w:styleId="CommentSubjectChar">
    <w:name w:val="Comment Subject Char"/>
    <w:basedOn w:val="CommentTextChar"/>
    <w:link w:val="CommentSubject"/>
    <w:semiHidden/>
    <w:rsid w:val="00EA776B"/>
    <w:rPr>
      <w:b/>
      <w:bCs/>
      <w:snapToGrid w:val="0"/>
      <w:kern w:val="28"/>
    </w:rPr>
  </w:style>
  <w:style w:type="character" w:customStyle="1" w:styleId="FooterChar">
    <w:name w:val="Footer Char"/>
    <w:basedOn w:val="DefaultParagraphFont"/>
    <w:link w:val="Footer"/>
    <w:uiPriority w:val="99"/>
    <w:rsid w:val="007D2143"/>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6F4"/>
    <w:pPr>
      <w:widowControl w:val="0"/>
    </w:pPr>
    <w:rPr>
      <w:snapToGrid w:val="0"/>
      <w:kern w:val="28"/>
      <w:sz w:val="22"/>
    </w:rPr>
  </w:style>
  <w:style w:type="paragraph" w:styleId="Heading1">
    <w:name w:val="heading 1"/>
    <w:basedOn w:val="Normal"/>
    <w:next w:val="ParaNum"/>
    <w:qFormat/>
    <w:rsid w:val="00B616F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B616F4"/>
    <w:pPr>
      <w:keepNext/>
      <w:numPr>
        <w:ilvl w:val="1"/>
        <w:numId w:val="3"/>
      </w:numPr>
      <w:spacing w:after="120"/>
      <w:outlineLvl w:val="1"/>
    </w:pPr>
    <w:rPr>
      <w:b/>
    </w:rPr>
  </w:style>
  <w:style w:type="paragraph" w:styleId="Heading3">
    <w:name w:val="heading 3"/>
    <w:basedOn w:val="Normal"/>
    <w:next w:val="ParaNum"/>
    <w:qFormat/>
    <w:rsid w:val="00B616F4"/>
    <w:pPr>
      <w:keepNext/>
      <w:numPr>
        <w:ilvl w:val="2"/>
        <w:numId w:val="3"/>
      </w:numPr>
      <w:tabs>
        <w:tab w:val="left" w:pos="2160"/>
      </w:tabs>
      <w:spacing w:after="120"/>
      <w:outlineLvl w:val="2"/>
    </w:pPr>
    <w:rPr>
      <w:b/>
    </w:rPr>
  </w:style>
  <w:style w:type="paragraph" w:styleId="Heading4">
    <w:name w:val="heading 4"/>
    <w:basedOn w:val="Normal"/>
    <w:next w:val="ParaNum"/>
    <w:qFormat/>
    <w:rsid w:val="00B616F4"/>
    <w:pPr>
      <w:keepNext/>
      <w:numPr>
        <w:ilvl w:val="3"/>
        <w:numId w:val="3"/>
      </w:numPr>
      <w:tabs>
        <w:tab w:val="left" w:pos="2880"/>
      </w:tabs>
      <w:spacing w:after="120"/>
      <w:outlineLvl w:val="3"/>
    </w:pPr>
    <w:rPr>
      <w:b/>
    </w:rPr>
  </w:style>
  <w:style w:type="paragraph" w:styleId="Heading5">
    <w:name w:val="heading 5"/>
    <w:basedOn w:val="Normal"/>
    <w:next w:val="ParaNum"/>
    <w:qFormat/>
    <w:rsid w:val="00B616F4"/>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B616F4"/>
    <w:pPr>
      <w:numPr>
        <w:ilvl w:val="5"/>
        <w:numId w:val="3"/>
      </w:numPr>
      <w:tabs>
        <w:tab w:val="left" w:pos="4320"/>
      </w:tabs>
      <w:spacing w:after="120"/>
      <w:outlineLvl w:val="5"/>
    </w:pPr>
    <w:rPr>
      <w:b/>
    </w:rPr>
  </w:style>
  <w:style w:type="paragraph" w:styleId="Heading7">
    <w:name w:val="heading 7"/>
    <w:basedOn w:val="Normal"/>
    <w:next w:val="ParaNum"/>
    <w:qFormat/>
    <w:rsid w:val="00B616F4"/>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616F4"/>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B616F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rsid w:val="00B616F4"/>
    <w:pPr>
      <w:numPr>
        <w:numId w:val="2"/>
      </w:numPr>
      <w:spacing w:after="120"/>
    </w:pPr>
  </w:style>
  <w:style w:type="paragraph" w:styleId="FootnoteText">
    <w:name w:val="footnote text"/>
    <w:aliases w:val="Footnote Text Char1,Footnote Text Char3 Char1,Footnote Text Char Char Char,Footnote Text Char1 Char Char Char1,Footnote Text Char Char Char Char Char2,Footnote Text Char2 Char Char Char Char Char,Footnote Text Char3,Footnote Text Char Char"/>
    <w:link w:val="FootnoteTextChar"/>
    <w:rsid w:val="00B616F4"/>
    <w:pPr>
      <w:spacing w:after="120"/>
    </w:pPr>
  </w:style>
  <w:style w:type="paragraph" w:customStyle="1" w:styleId="Bullet">
    <w:name w:val="Bullet"/>
    <w:basedOn w:val="Normal"/>
    <w:rsid w:val="00B616F4"/>
    <w:pPr>
      <w:tabs>
        <w:tab w:val="left" w:pos="2160"/>
      </w:tabs>
      <w:spacing w:after="220"/>
      <w:ind w:left="2160" w:hanging="720"/>
    </w:pPr>
  </w:style>
  <w:style w:type="paragraph" w:styleId="BlockText">
    <w:name w:val="Block Text"/>
    <w:basedOn w:val="Normal"/>
    <w:rsid w:val="00B616F4"/>
    <w:pPr>
      <w:spacing w:after="240"/>
      <w:ind w:left="1440" w:right="1440"/>
    </w:pPr>
  </w:style>
  <w:style w:type="paragraph" w:customStyle="1" w:styleId="TableFormat">
    <w:name w:val="TableFormat"/>
    <w:basedOn w:val="Bullet"/>
    <w:rsid w:val="00B616F4"/>
    <w:pPr>
      <w:tabs>
        <w:tab w:val="clear" w:pos="2160"/>
        <w:tab w:val="left" w:pos="5040"/>
      </w:tabs>
      <w:ind w:left="5040" w:hanging="3600"/>
    </w:pPr>
  </w:style>
  <w:style w:type="character" w:styleId="FootnoteReference">
    <w:name w:val="footnote reference"/>
    <w:aliases w:val="Appel note de bas de p,Style 12,(NECG) Footnote Reference,Style 124,o,fr,Style 3,Style 13,FR,Style 17,Style 6,Footnote Reference/,Style 4,Style 7,Footnote Reference1,Style 34,Style 9,A"/>
    <w:rsid w:val="00B616F4"/>
    <w:rPr>
      <w:rFonts w:ascii="Times New Roman" w:hAnsi="Times New Roman"/>
      <w:dstrike w:val="0"/>
      <w:color w:val="auto"/>
      <w:sz w:val="20"/>
      <w:vertAlign w:val="superscript"/>
    </w:rPr>
  </w:style>
  <w:style w:type="paragraph" w:styleId="Header">
    <w:name w:val="header"/>
    <w:basedOn w:val="Normal"/>
    <w:autoRedefine/>
    <w:rsid w:val="00B616F4"/>
    <w:pPr>
      <w:tabs>
        <w:tab w:val="center" w:pos="4680"/>
        <w:tab w:val="right" w:pos="9360"/>
      </w:tabs>
    </w:pPr>
    <w:rPr>
      <w:b/>
    </w:rPr>
  </w:style>
  <w:style w:type="paragraph" w:styleId="Footer">
    <w:name w:val="footer"/>
    <w:basedOn w:val="Normal"/>
    <w:link w:val="FooterChar"/>
    <w:uiPriority w:val="99"/>
    <w:rsid w:val="00B616F4"/>
    <w:pPr>
      <w:tabs>
        <w:tab w:val="center" w:pos="4320"/>
        <w:tab w:val="right" w:pos="8640"/>
      </w:tabs>
    </w:pPr>
  </w:style>
  <w:style w:type="paragraph" w:styleId="TOC2">
    <w:name w:val="toc 2"/>
    <w:basedOn w:val="Normal"/>
    <w:next w:val="Normal"/>
    <w:semiHidden/>
    <w:rsid w:val="00B616F4"/>
    <w:pPr>
      <w:tabs>
        <w:tab w:val="left" w:pos="720"/>
        <w:tab w:val="right" w:leader="dot" w:pos="9360"/>
      </w:tabs>
      <w:suppressAutoHyphens/>
      <w:ind w:left="720" w:right="720" w:hanging="360"/>
    </w:pPr>
    <w:rPr>
      <w:noProof/>
    </w:rPr>
  </w:style>
  <w:style w:type="paragraph" w:customStyle="1" w:styleId="NumberedList">
    <w:name w:val="Numbered List"/>
    <w:basedOn w:val="Normal"/>
    <w:pPr>
      <w:numPr>
        <w:numId w:val="1"/>
      </w:numPr>
      <w:tabs>
        <w:tab w:val="clear" w:pos="1080"/>
      </w:tabs>
      <w:spacing w:after="220"/>
      <w:ind w:firstLine="0"/>
    </w:pPr>
  </w:style>
  <w:style w:type="paragraph" w:styleId="TOC1">
    <w:name w:val="toc 1"/>
    <w:basedOn w:val="Normal"/>
    <w:next w:val="Normal"/>
    <w:semiHidden/>
    <w:rsid w:val="00B616F4"/>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B616F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616F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616F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616F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616F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616F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616F4"/>
    <w:pPr>
      <w:tabs>
        <w:tab w:val="left" w:pos="3240"/>
        <w:tab w:val="right" w:leader="dot" w:pos="9360"/>
      </w:tabs>
      <w:suppressAutoHyphens/>
      <w:ind w:left="3240" w:hanging="360"/>
    </w:pPr>
    <w:rPr>
      <w:noProof/>
    </w:rPr>
  </w:style>
  <w:style w:type="character" w:styleId="PageNumber">
    <w:name w:val="page number"/>
    <w:basedOn w:val="DefaultParagraphFont"/>
    <w:rsid w:val="00B616F4"/>
  </w:style>
  <w:style w:type="paragraph" w:styleId="Title">
    <w:name w:val="Title"/>
    <w:basedOn w:val="Normal"/>
    <w:qFormat/>
    <w:pPr>
      <w:jc w:val="center"/>
    </w:pPr>
    <w:rPr>
      <w:b/>
    </w:rPr>
  </w:style>
  <w:style w:type="paragraph" w:styleId="EndnoteText">
    <w:name w:val="endnote text"/>
    <w:basedOn w:val="Normal"/>
    <w:link w:val="EndnoteTextChar"/>
    <w:rsid w:val="00B616F4"/>
    <w:rPr>
      <w:sz w:val="20"/>
    </w:rPr>
  </w:style>
  <w:style w:type="character" w:customStyle="1" w:styleId="EndnoteTextChar">
    <w:name w:val="Endnote Text Char"/>
    <w:basedOn w:val="DefaultParagraphFont"/>
    <w:link w:val="EndnoteText"/>
    <w:rsid w:val="002A29D2"/>
    <w:rPr>
      <w:snapToGrid w:val="0"/>
      <w:kern w:val="28"/>
    </w:rPr>
  </w:style>
  <w:style w:type="character" w:styleId="EndnoteReference">
    <w:name w:val="endnote reference"/>
    <w:rsid w:val="00B616F4"/>
    <w:rPr>
      <w:vertAlign w:val="superscript"/>
    </w:rPr>
  </w:style>
  <w:style w:type="paragraph" w:styleId="TOAHeading">
    <w:name w:val="toa heading"/>
    <w:basedOn w:val="Normal"/>
    <w:next w:val="Normal"/>
    <w:rsid w:val="00B616F4"/>
    <w:pPr>
      <w:tabs>
        <w:tab w:val="right" w:pos="9360"/>
      </w:tabs>
      <w:suppressAutoHyphens/>
    </w:pPr>
  </w:style>
  <w:style w:type="character" w:customStyle="1" w:styleId="EquationCaption">
    <w:name w:val="_Equation Caption"/>
    <w:rsid w:val="00B616F4"/>
  </w:style>
  <w:style w:type="paragraph" w:customStyle="1" w:styleId="Paratitle">
    <w:name w:val="Para title"/>
    <w:basedOn w:val="Normal"/>
    <w:rsid w:val="00B616F4"/>
    <w:pPr>
      <w:tabs>
        <w:tab w:val="center" w:pos="9270"/>
      </w:tabs>
      <w:spacing w:after="240"/>
    </w:pPr>
    <w:rPr>
      <w:spacing w:val="-2"/>
    </w:rPr>
  </w:style>
  <w:style w:type="paragraph" w:customStyle="1" w:styleId="TOCTitle">
    <w:name w:val="TOC Title"/>
    <w:basedOn w:val="Normal"/>
    <w:rsid w:val="00B616F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616F4"/>
    <w:pPr>
      <w:jc w:val="center"/>
    </w:pPr>
    <w:rPr>
      <w:rFonts w:ascii="Times New Roman Bold" w:hAnsi="Times New Roman Bold"/>
      <w:b/>
      <w:bCs/>
      <w:caps/>
      <w:szCs w:val="22"/>
    </w:rPr>
  </w:style>
  <w:style w:type="character" w:styleId="Hyperlink">
    <w:name w:val="Hyperlink"/>
    <w:rsid w:val="00B616F4"/>
    <w:rPr>
      <w:color w:val="0000FF"/>
      <w:u w:val="single"/>
    </w:rPr>
  </w:style>
  <w:style w:type="character" w:customStyle="1" w:styleId="ParaNumChar">
    <w:name w:val="ParaNum Char"/>
    <w:link w:val="ParaNum"/>
    <w:rsid w:val="003E0BC9"/>
    <w:rPr>
      <w:snapToGrid w:val="0"/>
      <w:kern w:val="28"/>
      <w:sz w:val="22"/>
    </w:rPr>
  </w:style>
  <w:style w:type="character" w:customStyle="1" w:styleId="FootnoteTextChar">
    <w:name w:val="Footnote Text Char"/>
    <w:aliases w:val="Footnote Text Char1 Char,Footnote Text Char3 Char1 Char,Footnote Text Char Char Char Char,Footnote Text Char1 Char Char Char1 Char,Footnote Text Char Char Char Char Char2 Char,Footnote Text Char2 Char Char Char Char Char Char"/>
    <w:basedOn w:val="DefaultParagraphFont"/>
    <w:link w:val="FootnoteText"/>
    <w:rsid w:val="00B46E11"/>
  </w:style>
  <w:style w:type="character" w:styleId="FollowedHyperlink">
    <w:name w:val="FollowedHyperlink"/>
    <w:basedOn w:val="DefaultParagraphFont"/>
    <w:semiHidden/>
    <w:unhideWhenUsed/>
    <w:rsid w:val="002B660E"/>
    <w:rPr>
      <w:color w:val="800080" w:themeColor="followedHyperlink"/>
      <w:u w:val="single"/>
    </w:rPr>
  </w:style>
  <w:style w:type="character" w:customStyle="1" w:styleId="documentbody1">
    <w:name w:val="documentbody1"/>
    <w:basedOn w:val="DefaultParagraphFont"/>
    <w:rsid w:val="002D0B4C"/>
    <w:rPr>
      <w:rFonts w:ascii="Verdana" w:hAnsi="Verdana" w:hint="default"/>
      <w:sz w:val="19"/>
      <w:szCs w:val="19"/>
    </w:rPr>
  </w:style>
  <w:style w:type="paragraph" w:customStyle="1" w:styleId="Default">
    <w:name w:val="Default"/>
    <w:rsid w:val="0016448A"/>
    <w:pPr>
      <w:autoSpaceDE w:val="0"/>
      <w:autoSpaceDN w:val="0"/>
      <w:adjustRightInd w:val="0"/>
    </w:pPr>
    <w:rPr>
      <w:color w:val="000000"/>
      <w:sz w:val="24"/>
      <w:szCs w:val="24"/>
    </w:rPr>
  </w:style>
  <w:style w:type="paragraph" w:styleId="BalloonText">
    <w:name w:val="Balloon Text"/>
    <w:basedOn w:val="Normal"/>
    <w:link w:val="BalloonTextChar"/>
    <w:semiHidden/>
    <w:unhideWhenUsed/>
    <w:rsid w:val="00F67BFC"/>
    <w:rPr>
      <w:rFonts w:ascii="Segoe UI" w:hAnsi="Segoe UI" w:cs="Segoe UI"/>
      <w:sz w:val="18"/>
      <w:szCs w:val="18"/>
    </w:rPr>
  </w:style>
  <w:style w:type="character" w:customStyle="1" w:styleId="BalloonTextChar">
    <w:name w:val="Balloon Text Char"/>
    <w:basedOn w:val="DefaultParagraphFont"/>
    <w:link w:val="BalloonText"/>
    <w:semiHidden/>
    <w:rsid w:val="00F67BFC"/>
    <w:rPr>
      <w:rFonts w:ascii="Segoe UI" w:hAnsi="Segoe UI" w:cs="Segoe UI"/>
      <w:snapToGrid w:val="0"/>
      <w:kern w:val="28"/>
      <w:sz w:val="18"/>
      <w:szCs w:val="18"/>
    </w:rPr>
  </w:style>
  <w:style w:type="paragraph" w:styleId="ListParagraph">
    <w:name w:val="List Paragraph"/>
    <w:basedOn w:val="Normal"/>
    <w:uiPriority w:val="34"/>
    <w:qFormat/>
    <w:rsid w:val="00D028FF"/>
    <w:pPr>
      <w:ind w:left="720"/>
      <w:contextualSpacing/>
    </w:pPr>
  </w:style>
  <w:style w:type="character" w:styleId="CommentReference">
    <w:name w:val="annotation reference"/>
    <w:basedOn w:val="DefaultParagraphFont"/>
    <w:semiHidden/>
    <w:unhideWhenUsed/>
    <w:rsid w:val="00EA776B"/>
    <w:rPr>
      <w:sz w:val="16"/>
      <w:szCs w:val="16"/>
    </w:rPr>
  </w:style>
  <w:style w:type="paragraph" w:styleId="CommentText">
    <w:name w:val="annotation text"/>
    <w:basedOn w:val="Normal"/>
    <w:link w:val="CommentTextChar"/>
    <w:semiHidden/>
    <w:unhideWhenUsed/>
    <w:rsid w:val="00EA776B"/>
    <w:rPr>
      <w:sz w:val="20"/>
    </w:rPr>
  </w:style>
  <w:style w:type="character" w:customStyle="1" w:styleId="CommentTextChar">
    <w:name w:val="Comment Text Char"/>
    <w:basedOn w:val="DefaultParagraphFont"/>
    <w:link w:val="CommentText"/>
    <w:semiHidden/>
    <w:rsid w:val="00EA776B"/>
    <w:rPr>
      <w:snapToGrid w:val="0"/>
      <w:kern w:val="28"/>
    </w:rPr>
  </w:style>
  <w:style w:type="paragraph" w:styleId="CommentSubject">
    <w:name w:val="annotation subject"/>
    <w:basedOn w:val="CommentText"/>
    <w:next w:val="CommentText"/>
    <w:link w:val="CommentSubjectChar"/>
    <w:semiHidden/>
    <w:unhideWhenUsed/>
    <w:rsid w:val="00EA776B"/>
    <w:rPr>
      <w:b/>
      <w:bCs/>
    </w:rPr>
  </w:style>
  <w:style w:type="character" w:customStyle="1" w:styleId="CommentSubjectChar">
    <w:name w:val="Comment Subject Char"/>
    <w:basedOn w:val="CommentTextChar"/>
    <w:link w:val="CommentSubject"/>
    <w:semiHidden/>
    <w:rsid w:val="00EA776B"/>
    <w:rPr>
      <w:b/>
      <w:bCs/>
      <w:snapToGrid w:val="0"/>
      <w:kern w:val="28"/>
    </w:rPr>
  </w:style>
  <w:style w:type="character" w:customStyle="1" w:styleId="FooterChar">
    <w:name w:val="Footer Char"/>
    <w:basedOn w:val="DefaultParagraphFont"/>
    <w:link w:val="Footer"/>
    <w:uiPriority w:val="99"/>
    <w:rsid w:val="007D2143"/>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858415">
      <w:bodyDiv w:val="1"/>
      <w:marLeft w:val="0"/>
      <w:marRight w:val="0"/>
      <w:marTop w:val="0"/>
      <w:marBottom w:val="0"/>
      <w:divBdr>
        <w:top w:val="none" w:sz="0" w:space="0" w:color="auto"/>
        <w:left w:val="none" w:sz="0" w:space="0" w:color="auto"/>
        <w:bottom w:val="none" w:sz="0" w:space="0" w:color="auto"/>
        <w:right w:val="none" w:sz="0" w:space="0" w:color="auto"/>
      </w:divBdr>
    </w:div>
    <w:div w:id="1084183386">
      <w:bodyDiv w:val="1"/>
      <w:marLeft w:val="0"/>
      <w:marRight w:val="0"/>
      <w:marTop w:val="0"/>
      <w:marBottom w:val="0"/>
      <w:divBdr>
        <w:top w:val="none" w:sz="0" w:space="0" w:color="auto"/>
        <w:left w:val="none" w:sz="0" w:space="0" w:color="auto"/>
        <w:bottom w:val="none" w:sz="0" w:space="0" w:color="auto"/>
        <w:right w:val="none" w:sz="0" w:space="0" w:color="auto"/>
      </w:divBdr>
    </w:div>
    <w:div w:id="1558587437">
      <w:bodyDiv w:val="1"/>
      <w:marLeft w:val="0"/>
      <w:marRight w:val="0"/>
      <w:marTop w:val="0"/>
      <w:marBottom w:val="0"/>
      <w:divBdr>
        <w:top w:val="none" w:sz="0" w:space="0" w:color="auto"/>
        <w:left w:val="none" w:sz="0" w:space="0" w:color="auto"/>
        <w:bottom w:val="none" w:sz="0" w:space="0" w:color="auto"/>
        <w:right w:val="none" w:sz="0" w:space="0" w:color="auto"/>
      </w:divBdr>
    </w:div>
    <w:div w:id="162249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Schauble\AppData\Local\Microsoft\Windows\Temporary%20Internet%20Files\Content.MSO\3ED3AA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3ED3AA19</Template>
  <TotalTime>0</TotalTime>
  <Pages>3</Pages>
  <Words>836</Words>
  <Characters>4339</Characters>
  <Application>Microsoft Office Word</Application>
  <DocSecurity>0</DocSecurity>
  <Lines>158</Lines>
  <Paragraphs>76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5116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2015-11-23T22:10:00Z</cp:lastPrinted>
  <dcterms:created xsi:type="dcterms:W3CDTF">2016-07-27T20:18:00Z</dcterms:created>
  <dcterms:modified xsi:type="dcterms:W3CDTF">2016-07-27T20:18:00Z</dcterms:modified>
  <cp:category> </cp:category>
  <cp:contentStatus> </cp:contentStatus>
</cp:coreProperties>
</file>