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192A3"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3383594C" w14:textId="77777777" w:rsidR="00921803" w:rsidRDefault="00921803" w:rsidP="00921803">
      <w:pPr>
        <w:pStyle w:val="StyleBoldCentered"/>
      </w:pPr>
      <w:r>
        <w:t>F</w:t>
      </w:r>
      <w:r>
        <w:rPr>
          <w:caps w:val="0"/>
        </w:rPr>
        <w:t>ederal Communications Commission</w:t>
      </w:r>
    </w:p>
    <w:p w14:paraId="51058988" w14:textId="77777777" w:rsidR="004C2EE3" w:rsidRDefault="00810B6F" w:rsidP="00096D8C">
      <w:pPr>
        <w:pStyle w:val="StyleBoldCentered"/>
      </w:pPr>
      <w:r>
        <w:rPr>
          <w:caps w:val="0"/>
        </w:rPr>
        <w:t>Washington, D.C. 20554</w:t>
      </w:r>
    </w:p>
    <w:p w14:paraId="5C7A06D6" w14:textId="77777777" w:rsidR="004C2EE3" w:rsidRDefault="004C2EE3" w:rsidP="0070224F"/>
    <w:p w14:paraId="5065372D"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68268E65" w14:textId="77777777">
        <w:tc>
          <w:tcPr>
            <w:tcW w:w="4698" w:type="dxa"/>
          </w:tcPr>
          <w:p w14:paraId="5602A7B7" w14:textId="77777777" w:rsidR="004C2EE3" w:rsidRDefault="004C2EE3">
            <w:pPr>
              <w:tabs>
                <w:tab w:val="center" w:pos="4680"/>
              </w:tabs>
              <w:suppressAutoHyphens/>
              <w:rPr>
                <w:spacing w:val="-2"/>
              </w:rPr>
            </w:pPr>
            <w:r>
              <w:rPr>
                <w:spacing w:val="-2"/>
              </w:rPr>
              <w:t>In the Matter of</w:t>
            </w:r>
          </w:p>
          <w:p w14:paraId="3EE906AD" w14:textId="77777777" w:rsidR="004C2EE3" w:rsidRDefault="004C2EE3">
            <w:pPr>
              <w:tabs>
                <w:tab w:val="center" w:pos="4680"/>
              </w:tabs>
              <w:suppressAutoHyphens/>
              <w:rPr>
                <w:spacing w:val="-2"/>
              </w:rPr>
            </w:pPr>
          </w:p>
          <w:p w14:paraId="0CB1E39B" w14:textId="77777777" w:rsidR="004C2EE3" w:rsidRDefault="00E456D2" w:rsidP="00E456D2">
            <w:pPr>
              <w:tabs>
                <w:tab w:val="center" w:pos="4680"/>
              </w:tabs>
              <w:suppressAutoHyphens/>
              <w:rPr>
                <w:spacing w:val="-2"/>
              </w:rPr>
            </w:pPr>
            <w:r>
              <w:rPr>
                <w:spacing w:val="-2"/>
              </w:rPr>
              <w:t>ACS of Anchorage, LLC Request for Waiver of Section 51.332 of the Commission’s Rules</w:t>
            </w:r>
          </w:p>
          <w:p w14:paraId="1F757319" w14:textId="77777777" w:rsidR="00FD2723" w:rsidRDefault="00FD2723" w:rsidP="00E456D2">
            <w:pPr>
              <w:tabs>
                <w:tab w:val="center" w:pos="4680"/>
              </w:tabs>
              <w:suppressAutoHyphens/>
              <w:rPr>
                <w:spacing w:val="-2"/>
              </w:rPr>
            </w:pPr>
          </w:p>
          <w:p w14:paraId="77CD4BFD" w14:textId="77777777" w:rsidR="00FD2723" w:rsidRDefault="00FD2723" w:rsidP="00E456D2">
            <w:pPr>
              <w:tabs>
                <w:tab w:val="center" w:pos="4680"/>
              </w:tabs>
              <w:suppressAutoHyphens/>
              <w:rPr>
                <w:spacing w:val="-2"/>
              </w:rPr>
            </w:pPr>
            <w:r>
              <w:rPr>
                <w:spacing w:val="-2"/>
              </w:rPr>
              <w:t>Technology Transitions</w:t>
            </w:r>
          </w:p>
          <w:p w14:paraId="19E914CF" w14:textId="77777777" w:rsidR="00FD2723" w:rsidRDefault="00FD2723" w:rsidP="00E456D2">
            <w:pPr>
              <w:tabs>
                <w:tab w:val="center" w:pos="4680"/>
              </w:tabs>
              <w:suppressAutoHyphens/>
              <w:rPr>
                <w:spacing w:val="-2"/>
              </w:rPr>
            </w:pPr>
          </w:p>
          <w:p w14:paraId="1DD01242" w14:textId="77777777" w:rsidR="00FD2723" w:rsidRPr="007115F7" w:rsidRDefault="00FD2723" w:rsidP="00E456D2">
            <w:pPr>
              <w:tabs>
                <w:tab w:val="center" w:pos="4680"/>
              </w:tabs>
              <w:suppressAutoHyphens/>
              <w:rPr>
                <w:spacing w:val="-2"/>
              </w:rPr>
            </w:pPr>
            <w:r>
              <w:rPr>
                <w:spacing w:val="-2"/>
              </w:rPr>
              <w:t>Policies and Rules Governing Retirement of Copper Loops by Incumbent Local Exchange Carriers</w:t>
            </w:r>
          </w:p>
        </w:tc>
        <w:tc>
          <w:tcPr>
            <w:tcW w:w="630" w:type="dxa"/>
          </w:tcPr>
          <w:p w14:paraId="52592546" w14:textId="77777777" w:rsidR="004C2EE3" w:rsidRDefault="004C2EE3">
            <w:pPr>
              <w:tabs>
                <w:tab w:val="center" w:pos="4680"/>
              </w:tabs>
              <w:suppressAutoHyphens/>
              <w:rPr>
                <w:b/>
                <w:spacing w:val="-2"/>
              </w:rPr>
            </w:pPr>
            <w:r>
              <w:rPr>
                <w:b/>
                <w:spacing w:val="-2"/>
              </w:rPr>
              <w:t>)</w:t>
            </w:r>
          </w:p>
          <w:p w14:paraId="40F7CA38" w14:textId="77777777" w:rsidR="004C2EE3" w:rsidRDefault="004C2EE3">
            <w:pPr>
              <w:tabs>
                <w:tab w:val="center" w:pos="4680"/>
              </w:tabs>
              <w:suppressAutoHyphens/>
              <w:rPr>
                <w:b/>
                <w:spacing w:val="-2"/>
              </w:rPr>
            </w:pPr>
            <w:r>
              <w:rPr>
                <w:b/>
                <w:spacing w:val="-2"/>
              </w:rPr>
              <w:t>)</w:t>
            </w:r>
          </w:p>
          <w:p w14:paraId="7D158D5F" w14:textId="77777777" w:rsidR="004C2EE3" w:rsidRDefault="004C2EE3">
            <w:pPr>
              <w:tabs>
                <w:tab w:val="center" w:pos="4680"/>
              </w:tabs>
              <w:suppressAutoHyphens/>
              <w:rPr>
                <w:b/>
                <w:spacing w:val="-2"/>
              </w:rPr>
            </w:pPr>
            <w:r>
              <w:rPr>
                <w:b/>
                <w:spacing w:val="-2"/>
              </w:rPr>
              <w:t>)</w:t>
            </w:r>
          </w:p>
          <w:p w14:paraId="3EDD7D35" w14:textId="77777777" w:rsidR="004C2EE3" w:rsidRDefault="004C2EE3">
            <w:pPr>
              <w:tabs>
                <w:tab w:val="center" w:pos="4680"/>
              </w:tabs>
              <w:suppressAutoHyphens/>
              <w:rPr>
                <w:b/>
                <w:spacing w:val="-2"/>
              </w:rPr>
            </w:pPr>
            <w:r>
              <w:rPr>
                <w:b/>
                <w:spacing w:val="-2"/>
              </w:rPr>
              <w:t>)</w:t>
            </w:r>
          </w:p>
          <w:p w14:paraId="5219324B" w14:textId="77777777" w:rsidR="004C2EE3" w:rsidRDefault="004C2EE3">
            <w:pPr>
              <w:tabs>
                <w:tab w:val="center" w:pos="4680"/>
              </w:tabs>
              <w:suppressAutoHyphens/>
              <w:rPr>
                <w:b/>
                <w:spacing w:val="-2"/>
              </w:rPr>
            </w:pPr>
            <w:r>
              <w:rPr>
                <w:b/>
                <w:spacing w:val="-2"/>
              </w:rPr>
              <w:t>)</w:t>
            </w:r>
          </w:p>
          <w:p w14:paraId="2BAB517F" w14:textId="77777777" w:rsidR="004C2EE3" w:rsidRDefault="004C2EE3">
            <w:pPr>
              <w:tabs>
                <w:tab w:val="center" w:pos="4680"/>
              </w:tabs>
              <w:suppressAutoHyphens/>
              <w:rPr>
                <w:b/>
                <w:spacing w:val="-2"/>
              </w:rPr>
            </w:pPr>
            <w:r>
              <w:rPr>
                <w:b/>
                <w:spacing w:val="-2"/>
              </w:rPr>
              <w:t>)</w:t>
            </w:r>
          </w:p>
          <w:p w14:paraId="66623E57" w14:textId="77777777" w:rsidR="004C2EE3" w:rsidRDefault="004C2EE3">
            <w:pPr>
              <w:tabs>
                <w:tab w:val="center" w:pos="4680"/>
              </w:tabs>
              <w:suppressAutoHyphens/>
              <w:rPr>
                <w:b/>
                <w:spacing w:val="-2"/>
              </w:rPr>
            </w:pPr>
            <w:r>
              <w:rPr>
                <w:b/>
                <w:spacing w:val="-2"/>
              </w:rPr>
              <w:t>)</w:t>
            </w:r>
          </w:p>
          <w:p w14:paraId="61FE7B33" w14:textId="77777777" w:rsidR="004C2EE3" w:rsidRDefault="004C2EE3">
            <w:pPr>
              <w:tabs>
                <w:tab w:val="center" w:pos="4680"/>
              </w:tabs>
              <w:suppressAutoHyphens/>
              <w:rPr>
                <w:b/>
                <w:spacing w:val="-2"/>
              </w:rPr>
            </w:pPr>
            <w:r>
              <w:rPr>
                <w:b/>
                <w:spacing w:val="-2"/>
              </w:rPr>
              <w:t>)</w:t>
            </w:r>
          </w:p>
          <w:p w14:paraId="7AC94D6F" w14:textId="77777777" w:rsidR="00FD2723" w:rsidRDefault="00FD2723">
            <w:pPr>
              <w:tabs>
                <w:tab w:val="center" w:pos="4680"/>
              </w:tabs>
              <w:suppressAutoHyphens/>
              <w:rPr>
                <w:b/>
                <w:spacing w:val="-2"/>
              </w:rPr>
            </w:pPr>
            <w:r>
              <w:rPr>
                <w:b/>
                <w:spacing w:val="-2"/>
              </w:rPr>
              <w:t>)</w:t>
            </w:r>
          </w:p>
          <w:p w14:paraId="17AC8979" w14:textId="77777777" w:rsidR="004C2EE3" w:rsidRDefault="004C2EE3">
            <w:pPr>
              <w:tabs>
                <w:tab w:val="center" w:pos="4680"/>
              </w:tabs>
              <w:suppressAutoHyphens/>
              <w:rPr>
                <w:spacing w:val="-2"/>
              </w:rPr>
            </w:pPr>
            <w:r>
              <w:rPr>
                <w:b/>
                <w:spacing w:val="-2"/>
              </w:rPr>
              <w:t>)</w:t>
            </w:r>
          </w:p>
        </w:tc>
        <w:tc>
          <w:tcPr>
            <w:tcW w:w="4248" w:type="dxa"/>
          </w:tcPr>
          <w:p w14:paraId="51229B08" w14:textId="77777777" w:rsidR="004C2EE3" w:rsidRDefault="004C2EE3">
            <w:pPr>
              <w:tabs>
                <w:tab w:val="center" w:pos="4680"/>
              </w:tabs>
              <w:suppressAutoHyphens/>
              <w:rPr>
                <w:spacing w:val="-2"/>
              </w:rPr>
            </w:pPr>
          </w:p>
          <w:p w14:paraId="37A264F6" w14:textId="77777777" w:rsidR="004C2EE3" w:rsidRDefault="004C2EE3">
            <w:pPr>
              <w:pStyle w:val="TOAHeading"/>
              <w:tabs>
                <w:tab w:val="clear" w:pos="9360"/>
                <w:tab w:val="center" w:pos="4680"/>
              </w:tabs>
              <w:rPr>
                <w:spacing w:val="-2"/>
              </w:rPr>
            </w:pPr>
          </w:p>
          <w:p w14:paraId="6C081026" w14:textId="77777777" w:rsidR="004C2EE3" w:rsidRDefault="00E456D2">
            <w:pPr>
              <w:tabs>
                <w:tab w:val="center" w:pos="4680"/>
              </w:tabs>
              <w:suppressAutoHyphens/>
              <w:rPr>
                <w:spacing w:val="-2"/>
              </w:rPr>
            </w:pPr>
            <w:r>
              <w:rPr>
                <w:spacing w:val="-2"/>
              </w:rPr>
              <w:t>WC Docket No. 16-176</w:t>
            </w:r>
          </w:p>
          <w:p w14:paraId="0C607965" w14:textId="77777777" w:rsidR="00FD2723" w:rsidRDefault="00FD2723">
            <w:pPr>
              <w:tabs>
                <w:tab w:val="center" w:pos="4680"/>
              </w:tabs>
              <w:suppressAutoHyphens/>
              <w:rPr>
                <w:spacing w:val="-2"/>
              </w:rPr>
            </w:pPr>
            <w:r>
              <w:rPr>
                <w:spacing w:val="-2"/>
              </w:rPr>
              <w:t>Report No. NCD-2541</w:t>
            </w:r>
          </w:p>
          <w:p w14:paraId="6C1DC745" w14:textId="77777777" w:rsidR="00FD2723" w:rsidRDefault="00FD2723">
            <w:pPr>
              <w:tabs>
                <w:tab w:val="center" w:pos="4680"/>
              </w:tabs>
              <w:suppressAutoHyphens/>
              <w:rPr>
                <w:spacing w:val="-2"/>
              </w:rPr>
            </w:pPr>
          </w:p>
          <w:p w14:paraId="4D728904" w14:textId="77777777" w:rsidR="00FD2723" w:rsidRDefault="00FD2723">
            <w:pPr>
              <w:tabs>
                <w:tab w:val="center" w:pos="4680"/>
              </w:tabs>
              <w:suppressAutoHyphens/>
              <w:rPr>
                <w:spacing w:val="-2"/>
              </w:rPr>
            </w:pPr>
            <w:r>
              <w:rPr>
                <w:spacing w:val="-2"/>
              </w:rPr>
              <w:t>GN Docket No. 13-5</w:t>
            </w:r>
          </w:p>
          <w:p w14:paraId="3DFF4E79" w14:textId="77777777" w:rsidR="00E456D2" w:rsidRDefault="00E456D2">
            <w:pPr>
              <w:tabs>
                <w:tab w:val="center" w:pos="4680"/>
              </w:tabs>
              <w:suppressAutoHyphens/>
              <w:rPr>
                <w:spacing w:val="-2"/>
              </w:rPr>
            </w:pPr>
          </w:p>
          <w:p w14:paraId="067240A4" w14:textId="77777777" w:rsidR="00FD2723" w:rsidRDefault="00FD2723">
            <w:pPr>
              <w:tabs>
                <w:tab w:val="center" w:pos="4680"/>
              </w:tabs>
              <w:suppressAutoHyphens/>
              <w:rPr>
                <w:spacing w:val="-2"/>
              </w:rPr>
            </w:pPr>
            <w:r>
              <w:rPr>
                <w:spacing w:val="-2"/>
              </w:rPr>
              <w:t>RM-11358</w:t>
            </w:r>
          </w:p>
        </w:tc>
      </w:tr>
    </w:tbl>
    <w:p w14:paraId="2A31A916" w14:textId="77777777" w:rsidR="004C2EE3" w:rsidRDefault="004C2EE3" w:rsidP="0070224F"/>
    <w:p w14:paraId="4E307627" w14:textId="77777777" w:rsidR="00841AB1" w:rsidRDefault="00E456D2" w:rsidP="00F021FA">
      <w:pPr>
        <w:pStyle w:val="StyleBoldCentered"/>
      </w:pPr>
      <w:r>
        <w:t>ORDER</w:t>
      </w:r>
    </w:p>
    <w:p w14:paraId="343182BF" w14:textId="77777777" w:rsidR="004C2EE3" w:rsidRDefault="004C2EE3">
      <w:pPr>
        <w:tabs>
          <w:tab w:val="left" w:pos="-720"/>
        </w:tabs>
        <w:suppressAutoHyphens/>
        <w:spacing w:line="227" w:lineRule="auto"/>
        <w:rPr>
          <w:spacing w:val="-2"/>
        </w:rPr>
      </w:pPr>
    </w:p>
    <w:p w14:paraId="6A71A549" w14:textId="76FF6551" w:rsidR="004C2EE3" w:rsidRDefault="004C2EE3" w:rsidP="00133F79">
      <w:pPr>
        <w:tabs>
          <w:tab w:val="left" w:pos="720"/>
          <w:tab w:val="right" w:pos="9360"/>
        </w:tabs>
        <w:suppressAutoHyphens/>
        <w:spacing w:line="227" w:lineRule="auto"/>
        <w:rPr>
          <w:spacing w:val="-2"/>
        </w:rPr>
      </w:pPr>
      <w:r>
        <w:rPr>
          <w:b/>
          <w:spacing w:val="-2"/>
        </w:rPr>
        <w:t xml:space="preserve">Adopted:  </w:t>
      </w:r>
      <w:r w:rsidR="00C70737">
        <w:rPr>
          <w:b/>
          <w:spacing w:val="-2"/>
        </w:rPr>
        <w:t>July 29,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70737">
        <w:rPr>
          <w:b/>
          <w:spacing w:val="-2"/>
        </w:rPr>
        <w:t>July 29, 2016</w:t>
      </w:r>
    </w:p>
    <w:p w14:paraId="24DEE1CC" w14:textId="77777777" w:rsidR="00822CE0" w:rsidRDefault="00822CE0"/>
    <w:p w14:paraId="158927C1" w14:textId="77777777" w:rsidR="004C2EE3" w:rsidRDefault="004C2EE3">
      <w:pPr>
        <w:rPr>
          <w:spacing w:val="-2"/>
        </w:rPr>
      </w:pPr>
      <w:r>
        <w:t xml:space="preserve">By </w:t>
      </w:r>
      <w:r w:rsidR="004E4A22">
        <w:t>the</w:t>
      </w:r>
      <w:r w:rsidR="002A2D2E">
        <w:t xml:space="preserve"> </w:t>
      </w:r>
      <w:r w:rsidR="00E456D2">
        <w:rPr>
          <w:spacing w:val="-2"/>
        </w:rPr>
        <w:t>Chief, Competition Policy Division, Wireline Competition Bureau</w:t>
      </w:r>
      <w:r>
        <w:rPr>
          <w:spacing w:val="-2"/>
        </w:rPr>
        <w:t>:</w:t>
      </w:r>
    </w:p>
    <w:p w14:paraId="49C6C605" w14:textId="77777777" w:rsidR="00822CE0" w:rsidRDefault="00822CE0">
      <w:pPr>
        <w:rPr>
          <w:spacing w:val="-2"/>
        </w:rPr>
      </w:pPr>
    </w:p>
    <w:p w14:paraId="69A77C6A" w14:textId="77777777" w:rsidR="00412FC5" w:rsidRDefault="00412FC5" w:rsidP="00412FC5"/>
    <w:p w14:paraId="595CDD1A" w14:textId="77777777" w:rsidR="002C00E8" w:rsidRDefault="00E456D2" w:rsidP="002C00E8">
      <w:pPr>
        <w:pStyle w:val="Heading1"/>
      </w:pPr>
      <w:r>
        <w:t>INTRODUCTION</w:t>
      </w:r>
    </w:p>
    <w:p w14:paraId="5A9B0C2E" w14:textId="77777777" w:rsidR="00E456D2" w:rsidRPr="00094893" w:rsidRDefault="008C30A0" w:rsidP="00E456D2">
      <w:pPr>
        <w:pStyle w:val="ParaNum"/>
        <w:numPr>
          <w:ilvl w:val="0"/>
          <w:numId w:val="7"/>
        </w:numPr>
        <w:tabs>
          <w:tab w:val="clear" w:pos="1080"/>
          <w:tab w:val="left" w:pos="1440"/>
        </w:tabs>
        <w:spacing w:after="220"/>
      </w:pPr>
      <w:r>
        <w:t>ACS of Anchorage, LLC</w:t>
      </w:r>
      <w:r w:rsidR="00E61D6D">
        <w:t xml:space="preserve"> </w:t>
      </w:r>
      <w:r w:rsidR="00592BCD">
        <w:t xml:space="preserve">(Alaska Communications) </w:t>
      </w:r>
      <w:r w:rsidR="001E7310">
        <w:t xml:space="preserve">has </w:t>
      </w:r>
      <w:r w:rsidR="00592BCD">
        <w:t xml:space="preserve">filed a request for waiver of Section 51.332 of the Commission’s rules in order </w:t>
      </w:r>
      <w:r w:rsidR="00592BCD" w:rsidRPr="00094893">
        <w:t xml:space="preserve">to </w:t>
      </w:r>
      <w:r w:rsidR="00592BCD">
        <w:t xml:space="preserve">permit Alaska Communications to retire certain copper loop plant </w:t>
      </w:r>
      <w:r w:rsidR="00342484">
        <w:t xml:space="preserve">in </w:t>
      </w:r>
      <w:r w:rsidR="0014398E">
        <w:t xml:space="preserve">fewer </w:t>
      </w:r>
      <w:r w:rsidR="00592BCD">
        <w:t xml:space="preserve">than </w:t>
      </w:r>
      <w:r w:rsidR="0014398E">
        <w:t>180</w:t>
      </w:r>
      <w:r w:rsidR="00592BCD">
        <w:t xml:space="preserve"> days after the Commission’s public notice of the proposed network change</w:t>
      </w:r>
      <w:r w:rsidR="00EA33F5">
        <w:t>s</w:t>
      </w:r>
      <w:r w:rsidR="00592BCD">
        <w:t>.</w:t>
      </w:r>
      <w:r w:rsidR="00592BCD" w:rsidRPr="00094893">
        <w:rPr>
          <w:vertAlign w:val="superscript"/>
        </w:rPr>
        <w:footnoteReference w:id="2"/>
      </w:r>
      <w:r w:rsidR="00592BCD">
        <w:t xml:space="preserve">  </w:t>
      </w:r>
      <w:r w:rsidR="00592BCD" w:rsidRPr="00094893">
        <w:t xml:space="preserve">In this order, we grant </w:t>
      </w:r>
      <w:r w:rsidR="0014398E">
        <w:t>Alaska Communications</w:t>
      </w:r>
      <w:r w:rsidR="00592BCD">
        <w:t xml:space="preserve"> </w:t>
      </w:r>
      <w:r w:rsidR="00592BCD" w:rsidRPr="00094893">
        <w:t>a limited waiver of the network change notification requirements in section 51.3</w:t>
      </w:r>
      <w:r w:rsidR="0014398E">
        <w:t>32</w:t>
      </w:r>
      <w:r w:rsidR="00592BCD" w:rsidRPr="00094893">
        <w:t xml:space="preserve"> of the Commission’s rules.</w:t>
      </w:r>
      <w:r w:rsidR="00592BCD" w:rsidRPr="00094893">
        <w:rPr>
          <w:vertAlign w:val="superscript"/>
        </w:rPr>
        <w:footnoteReference w:id="3"/>
      </w:r>
      <w:r w:rsidR="00592BCD" w:rsidRPr="00094893">
        <w:t xml:space="preserve">  This waiver enables </w:t>
      </w:r>
      <w:r w:rsidR="0014398E">
        <w:t>Alaska Communications</w:t>
      </w:r>
      <w:r w:rsidR="00592BCD">
        <w:t xml:space="preserve"> </w:t>
      </w:r>
      <w:r w:rsidR="00592BCD" w:rsidRPr="00094893">
        <w:t>to implement network change</w:t>
      </w:r>
      <w:r w:rsidR="00AE163F">
        <w:t>s</w:t>
      </w:r>
      <w:r w:rsidR="00592BCD" w:rsidRPr="00094893">
        <w:t xml:space="preserve"> </w:t>
      </w:r>
      <w:r w:rsidR="00AE163F">
        <w:t xml:space="preserve">prompted by two major road projects scheduled by the </w:t>
      </w:r>
      <w:r w:rsidR="0014398E">
        <w:t xml:space="preserve">Alaska </w:t>
      </w:r>
      <w:r w:rsidR="00592BCD">
        <w:t xml:space="preserve">Department of Transportation </w:t>
      </w:r>
      <w:r w:rsidR="0014398E">
        <w:t>&amp; Public Facilities (AK-DOT)</w:t>
      </w:r>
      <w:r w:rsidR="00874E03">
        <w:t>,</w:t>
      </w:r>
      <w:r w:rsidR="0014398E">
        <w:t xml:space="preserve"> </w:t>
      </w:r>
      <w:r w:rsidR="00AE163F">
        <w:t xml:space="preserve">on or </w:t>
      </w:r>
      <w:r w:rsidR="0015648A">
        <w:t>after</w:t>
      </w:r>
      <w:r w:rsidR="00AE163F">
        <w:t xml:space="preserve"> </w:t>
      </w:r>
      <w:r w:rsidR="005168AA">
        <w:t>July 31, 2016</w:t>
      </w:r>
      <w:r w:rsidR="00592BCD">
        <w:t xml:space="preserve">.  Our grant of the waiver request is premised </w:t>
      </w:r>
      <w:r w:rsidR="002C06B0">
        <w:t xml:space="preserve">on </w:t>
      </w:r>
      <w:r w:rsidR="0014398E">
        <w:t>Alaska Communications</w:t>
      </w:r>
      <w:r w:rsidR="00592BCD">
        <w:t xml:space="preserve">’ assertion that it has </w:t>
      </w:r>
      <w:r w:rsidR="00904258">
        <w:t xml:space="preserve">worked closely with </w:t>
      </w:r>
      <w:r w:rsidR="00EA33F5">
        <w:t>the only customer directly affected by the planned changes</w:t>
      </w:r>
      <w:r w:rsidR="00904258">
        <w:t>, GCI, to ensure a smooth transition with no loss of service to GCI or any of its customers</w:t>
      </w:r>
      <w:r w:rsidR="002C06B0">
        <w:t>, and on the absence of any comments in the record in opposition to Alaska Communications’ waiver request</w:t>
      </w:r>
      <w:r w:rsidR="00904258">
        <w:t>.</w:t>
      </w:r>
    </w:p>
    <w:p w14:paraId="092F2378" w14:textId="77777777" w:rsidR="00E456D2" w:rsidRPr="00094893" w:rsidRDefault="00E456D2" w:rsidP="00E456D2">
      <w:pPr>
        <w:pStyle w:val="Heading1"/>
        <w:tabs>
          <w:tab w:val="num" w:pos="720"/>
        </w:tabs>
        <w:spacing w:after="220"/>
      </w:pPr>
      <w:r w:rsidRPr="00094893">
        <w:t>BACKGROUND</w:t>
      </w:r>
    </w:p>
    <w:p w14:paraId="70707581" w14:textId="77777777" w:rsidR="00A54AE5" w:rsidRPr="00A54AE5" w:rsidRDefault="00E456D2" w:rsidP="00E456D2">
      <w:pPr>
        <w:pStyle w:val="ParaNum"/>
        <w:numPr>
          <w:ilvl w:val="0"/>
          <w:numId w:val="7"/>
        </w:numPr>
        <w:tabs>
          <w:tab w:val="clear" w:pos="1080"/>
          <w:tab w:val="left" w:pos="1440"/>
        </w:tabs>
        <w:spacing w:after="220"/>
      </w:pPr>
      <w:r w:rsidRPr="00094893">
        <w:t xml:space="preserve">On </w:t>
      </w:r>
      <w:r w:rsidR="0038620A">
        <w:t>May 6</w:t>
      </w:r>
      <w:r w:rsidRPr="00094893">
        <w:t>, 20</w:t>
      </w:r>
      <w:r w:rsidR="0038620A">
        <w:t>16</w:t>
      </w:r>
      <w:r w:rsidRPr="00094893">
        <w:t xml:space="preserve">, </w:t>
      </w:r>
      <w:r w:rsidR="0038620A">
        <w:t>Alaska Communications</w:t>
      </w:r>
      <w:r>
        <w:t xml:space="preserve"> </w:t>
      </w:r>
      <w:r w:rsidRPr="00094893">
        <w:t xml:space="preserve">filed </w:t>
      </w:r>
      <w:r w:rsidR="0038620A">
        <w:rPr>
          <w:szCs w:val="22"/>
        </w:rPr>
        <w:t>public notice of network changes involving the retirement</w:t>
      </w:r>
      <w:r w:rsidR="0038620A" w:rsidRPr="0046224D">
        <w:rPr>
          <w:szCs w:val="22"/>
        </w:rPr>
        <w:t xml:space="preserve"> </w:t>
      </w:r>
      <w:r w:rsidR="0038620A">
        <w:rPr>
          <w:szCs w:val="22"/>
        </w:rPr>
        <w:t>of copper</w:t>
      </w:r>
      <w:r w:rsidR="001E7310" w:rsidRPr="001E7310">
        <w:t xml:space="preserve"> </w:t>
      </w:r>
      <w:r w:rsidR="001E7310">
        <w:t xml:space="preserve">in the vicinity of 10949 Old Seward Highway </w:t>
      </w:r>
      <w:r w:rsidR="00D12DA9">
        <w:t xml:space="preserve">(Old Seward location) </w:t>
      </w:r>
      <w:r w:rsidR="001E7310">
        <w:t xml:space="preserve">and 251 E. Klatt Road </w:t>
      </w:r>
      <w:r w:rsidR="00D12DA9">
        <w:t xml:space="preserve">(E. Klatt Road location) </w:t>
      </w:r>
      <w:r w:rsidR="001E7310">
        <w:t>in Anchorage, Alaska</w:t>
      </w:r>
      <w:r w:rsidR="0038620A">
        <w:rPr>
          <w:szCs w:val="22"/>
        </w:rPr>
        <w:t>, as required by section 51.332(b)(1) of the rules of the Federal Communications Commission (FCC)</w:t>
      </w:r>
      <w:r w:rsidR="001E7310">
        <w:rPr>
          <w:szCs w:val="22"/>
        </w:rPr>
        <w:t>.</w:t>
      </w:r>
      <w:r w:rsidR="001E7310">
        <w:rPr>
          <w:rStyle w:val="FootnoteReference"/>
          <w:szCs w:val="22"/>
        </w:rPr>
        <w:footnoteReference w:id="4"/>
      </w:r>
      <w:r w:rsidR="001E7310">
        <w:rPr>
          <w:szCs w:val="22"/>
        </w:rPr>
        <w:t xml:space="preserve">  </w:t>
      </w:r>
      <w:r w:rsidR="00136D33">
        <w:rPr>
          <w:szCs w:val="22"/>
        </w:rPr>
        <w:t xml:space="preserve">In addition, Alaska Communications filed </w:t>
      </w:r>
      <w:r w:rsidR="00705261">
        <w:rPr>
          <w:szCs w:val="22"/>
        </w:rPr>
        <w:t>certification of compliance pursuant to section 51.332(d),</w:t>
      </w:r>
      <w:r w:rsidR="00705261">
        <w:rPr>
          <w:rStyle w:val="FootnoteReference"/>
          <w:szCs w:val="22"/>
        </w:rPr>
        <w:footnoteReference w:id="5"/>
      </w:r>
      <w:r w:rsidR="00705261">
        <w:rPr>
          <w:szCs w:val="22"/>
        </w:rPr>
        <w:t xml:space="preserve"> and </w:t>
      </w:r>
      <w:r w:rsidR="0038620A">
        <w:rPr>
          <w:szCs w:val="22"/>
        </w:rPr>
        <w:t xml:space="preserve">a request for waiver of section 51.332 </w:t>
      </w:r>
      <w:r w:rsidR="0038620A">
        <w:rPr>
          <w:szCs w:val="22"/>
        </w:rPr>
        <w:lastRenderedPageBreak/>
        <w:t xml:space="preserve">to the extent necessary to allow approval for implementation of the proposed copper retirement </w:t>
      </w:r>
      <w:r w:rsidR="00197E72">
        <w:rPr>
          <w:szCs w:val="22"/>
        </w:rPr>
        <w:t xml:space="preserve">and transfer of customers to </w:t>
      </w:r>
      <w:r w:rsidR="00FC242F">
        <w:rPr>
          <w:szCs w:val="22"/>
        </w:rPr>
        <w:t>new digital loop carrier (</w:t>
      </w:r>
      <w:r w:rsidR="00197E72">
        <w:rPr>
          <w:szCs w:val="22"/>
        </w:rPr>
        <w:t>DLC</w:t>
      </w:r>
      <w:r w:rsidR="00FC242F">
        <w:rPr>
          <w:szCs w:val="22"/>
        </w:rPr>
        <w:t>)</w:t>
      </w:r>
      <w:r w:rsidR="00197E72">
        <w:rPr>
          <w:szCs w:val="22"/>
        </w:rPr>
        <w:t xml:space="preserve"> </w:t>
      </w:r>
      <w:r w:rsidR="00FC242F">
        <w:rPr>
          <w:szCs w:val="22"/>
        </w:rPr>
        <w:t xml:space="preserve">facilities </w:t>
      </w:r>
      <w:r w:rsidR="0038620A">
        <w:rPr>
          <w:szCs w:val="22"/>
        </w:rPr>
        <w:t>upon fewer than 180 days’ notice.</w:t>
      </w:r>
      <w:r w:rsidR="00705261">
        <w:rPr>
          <w:rStyle w:val="FootnoteReference"/>
          <w:szCs w:val="22"/>
        </w:rPr>
        <w:footnoteReference w:id="6"/>
      </w:r>
      <w:r w:rsidR="0038620A">
        <w:rPr>
          <w:szCs w:val="22"/>
        </w:rPr>
        <w:t xml:space="preserve">  </w:t>
      </w:r>
      <w:r w:rsidR="009E2449">
        <w:rPr>
          <w:szCs w:val="22"/>
        </w:rPr>
        <w:t xml:space="preserve">In its waiver request, </w:t>
      </w:r>
      <w:r w:rsidR="009E2449" w:rsidRPr="009E2449">
        <w:rPr>
          <w:szCs w:val="22"/>
        </w:rPr>
        <w:t xml:space="preserve">Alaska Communications </w:t>
      </w:r>
      <w:r w:rsidR="009E2449">
        <w:rPr>
          <w:szCs w:val="22"/>
        </w:rPr>
        <w:t xml:space="preserve">explains that </w:t>
      </w:r>
      <w:r w:rsidR="009E2449" w:rsidRPr="009E2449">
        <w:rPr>
          <w:szCs w:val="22"/>
        </w:rPr>
        <w:t xml:space="preserve">road work planned by the AK-DOT will result in the destruction of Alaska Communications copper loop plant, and that </w:t>
      </w:r>
      <w:r w:rsidR="00343CD3">
        <w:rPr>
          <w:szCs w:val="22"/>
        </w:rPr>
        <w:t>w</w:t>
      </w:r>
      <w:r w:rsidR="009E2449" w:rsidRPr="009E2449">
        <w:rPr>
          <w:szCs w:val="22"/>
        </w:rPr>
        <w:t>ork will need to be completed before the end of the Alaska summer construction season</w:t>
      </w:r>
      <w:r w:rsidR="00197E72">
        <w:rPr>
          <w:szCs w:val="22"/>
        </w:rPr>
        <w:t xml:space="preserve"> with transfer of customers to new</w:t>
      </w:r>
      <w:r w:rsidR="00FC242F">
        <w:rPr>
          <w:szCs w:val="22"/>
        </w:rPr>
        <w:t xml:space="preserve"> DLC facilities by July 31, 2016 and by approximately August 15, 2016</w:t>
      </w:r>
      <w:r w:rsidR="00197E72">
        <w:rPr>
          <w:szCs w:val="22"/>
        </w:rPr>
        <w:t xml:space="preserve"> </w:t>
      </w:r>
      <w:r w:rsidR="00FC242F">
        <w:rPr>
          <w:szCs w:val="22"/>
        </w:rPr>
        <w:t>as specified in the filing</w:t>
      </w:r>
      <w:r w:rsidR="009E2449" w:rsidRPr="009E2449">
        <w:rPr>
          <w:szCs w:val="22"/>
        </w:rPr>
        <w:t>.</w:t>
      </w:r>
      <w:r w:rsidR="009E2449" w:rsidRPr="009E2449">
        <w:rPr>
          <w:szCs w:val="22"/>
          <w:vertAlign w:val="superscript"/>
        </w:rPr>
        <w:footnoteReference w:id="7"/>
      </w:r>
      <w:r w:rsidR="009E2449" w:rsidRPr="009E2449">
        <w:rPr>
          <w:szCs w:val="22"/>
        </w:rPr>
        <w:t xml:space="preserve">  According to Alaska Communications, permanent replacement copper facilities could not be ordered, delivered to Anchorage, Alaska, and installed in time to meet </w:t>
      </w:r>
      <w:r w:rsidR="00343CD3">
        <w:rPr>
          <w:szCs w:val="22"/>
        </w:rPr>
        <w:t>an a</w:t>
      </w:r>
      <w:r w:rsidR="009E2449" w:rsidRPr="009E2449">
        <w:rPr>
          <w:szCs w:val="22"/>
        </w:rPr>
        <w:t>ccelerated AK-DOT schedule.</w:t>
      </w:r>
      <w:r w:rsidR="009E2449" w:rsidRPr="009E2449">
        <w:rPr>
          <w:szCs w:val="22"/>
          <w:vertAlign w:val="superscript"/>
        </w:rPr>
        <w:footnoteReference w:id="8"/>
      </w:r>
      <w:r w:rsidR="009E2449" w:rsidRPr="009E2449">
        <w:rPr>
          <w:szCs w:val="22"/>
        </w:rPr>
        <w:t xml:space="preserve">  Alaska Communications states, however, that General Communications, Inc. (GCI) is the only Alaska Communications customer directly affected by the resulting projects, and that GCI has been assured that the planned copper retirements and fiber replacements will not result in a loss of service to GCI or any of its customers.</w:t>
      </w:r>
      <w:r w:rsidR="009E2449" w:rsidRPr="009E2449">
        <w:rPr>
          <w:szCs w:val="22"/>
          <w:vertAlign w:val="superscript"/>
        </w:rPr>
        <w:footnoteReference w:id="9"/>
      </w:r>
      <w:r w:rsidR="009E2449" w:rsidRPr="009E2449">
        <w:rPr>
          <w:szCs w:val="22"/>
        </w:rPr>
        <w:t xml:space="preserve">  Alaska Communications maintains that it </w:t>
      </w:r>
      <w:r w:rsidR="00343CD3">
        <w:rPr>
          <w:szCs w:val="22"/>
        </w:rPr>
        <w:t xml:space="preserve">has been </w:t>
      </w:r>
      <w:r w:rsidR="009E2449" w:rsidRPr="009E2449">
        <w:rPr>
          <w:szCs w:val="22"/>
        </w:rPr>
        <w:t xml:space="preserve">working closely with GCI </w:t>
      </w:r>
      <w:r w:rsidR="005B7D44">
        <w:rPr>
          <w:szCs w:val="22"/>
        </w:rPr>
        <w:t xml:space="preserve">in order </w:t>
      </w:r>
      <w:r w:rsidR="009E2449" w:rsidRPr="009E2449">
        <w:rPr>
          <w:szCs w:val="22"/>
        </w:rPr>
        <w:t>to allow for a smooth transition</w:t>
      </w:r>
      <w:r w:rsidR="005B7D44">
        <w:rPr>
          <w:szCs w:val="22"/>
        </w:rPr>
        <w:t>,</w:t>
      </w:r>
      <w:r w:rsidR="009E2449" w:rsidRPr="009E2449">
        <w:rPr>
          <w:szCs w:val="22"/>
        </w:rPr>
        <w:t xml:space="preserve"> and that GCI has indicated that it does not object to the planned copper retirement.</w:t>
      </w:r>
      <w:r w:rsidR="009E2449" w:rsidRPr="009E2449">
        <w:rPr>
          <w:szCs w:val="22"/>
          <w:vertAlign w:val="superscript"/>
        </w:rPr>
        <w:footnoteReference w:id="10"/>
      </w:r>
    </w:p>
    <w:p w14:paraId="2558B792" w14:textId="0D374CC1" w:rsidR="00E456D2" w:rsidRPr="00094893" w:rsidRDefault="00E456D2" w:rsidP="00E456D2">
      <w:pPr>
        <w:pStyle w:val="ParaNum"/>
        <w:numPr>
          <w:ilvl w:val="0"/>
          <w:numId w:val="7"/>
        </w:numPr>
        <w:tabs>
          <w:tab w:val="clear" w:pos="1080"/>
          <w:tab w:val="left" w:pos="1440"/>
        </w:tabs>
        <w:spacing w:after="220"/>
      </w:pPr>
      <w:r>
        <w:t xml:space="preserve">On </w:t>
      </w:r>
      <w:r w:rsidR="005B7D44">
        <w:t>June 17, 2016</w:t>
      </w:r>
      <w:r w:rsidRPr="00094893">
        <w:t xml:space="preserve">, the </w:t>
      </w:r>
      <w:r w:rsidR="00C46344">
        <w:t xml:space="preserve">Competition Policy Division of the </w:t>
      </w:r>
      <w:r>
        <w:t xml:space="preserve">Wireline Competition </w:t>
      </w:r>
      <w:r w:rsidRPr="00094893">
        <w:t xml:space="preserve">Bureau released a public notice announcing receipt of </w:t>
      </w:r>
      <w:r>
        <w:t xml:space="preserve">the </w:t>
      </w:r>
      <w:r w:rsidR="005B7D44">
        <w:t>Alaska Communications</w:t>
      </w:r>
      <w:r>
        <w:t xml:space="preserve"> Network Change Filing</w:t>
      </w:r>
      <w:r w:rsidR="005B7D44">
        <w:t xml:space="preserve"> and </w:t>
      </w:r>
      <w:r w:rsidR="0083701F">
        <w:t>W</w:t>
      </w:r>
      <w:r w:rsidR="005B7D44">
        <w:rPr>
          <w:szCs w:val="22"/>
        </w:rPr>
        <w:t xml:space="preserve">aiver </w:t>
      </w:r>
      <w:r w:rsidR="0083701F">
        <w:rPr>
          <w:szCs w:val="22"/>
        </w:rPr>
        <w:t>R</w:t>
      </w:r>
      <w:r w:rsidR="005B7D44">
        <w:rPr>
          <w:szCs w:val="22"/>
        </w:rPr>
        <w:t>equest</w:t>
      </w:r>
      <w:r w:rsidRPr="00094893">
        <w:t>.</w:t>
      </w:r>
      <w:r w:rsidRPr="00094893">
        <w:rPr>
          <w:vertAlign w:val="superscript"/>
        </w:rPr>
        <w:footnoteReference w:id="11"/>
      </w:r>
      <w:r w:rsidRPr="00094893">
        <w:t xml:space="preserve"> </w:t>
      </w:r>
      <w:r>
        <w:t xml:space="preserve"> </w:t>
      </w:r>
      <w:r w:rsidR="00C46344">
        <w:t xml:space="preserve">The Public Notice </w:t>
      </w:r>
      <w:r w:rsidR="00A20BDE">
        <w:t xml:space="preserve">explained </w:t>
      </w:r>
      <w:r w:rsidR="00C46344">
        <w:t>that i</w:t>
      </w:r>
      <w:r w:rsidR="00C46344">
        <w:rPr>
          <w:szCs w:val="22"/>
        </w:rPr>
        <w:t>ncumbent LEC public notices of network change filed for the retirement</w:t>
      </w:r>
      <w:r w:rsidR="00C46344" w:rsidRPr="0046224D">
        <w:rPr>
          <w:szCs w:val="22"/>
        </w:rPr>
        <w:t xml:space="preserve"> </w:t>
      </w:r>
      <w:r w:rsidR="00C46344">
        <w:rPr>
          <w:szCs w:val="22"/>
        </w:rPr>
        <w:t>of copper pursuant to section 51.332 are deemed approved on the 180th day after the release of the Commission’s public notice of the filing</w:t>
      </w:r>
      <w:r w:rsidR="00A20BDE">
        <w:rPr>
          <w:szCs w:val="22"/>
        </w:rPr>
        <w:t>.</w:t>
      </w:r>
      <w:r w:rsidR="00A20BDE">
        <w:rPr>
          <w:rStyle w:val="FootnoteReference"/>
          <w:szCs w:val="22"/>
        </w:rPr>
        <w:footnoteReference w:id="12"/>
      </w:r>
      <w:r w:rsidR="00A20BDE">
        <w:rPr>
          <w:szCs w:val="22"/>
        </w:rPr>
        <w:t xml:space="preserve">  </w:t>
      </w:r>
      <w:r w:rsidR="003864FD">
        <w:rPr>
          <w:szCs w:val="22"/>
        </w:rPr>
        <w:t xml:space="preserve">It also </w:t>
      </w:r>
      <w:r w:rsidR="00A20BDE">
        <w:rPr>
          <w:szCs w:val="22"/>
        </w:rPr>
        <w:t xml:space="preserve">requested comment on Alaska Communications’ particular waiver request and established that comments on the waiver request </w:t>
      </w:r>
      <w:r w:rsidR="002B16A8">
        <w:rPr>
          <w:szCs w:val="22"/>
        </w:rPr>
        <w:t xml:space="preserve">could be filed </w:t>
      </w:r>
      <w:r w:rsidR="00A20BDE">
        <w:rPr>
          <w:szCs w:val="22"/>
        </w:rPr>
        <w:t>no later than June 27, 2016.</w:t>
      </w:r>
      <w:r w:rsidR="00A20BDE">
        <w:rPr>
          <w:rStyle w:val="FootnoteReference"/>
          <w:szCs w:val="22"/>
        </w:rPr>
        <w:footnoteReference w:id="13"/>
      </w:r>
      <w:r w:rsidR="002B16A8">
        <w:rPr>
          <w:szCs w:val="22"/>
        </w:rPr>
        <w:t xml:space="preserve">  No comments were </w:t>
      </w:r>
      <w:r w:rsidR="00803C4B">
        <w:rPr>
          <w:szCs w:val="22"/>
        </w:rPr>
        <w:t>filed in response</w:t>
      </w:r>
      <w:r w:rsidR="003864FD">
        <w:rPr>
          <w:szCs w:val="22"/>
        </w:rPr>
        <w:t xml:space="preserve"> to Alaska Communications’ request</w:t>
      </w:r>
      <w:r w:rsidR="002B16A8">
        <w:rPr>
          <w:szCs w:val="22"/>
        </w:rPr>
        <w:t>.</w:t>
      </w:r>
    </w:p>
    <w:p w14:paraId="5787307B" w14:textId="77777777" w:rsidR="00E456D2" w:rsidRPr="00094893" w:rsidRDefault="00E456D2" w:rsidP="00E456D2">
      <w:pPr>
        <w:pStyle w:val="Heading1"/>
        <w:tabs>
          <w:tab w:val="num" w:pos="720"/>
        </w:tabs>
        <w:spacing w:after="220"/>
      </w:pPr>
      <w:r w:rsidRPr="00094893">
        <w:t>DISCUSSION</w:t>
      </w:r>
    </w:p>
    <w:p w14:paraId="785BD3B8" w14:textId="77777777" w:rsidR="00E456D2" w:rsidRPr="00094893" w:rsidRDefault="00E456D2" w:rsidP="00E456D2">
      <w:pPr>
        <w:pStyle w:val="ParaNum"/>
        <w:numPr>
          <w:ilvl w:val="0"/>
          <w:numId w:val="7"/>
        </w:numPr>
        <w:tabs>
          <w:tab w:val="clear" w:pos="1080"/>
          <w:tab w:val="left" w:pos="1440"/>
        </w:tabs>
        <w:spacing w:after="220"/>
      </w:pPr>
      <w:r w:rsidRPr="00094893">
        <w:t xml:space="preserve">Section 251(c)(5) of the </w:t>
      </w:r>
      <w:r>
        <w:t xml:space="preserve">Communications </w:t>
      </w:r>
      <w:r w:rsidRPr="00094893">
        <w:t>Act</w:t>
      </w:r>
      <w:r>
        <w:t xml:space="preserve"> of 1934, as amended,</w:t>
      </w:r>
      <w:r w:rsidRPr="00094893">
        <w:t xml:space="preserve"> require</w:t>
      </w:r>
      <w:r>
        <w:t xml:space="preserve">s each </w:t>
      </w:r>
      <w:r w:rsidRPr="00094893">
        <w:t xml:space="preserve">incumbent LEC to </w:t>
      </w:r>
      <w:r>
        <w:t>“</w:t>
      </w:r>
      <w:r w:rsidRPr="00094893">
        <w:t>provide reasonable public notice of changes in the information necessary for the transmission and routing of services using that local exchange carrier’s facilities or networks, as well as of any other changes that would affect the interoperability of those facilities and networks.</w:t>
      </w:r>
      <w:r>
        <w:t>”</w:t>
      </w:r>
      <w:r w:rsidRPr="00094893">
        <w:rPr>
          <w:vertAlign w:val="superscript"/>
        </w:rPr>
        <w:footnoteReference w:id="14"/>
      </w:r>
      <w:r>
        <w:t xml:space="preserve">  The Commission’s rules require an incumbent LEC to provide public notice regarding any network change that:  (1) will affect a competing service provider’s performance or ability to provide service; (2) will affect the incumbent LEC’s interoperability with other service providers; (3) will affect the manner in which customer premises equipment is attached to the interstate network; or (4) will result in the retirement of copper</w:t>
      </w:r>
      <w:r w:rsidR="00DD564C">
        <w:t>, as defined in section 51.332</w:t>
      </w:r>
      <w:r>
        <w:t>.</w:t>
      </w:r>
      <w:r>
        <w:rPr>
          <w:rStyle w:val="FootnoteReference"/>
        </w:rPr>
        <w:footnoteReference w:id="15"/>
      </w:r>
      <w:r w:rsidRPr="00094893">
        <w:t xml:space="preserve">  </w:t>
      </w:r>
    </w:p>
    <w:p w14:paraId="75D62F67" w14:textId="17EA1E4F" w:rsidR="00E456D2" w:rsidRDefault="00E456D2" w:rsidP="00E456D2">
      <w:pPr>
        <w:pStyle w:val="ParaNum"/>
        <w:numPr>
          <w:ilvl w:val="0"/>
          <w:numId w:val="7"/>
        </w:numPr>
        <w:tabs>
          <w:tab w:val="clear" w:pos="1080"/>
          <w:tab w:val="left" w:pos="1440"/>
        </w:tabs>
        <w:spacing w:after="220"/>
      </w:pPr>
      <w:r>
        <w:lastRenderedPageBreak/>
        <w:t>The Commission may grant a petition to waive its rules – in whole or in part – “for good cause shown.”</w:t>
      </w:r>
      <w:r>
        <w:rPr>
          <w:rStyle w:val="FootnoteReference"/>
        </w:rPr>
        <w:footnoteReference w:id="16"/>
      </w:r>
      <w:r>
        <w:t xml:space="preserve">  </w:t>
      </w:r>
      <w:r w:rsidR="00A8639A">
        <w:t>W</w:t>
      </w:r>
      <w:r w:rsidRPr="00094893">
        <w:t xml:space="preserve">aiver of our rules is appropriate if </w:t>
      </w:r>
      <w:r>
        <w:t>“</w:t>
      </w:r>
      <w:r w:rsidRPr="00094893">
        <w:t>special circumstances warrant a deviation from the general rule</w:t>
      </w:r>
      <w:r>
        <w:t xml:space="preserve"> </w:t>
      </w:r>
      <w:r w:rsidRPr="00094893">
        <w:t>and such deviation w</w:t>
      </w:r>
      <w:r>
        <w:t>ill serve the public interest</w:t>
      </w:r>
      <w:r w:rsidRPr="00094893">
        <w:t>.</w:t>
      </w:r>
      <w:r>
        <w:t>”</w:t>
      </w:r>
      <w:r w:rsidRPr="00094893">
        <w:rPr>
          <w:vertAlign w:val="superscript"/>
        </w:rPr>
        <w:footnoteReference w:id="17"/>
      </w:r>
      <w:r w:rsidRPr="00094893">
        <w:t xml:space="preserve">  We find that it is appropriate to waive </w:t>
      </w:r>
      <w:r>
        <w:t xml:space="preserve">a portion of the </w:t>
      </w:r>
      <w:r w:rsidRPr="00094893">
        <w:t xml:space="preserve">notice </w:t>
      </w:r>
      <w:r>
        <w:t xml:space="preserve">period </w:t>
      </w:r>
      <w:r w:rsidRPr="00094893">
        <w:t>require</w:t>
      </w:r>
      <w:r>
        <w:t xml:space="preserve">d by </w:t>
      </w:r>
      <w:r w:rsidRPr="00094893">
        <w:t>section 51.33</w:t>
      </w:r>
      <w:r w:rsidR="00DD564C">
        <w:t>2</w:t>
      </w:r>
      <w:r w:rsidRPr="00094893">
        <w:t xml:space="preserve"> </w:t>
      </w:r>
      <w:r>
        <w:t xml:space="preserve">of our rules </w:t>
      </w:r>
      <w:r w:rsidRPr="00094893">
        <w:t xml:space="preserve">because of the special circumstances </w:t>
      </w:r>
      <w:r>
        <w:t xml:space="preserve">involved in </w:t>
      </w:r>
      <w:r w:rsidR="00DD564C">
        <w:t>Alaska Communications’ proposed copper retirement</w:t>
      </w:r>
      <w:r>
        <w:t xml:space="preserve">.  </w:t>
      </w:r>
      <w:r w:rsidR="00DD564C">
        <w:t xml:space="preserve">Alaska Communications has </w:t>
      </w:r>
      <w:r>
        <w:t xml:space="preserve">indicated that the </w:t>
      </w:r>
      <w:r w:rsidR="00DD564C">
        <w:t>destruction of its copper</w:t>
      </w:r>
      <w:r w:rsidR="00DD564C" w:rsidRPr="009E2449">
        <w:rPr>
          <w:szCs w:val="22"/>
        </w:rPr>
        <w:t xml:space="preserve"> loop plant</w:t>
      </w:r>
      <w:r w:rsidR="00DD564C">
        <w:t xml:space="preserve"> is occurring as a result of major road improvement projects planned by the AK-DOT and </w:t>
      </w:r>
      <w:r w:rsidR="004D3FA0">
        <w:t xml:space="preserve">placed on an accelerated schedule for completion </w:t>
      </w:r>
      <w:r w:rsidR="004D3FA0" w:rsidRPr="009E2449">
        <w:rPr>
          <w:szCs w:val="22"/>
        </w:rPr>
        <w:t>before the end of the Alaska summer construction season</w:t>
      </w:r>
      <w:r w:rsidR="004D3FA0">
        <w:rPr>
          <w:szCs w:val="22"/>
        </w:rPr>
        <w:t>.</w:t>
      </w:r>
      <w:r w:rsidR="004D3FA0">
        <w:rPr>
          <w:rStyle w:val="FootnoteReference"/>
          <w:szCs w:val="22"/>
        </w:rPr>
        <w:footnoteReference w:id="18"/>
      </w:r>
      <w:r w:rsidR="004D3FA0">
        <w:rPr>
          <w:szCs w:val="22"/>
        </w:rPr>
        <w:t xml:space="preserve">  </w:t>
      </w:r>
      <w:r w:rsidR="0058103C">
        <w:rPr>
          <w:szCs w:val="22"/>
        </w:rPr>
        <w:t xml:space="preserve">According to Alaska Communications, </w:t>
      </w:r>
      <w:r w:rsidR="00803C4B">
        <w:rPr>
          <w:szCs w:val="22"/>
        </w:rPr>
        <w:t xml:space="preserve">it did not receive </w:t>
      </w:r>
      <w:r w:rsidR="001429F6">
        <w:rPr>
          <w:szCs w:val="22"/>
        </w:rPr>
        <w:t xml:space="preserve">definitive notice of the final construction plans and project timing </w:t>
      </w:r>
      <w:r w:rsidR="00D12DA9">
        <w:rPr>
          <w:szCs w:val="22"/>
        </w:rPr>
        <w:t xml:space="preserve">for the Old Seward location </w:t>
      </w:r>
      <w:r w:rsidR="001429F6">
        <w:rPr>
          <w:szCs w:val="22"/>
        </w:rPr>
        <w:t xml:space="preserve">from the AK-DOT until April 2016, at which time it would not have been able to provide the </w:t>
      </w:r>
      <w:r w:rsidR="00C53D08">
        <w:rPr>
          <w:szCs w:val="22"/>
        </w:rPr>
        <w:t>1</w:t>
      </w:r>
      <w:r w:rsidR="001429F6">
        <w:rPr>
          <w:szCs w:val="22"/>
        </w:rPr>
        <w:t xml:space="preserve">80-days’ notice required under the new </w:t>
      </w:r>
      <w:r w:rsidR="00E06586">
        <w:rPr>
          <w:szCs w:val="22"/>
        </w:rPr>
        <w:t xml:space="preserve">copper retirement </w:t>
      </w:r>
      <w:r w:rsidR="001429F6">
        <w:rPr>
          <w:szCs w:val="22"/>
        </w:rPr>
        <w:t>notice requirements.</w:t>
      </w:r>
      <w:r w:rsidR="001429F6">
        <w:rPr>
          <w:rStyle w:val="FootnoteReference"/>
          <w:szCs w:val="22"/>
        </w:rPr>
        <w:footnoteReference w:id="19"/>
      </w:r>
      <w:r w:rsidR="001429F6">
        <w:rPr>
          <w:szCs w:val="22"/>
        </w:rPr>
        <w:t xml:space="preserve">  </w:t>
      </w:r>
      <w:r w:rsidR="0058103C">
        <w:rPr>
          <w:szCs w:val="22"/>
        </w:rPr>
        <w:t>In addition, Alaska Communications states that there was insufficient time to order, receive</w:t>
      </w:r>
      <w:r w:rsidR="00803C4B">
        <w:rPr>
          <w:szCs w:val="22"/>
        </w:rPr>
        <w:t>,</w:t>
      </w:r>
      <w:r w:rsidR="0058103C">
        <w:rPr>
          <w:szCs w:val="22"/>
        </w:rPr>
        <w:t xml:space="preserve"> and install replacement copper facilities in response to the AK-DOT projects</w:t>
      </w:r>
      <w:r w:rsidR="00B15621">
        <w:rPr>
          <w:szCs w:val="22"/>
        </w:rPr>
        <w:t xml:space="preserve">.  Alaska Communications indicates, however, that </w:t>
      </w:r>
      <w:r w:rsidR="0058103C">
        <w:rPr>
          <w:szCs w:val="22"/>
        </w:rPr>
        <w:t xml:space="preserve">fiber optic cable and DLC equipment were more readily available on a timely basis.  </w:t>
      </w:r>
      <w:r w:rsidR="00001864">
        <w:rPr>
          <w:szCs w:val="22"/>
        </w:rPr>
        <w:t xml:space="preserve">Alaska Communications submits that it will be able to maintain service to customers </w:t>
      </w:r>
      <w:r w:rsidR="00C53D08">
        <w:rPr>
          <w:szCs w:val="22"/>
        </w:rPr>
        <w:t xml:space="preserve">in </w:t>
      </w:r>
      <w:r w:rsidR="0058103C">
        <w:rPr>
          <w:szCs w:val="22"/>
        </w:rPr>
        <w:t xml:space="preserve">the Old Seward location </w:t>
      </w:r>
      <w:r w:rsidR="00001864">
        <w:rPr>
          <w:szCs w:val="22"/>
        </w:rPr>
        <w:t>using temporary copper facilities until July 31, 2016, but that at that point the AK-DOT work will also destroy the temporary copper facilities</w:t>
      </w:r>
      <w:r w:rsidR="00C53D08">
        <w:rPr>
          <w:szCs w:val="22"/>
        </w:rPr>
        <w:t xml:space="preserve">, </w:t>
      </w:r>
      <w:r w:rsidR="00001864">
        <w:rPr>
          <w:szCs w:val="22"/>
        </w:rPr>
        <w:t xml:space="preserve">and customers will need to be transferred to </w:t>
      </w:r>
      <w:r w:rsidR="00C53D08">
        <w:rPr>
          <w:szCs w:val="22"/>
        </w:rPr>
        <w:t xml:space="preserve">Alaska Communications’ </w:t>
      </w:r>
      <w:r w:rsidR="00001864">
        <w:rPr>
          <w:szCs w:val="22"/>
        </w:rPr>
        <w:t>new DLC facilities.</w:t>
      </w:r>
      <w:r w:rsidR="00D12DA9">
        <w:rPr>
          <w:rStyle w:val="FootnoteReference"/>
          <w:szCs w:val="22"/>
        </w:rPr>
        <w:footnoteReference w:id="20"/>
      </w:r>
      <w:r w:rsidR="00001864">
        <w:rPr>
          <w:szCs w:val="22"/>
        </w:rPr>
        <w:t xml:space="preserve">  </w:t>
      </w:r>
      <w:r w:rsidR="00C53D08">
        <w:rPr>
          <w:szCs w:val="22"/>
        </w:rPr>
        <w:t xml:space="preserve">Alaska Communications </w:t>
      </w:r>
      <w:r w:rsidR="00D12DA9">
        <w:rPr>
          <w:szCs w:val="22"/>
        </w:rPr>
        <w:t xml:space="preserve">also maintains that while it has not received formal notice of the start date for road work at the </w:t>
      </w:r>
      <w:r w:rsidR="00ED4280">
        <w:t>E. Klatt Road location</w:t>
      </w:r>
      <w:r w:rsidR="00ED4280">
        <w:rPr>
          <w:szCs w:val="22"/>
        </w:rPr>
        <w:t xml:space="preserve">, </w:t>
      </w:r>
      <w:r w:rsidR="00144E99">
        <w:rPr>
          <w:szCs w:val="22"/>
        </w:rPr>
        <w:t>work in any event will need to be completed before the end of the summer construction period, and is likely to be completed before the mid-August start of the school year.</w:t>
      </w:r>
      <w:r w:rsidR="00144E99">
        <w:rPr>
          <w:rStyle w:val="FootnoteReference"/>
          <w:szCs w:val="22"/>
        </w:rPr>
        <w:footnoteReference w:id="21"/>
      </w:r>
    </w:p>
    <w:p w14:paraId="34E58279" w14:textId="452B5C67" w:rsidR="00E456D2" w:rsidRPr="00094893" w:rsidRDefault="000D3516" w:rsidP="00E456D2">
      <w:pPr>
        <w:pStyle w:val="ParaNum"/>
        <w:numPr>
          <w:ilvl w:val="0"/>
          <w:numId w:val="7"/>
        </w:numPr>
        <w:tabs>
          <w:tab w:val="clear" w:pos="1080"/>
          <w:tab w:val="left" w:pos="1440"/>
        </w:tabs>
        <w:spacing w:after="220"/>
      </w:pPr>
      <w:r>
        <w:rPr>
          <w:szCs w:val="22"/>
        </w:rPr>
        <w:t>Alaska Communications asserts that the only customer directly affected by the pro</w:t>
      </w:r>
      <w:r w:rsidR="008A35FC">
        <w:rPr>
          <w:szCs w:val="22"/>
        </w:rPr>
        <w:t xml:space="preserve">posed changes in these areas </w:t>
      </w:r>
      <w:r>
        <w:rPr>
          <w:szCs w:val="22"/>
        </w:rPr>
        <w:t>is GCI</w:t>
      </w:r>
      <w:r w:rsidR="008A35FC">
        <w:rPr>
          <w:szCs w:val="22"/>
        </w:rPr>
        <w:t xml:space="preserve">, and that it has coordinated with GCI for </w:t>
      </w:r>
      <w:r w:rsidR="008A35FC" w:rsidRPr="009E2449">
        <w:rPr>
          <w:szCs w:val="22"/>
        </w:rPr>
        <w:t>a smooth transition</w:t>
      </w:r>
      <w:r w:rsidR="008A35FC">
        <w:rPr>
          <w:szCs w:val="22"/>
        </w:rPr>
        <w:t xml:space="preserve"> without any </w:t>
      </w:r>
      <w:r w:rsidR="008A35FC" w:rsidRPr="009E2449">
        <w:rPr>
          <w:szCs w:val="22"/>
        </w:rPr>
        <w:t>object</w:t>
      </w:r>
      <w:r w:rsidR="008A35FC">
        <w:rPr>
          <w:szCs w:val="22"/>
        </w:rPr>
        <w:t>ion from GCI</w:t>
      </w:r>
      <w:r w:rsidR="008A35FC" w:rsidRPr="009E2449">
        <w:rPr>
          <w:szCs w:val="22"/>
        </w:rPr>
        <w:t>.</w:t>
      </w:r>
      <w:r w:rsidR="008A35FC" w:rsidRPr="009E2449">
        <w:rPr>
          <w:szCs w:val="22"/>
          <w:vertAlign w:val="superscript"/>
        </w:rPr>
        <w:footnoteReference w:id="22"/>
      </w:r>
      <w:r w:rsidR="008A35FC">
        <w:rPr>
          <w:szCs w:val="22"/>
        </w:rPr>
        <w:t xml:space="preserve">  </w:t>
      </w:r>
      <w:r w:rsidR="00430D64">
        <w:rPr>
          <w:szCs w:val="22"/>
        </w:rPr>
        <w:t>In the Public Notice, w</w:t>
      </w:r>
      <w:r w:rsidR="00912409">
        <w:rPr>
          <w:szCs w:val="22"/>
        </w:rPr>
        <w:t xml:space="preserve">e </w:t>
      </w:r>
      <w:r w:rsidR="0012206C">
        <w:rPr>
          <w:szCs w:val="22"/>
        </w:rPr>
        <w:t xml:space="preserve">also </w:t>
      </w:r>
      <w:r w:rsidR="00912409">
        <w:rPr>
          <w:szCs w:val="22"/>
        </w:rPr>
        <w:t xml:space="preserve">sought comment </w:t>
      </w:r>
      <w:r w:rsidR="00DC69C1">
        <w:rPr>
          <w:szCs w:val="22"/>
        </w:rPr>
        <w:t xml:space="preserve">on </w:t>
      </w:r>
      <w:r w:rsidR="00C9366B">
        <w:rPr>
          <w:szCs w:val="22"/>
        </w:rPr>
        <w:t xml:space="preserve">the </w:t>
      </w:r>
      <w:r w:rsidR="00DC69C1">
        <w:rPr>
          <w:szCs w:val="22"/>
        </w:rPr>
        <w:t>waiver request</w:t>
      </w:r>
      <w:r w:rsidR="0012206C">
        <w:rPr>
          <w:szCs w:val="22"/>
        </w:rPr>
        <w:t>,</w:t>
      </w:r>
      <w:r w:rsidR="00DC69C1">
        <w:rPr>
          <w:szCs w:val="22"/>
        </w:rPr>
        <w:t xml:space="preserve"> </w:t>
      </w:r>
      <w:r w:rsidR="0012206C">
        <w:rPr>
          <w:szCs w:val="22"/>
        </w:rPr>
        <w:t xml:space="preserve">and </w:t>
      </w:r>
      <w:r w:rsidR="00430D64">
        <w:rPr>
          <w:szCs w:val="22"/>
        </w:rPr>
        <w:t xml:space="preserve">we </w:t>
      </w:r>
      <w:r w:rsidR="0012206C">
        <w:rPr>
          <w:szCs w:val="22"/>
        </w:rPr>
        <w:t>note that no</w:t>
      </w:r>
      <w:r w:rsidR="00DC69C1">
        <w:rPr>
          <w:szCs w:val="22"/>
        </w:rPr>
        <w:t xml:space="preserve"> comments were received in opposition to </w:t>
      </w:r>
      <w:r w:rsidR="00C9366B">
        <w:rPr>
          <w:szCs w:val="22"/>
        </w:rPr>
        <w:t xml:space="preserve">the </w:t>
      </w:r>
      <w:r w:rsidR="00DC69C1">
        <w:rPr>
          <w:szCs w:val="22"/>
        </w:rPr>
        <w:t>request.</w:t>
      </w:r>
      <w:r w:rsidR="0012206C">
        <w:rPr>
          <w:szCs w:val="22"/>
        </w:rPr>
        <w:t xml:space="preserve">  Alaska Communications maintains that a waiver under these circumstances </w:t>
      </w:r>
      <w:r w:rsidR="00A46E61">
        <w:rPr>
          <w:szCs w:val="22"/>
        </w:rPr>
        <w:t xml:space="preserve">serves </w:t>
      </w:r>
      <w:r w:rsidR="0012206C">
        <w:rPr>
          <w:szCs w:val="22"/>
        </w:rPr>
        <w:t xml:space="preserve">the public interest because the replacement of copper loop facilities with new fiber-fed DLCs will shorten the customer loops in the </w:t>
      </w:r>
      <w:r w:rsidR="0097496D">
        <w:rPr>
          <w:szCs w:val="22"/>
        </w:rPr>
        <w:t xml:space="preserve">affected </w:t>
      </w:r>
      <w:r w:rsidR="0012206C">
        <w:rPr>
          <w:szCs w:val="22"/>
        </w:rPr>
        <w:t>areas and potentially improve the speed and performance of available telecommunications and broadband Internet access service without disruption to GCI or service interruption to end users</w:t>
      </w:r>
      <w:r w:rsidR="002625BC">
        <w:rPr>
          <w:szCs w:val="22"/>
        </w:rPr>
        <w:t>.</w:t>
      </w:r>
      <w:r w:rsidR="00E456D2" w:rsidRPr="00094893">
        <w:rPr>
          <w:vertAlign w:val="superscript"/>
        </w:rPr>
        <w:footnoteReference w:id="23"/>
      </w:r>
      <w:r w:rsidR="00E456D2">
        <w:t xml:space="preserve">  </w:t>
      </w:r>
      <w:r w:rsidR="00CA110D">
        <w:t>Given the nature of the changes</w:t>
      </w:r>
      <w:r w:rsidR="0034288A">
        <w:t xml:space="preserve"> involved, and the totality of these special circumstances, we find Alaska Communications</w:t>
      </w:r>
      <w:r w:rsidR="006C2C12">
        <w:t>’</w:t>
      </w:r>
      <w:r w:rsidR="0034288A">
        <w:t xml:space="preserve"> representations to be reasonable</w:t>
      </w:r>
      <w:r w:rsidR="00CA110D">
        <w:t xml:space="preserve">.  </w:t>
      </w:r>
      <w:r w:rsidR="00B95611">
        <w:t>In granting a limited waiver of section 51.332 of the Commission’s rules</w:t>
      </w:r>
      <w:r w:rsidR="002B0074">
        <w:t>, w</w:t>
      </w:r>
      <w:r w:rsidR="00E456D2" w:rsidRPr="00094893">
        <w:t xml:space="preserve">e rely </w:t>
      </w:r>
      <w:r w:rsidR="00CA110D">
        <w:t xml:space="preserve">in part </w:t>
      </w:r>
      <w:r w:rsidR="00E456D2" w:rsidRPr="00094893">
        <w:t xml:space="preserve">on </w:t>
      </w:r>
      <w:r w:rsidR="001E40CF">
        <w:t>Alaska Communications’</w:t>
      </w:r>
      <w:r w:rsidR="001E40CF" w:rsidRPr="00094893">
        <w:t xml:space="preserve"> representations </w:t>
      </w:r>
      <w:r w:rsidR="001E40CF">
        <w:t>in the record and the absence of any objections in oppo</w:t>
      </w:r>
      <w:r w:rsidR="006C2C12">
        <w:t xml:space="preserve">sition to a </w:t>
      </w:r>
      <w:r w:rsidR="008C7463">
        <w:t xml:space="preserve">limited </w:t>
      </w:r>
      <w:r w:rsidR="006C2C12">
        <w:t>waiver of our rules</w:t>
      </w:r>
      <w:r w:rsidR="001E40CF">
        <w:t>.</w:t>
      </w:r>
      <w:r w:rsidR="00CA110D">
        <w:t xml:space="preserve">  In these narrow special circumstances, we conclude that the public interest would be served by granting the waiver.</w:t>
      </w:r>
    </w:p>
    <w:p w14:paraId="63CB1FC4" w14:textId="77777777" w:rsidR="00E456D2" w:rsidRPr="00094893" w:rsidRDefault="00E456D2" w:rsidP="00E456D2">
      <w:pPr>
        <w:pStyle w:val="Heading1"/>
        <w:tabs>
          <w:tab w:val="num" w:pos="720"/>
        </w:tabs>
        <w:spacing w:after="220"/>
      </w:pPr>
      <w:bookmarkStart w:id="1" w:name="_Toc532208486"/>
      <w:r w:rsidRPr="00094893">
        <w:t>Ordering CLAUSEs</w:t>
      </w:r>
      <w:bookmarkEnd w:id="1"/>
    </w:p>
    <w:p w14:paraId="028E8ACF" w14:textId="77777777" w:rsidR="00B15621" w:rsidRDefault="00E456D2" w:rsidP="00B15621">
      <w:pPr>
        <w:pStyle w:val="ParaNum"/>
        <w:numPr>
          <w:ilvl w:val="0"/>
          <w:numId w:val="7"/>
        </w:numPr>
        <w:tabs>
          <w:tab w:val="clear" w:pos="1080"/>
          <w:tab w:val="left" w:pos="1440"/>
        </w:tabs>
        <w:spacing w:after="220"/>
      </w:pPr>
      <w:r w:rsidRPr="00094893">
        <w:t xml:space="preserve">Accordingly, IT IS ORDERED that, pursuant to sections 1, 4(i), and 251 of the Communications Act of 1934, as amended, 47 U.S.C. §§ 151, 154(i), and 251, and pursuant to sections 0.91, 0.291, and 1.3 of the Commission’s rules, 47 C.F.R. §§ 0.91, 0.291, and 1.3, </w:t>
      </w:r>
      <w:r w:rsidR="003E74E8">
        <w:t>Alaska Communications</w:t>
      </w:r>
      <w:r w:rsidRPr="00094893">
        <w:t xml:space="preserve">’ </w:t>
      </w:r>
      <w:r w:rsidR="003E74E8">
        <w:t>waiver request i</w:t>
      </w:r>
      <w:r w:rsidRPr="00094893">
        <w:t>s GRANTED to the extent provided herein.</w:t>
      </w:r>
    </w:p>
    <w:p w14:paraId="316FCA31" w14:textId="77777777" w:rsidR="00B15621" w:rsidRDefault="00B15621" w:rsidP="00B15621">
      <w:pPr>
        <w:pStyle w:val="ParaNum"/>
        <w:numPr>
          <w:ilvl w:val="0"/>
          <w:numId w:val="0"/>
        </w:numPr>
        <w:tabs>
          <w:tab w:val="left" w:pos="1440"/>
        </w:tabs>
        <w:spacing w:after="220"/>
      </w:pPr>
    </w:p>
    <w:p w14:paraId="28AC8CFA" w14:textId="77777777" w:rsidR="00E456D2" w:rsidRDefault="00E456D2" w:rsidP="00E456D2">
      <w:r>
        <w:tab/>
      </w:r>
      <w:r>
        <w:tab/>
      </w:r>
      <w:r>
        <w:tab/>
      </w:r>
      <w:r>
        <w:tab/>
      </w:r>
      <w:r>
        <w:tab/>
      </w:r>
      <w:r w:rsidRPr="00094893">
        <w:t>FEDERAL COMMUNICATIONS COMMISSION</w:t>
      </w:r>
    </w:p>
    <w:p w14:paraId="7EA90EC2" w14:textId="77777777" w:rsidR="00E456D2" w:rsidRDefault="00E456D2" w:rsidP="00E456D2"/>
    <w:p w14:paraId="36A834AB" w14:textId="77777777" w:rsidR="00E456D2" w:rsidRDefault="00E456D2" w:rsidP="00E456D2"/>
    <w:p w14:paraId="6DF95843" w14:textId="77777777" w:rsidR="00E456D2" w:rsidRDefault="00E456D2" w:rsidP="00E456D2"/>
    <w:p w14:paraId="11BC01DF" w14:textId="77777777" w:rsidR="00E456D2" w:rsidRDefault="00E456D2" w:rsidP="00E456D2"/>
    <w:p w14:paraId="74A0817B" w14:textId="77777777" w:rsidR="00E456D2" w:rsidRDefault="00E456D2" w:rsidP="00E456D2">
      <w:r>
        <w:tab/>
      </w:r>
      <w:r>
        <w:tab/>
      </w:r>
      <w:r>
        <w:tab/>
      </w:r>
      <w:r>
        <w:tab/>
      </w:r>
      <w:r>
        <w:tab/>
      </w:r>
      <w:r w:rsidR="003E74E8">
        <w:t>Daniel Kahn</w:t>
      </w:r>
    </w:p>
    <w:p w14:paraId="4C9431BC" w14:textId="77777777" w:rsidR="003E74E8" w:rsidRDefault="00E456D2" w:rsidP="003E74E8">
      <w:r>
        <w:tab/>
      </w:r>
      <w:r>
        <w:tab/>
      </w:r>
      <w:r>
        <w:tab/>
      </w:r>
      <w:r>
        <w:tab/>
      </w:r>
      <w:r>
        <w:tab/>
      </w:r>
      <w:r w:rsidRPr="00094893">
        <w:t>Chief</w:t>
      </w:r>
    </w:p>
    <w:p w14:paraId="6C44E26B" w14:textId="77777777" w:rsidR="003E74E8" w:rsidRDefault="003E74E8" w:rsidP="003E74E8">
      <w:pPr>
        <w:ind w:left="2880" w:firstLine="720"/>
      </w:pPr>
      <w:r>
        <w:t>Competition Policy Division</w:t>
      </w:r>
    </w:p>
    <w:p w14:paraId="29AF1D02" w14:textId="77777777" w:rsidR="00E456D2" w:rsidRPr="00E456D2" w:rsidRDefault="00E456D2" w:rsidP="003E74E8">
      <w:pPr>
        <w:ind w:left="2880" w:firstLine="720"/>
      </w:pPr>
      <w:r>
        <w:t xml:space="preserve">Wireline Competition </w:t>
      </w:r>
      <w:r w:rsidRPr="00094893">
        <w:t>Bureau</w:t>
      </w:r>
    </w:p>
    <w:sectPr w:rsidR="00E456D2" w:rsidRPr="00E456D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EAE49" w14:textId="77777777" w:rsidR="00BD0052" w:rsidRDefault="00BD0052">
      <w:pPr>
        <w:spacing w:line="20" w:lineRule="exact"/>
      </w:pPr>
    </w:p>
  </w:endnote>
  <w:endnote w:type="continuationSeparator" w:id="0">
    <w:p w14:paraId="0CD8473D" w14:textId="77777777" w:rsidR="00BD0052" w:rsidRDefault="00BD0052">
      <w:r>
        <w:t xml:space="preserve"> </w:t>
      </w:r>
    </w:p>
  </w:endnote>
  <w:endnote w:type="continuationNotice" w:id="1">
    <w:p w14:paraId="6AB7BEB4" w14:textId="77777777" w:rsidR="00BD0052" w:rsidRDefault="00BD00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16C3D"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4DD23008"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1136B"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4F52CE">
      <w:rPr>
        <w:noProof/>
      </w:rPr>
      <w:t>2</w:t>
    </w:r>
    <w:r>
      <w:fldChar w:fldCharType="end"/>
    </w:r>
  </w:p>
  <w:p w14:paraId="2FF2B2A2"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018A3"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77F0B" w14:textId="77777777" w:rsidR="00BD0052" w:rsidRDefault="00BD0052">
      <w:r>
        <w:separator/>
      </w:r>
    </w:p>
  </w:footnote>
  <w:footnote w:type="continuationSeparator" w:id="0">
    <w:p w14:paraId="7221ABC4" w14:textId="77777777" w:rsidR="00BD0052" w:rsidRDefault="00BD0052" w:rsidP="00C721AC">
      <w:pPr>
        <w:spacing w:before="120"/>
        <w:rPr>
          <w:sz w:val="20"/>
        </w:rPr>
      </w:pPr>
      <w:r>
        <w:rPr>
          <w:sz w:val="20"/>
        </w:rPr>
        <w:t xml:space="preserve">(Continued from previous page)  </w:t>
      </w:r>
      <w:r>
        <w:rPr>
          <w:sz w:val="20"/>
        </w:rPr>
        <w:separator/>
      </w:r>
    </w:p>
  </w:footnote>
  <w:footnote w:type="continuationNotice" w:id="1">
    <w:p w14:paraId="4FC7D36C" w14:textId="77777777" w:rsidR="00BD0052" w:rsidRDefault="00BD0052" w:rsidP="00C721AC">
      <w:pPr>
        <w:jc w:val="right"/>
        <w:rPr>
          <w:sz w:val="20"/>
        </w:rPr>
      </w:pPr>
      <w:r>
        <w:rPr>
          <w:sz w:val="20"/>
        </w:rPr>
        <w:t>(continued….)</w:t>
      </w:r>
    </w:p>
  </w:footnote>
  <w:footnote w:id="2">
    <w:p w14:paraId="144EE01F" w14:textId="1003ED9B" w:rsidR="00592BCD" w:rsidRDefault="00592BCD" w:rsidP="00592BCD">
      <w:pPr>
        <w:pStyle w:val="FootnoteText"/>
      </w:pPr>
      <w:r>
        <w:rPr>
          <w:rStyle w:val="FootnoteReference"/>
        </w:rPr>
        <w:footnoteRef/>
      </w:r>
      <w:r>
        <w:t xml:space="preserve"> </w:t>
      </w:r>
      <w:r w:rsidR="0014398E">
        <w:t>ACS of Anchorage, LLC Request for Waiver of Section 51.332 of the Commission’s Rules, GN Docket No. 13-5</w:t>
      </w:r>
      <w:r>
        <w:t xml:space="preserve"> (</w:t>
      </w:r>
      <w:r w:rsidR="0014398E">
        <w:t xml:space="preserve">May 6, </w:t>
      </w:r>
      <w:r w:rsidRPr="00B60544">
        <w:t>20</w:t>
      </w:r>
      <w:r w:rsidR="0014398E">
        <w:t>16</w:t>
      </w:r>
      <w:r w:rsidR="00AA40FF">
        <w:t>) (</w:t>
      </w:r>
      <w:hyperlink r:id="rId1" w:history="1">
        <w:r w:rsidR="00AA40FF" w:rsidRPr="007C6BFC">
          <w:rPr>
            <w:rStyle w:val="Hyperlink"/>
          </w:rPr>
          <w:t>https://www.fcc.gov/ecfs/filing/60002153931</w:t>
        </w:r>
      </w:hyperlink>
      <w:r w:rsidR="00AA40FF">
        <w:t>) (</w:t>
      </w:r>
      <w:r w:rsidR="0014398E">
        <w:t>Alaska Communications Waiver Request</w:t>
      </w:r>
      <w:r>
        <w:t>).</w:t>
      </w:r>
    </w:p>
  </w:footnote>
  <w:footnote w:id="3">
    <w:p w14:paraId="30F8B298" w14:textId="77777777" w:rsidR="00592BCD" w:rsidRDefault="00592BCD" w:rsidP="00592BCD">
      <w:pPr>
        <w:pStyle w:val="FootnoteText"/>
      </w:pPr>
      <w:r>
        <w:rPr>
          <w:rStyle w:val="FootnoteReference"/>
        </w:rPr>
        <w:footnoteRef/>
      </w:r>
      <w:r>
        <w:t xml:space="preserve"> </w:t>
      </w:r>
      <w:r>
        <w:rPr>
          <w:i/>
        </w:rPr>
        <w:t>See</w:t>
      </w:r>
      <w:r w:rsidRPr="00F17A66">
        <w:t xml:space="preserve"> 4</w:t>
      </w:r>
      <w:r>
        <w:t>7 CFR § 51.33</w:t>
      </w:r>
      <w:r w:rsidR="005168AA">
        <w:t>2</w:t>
      </w:r>
      <w:r>
        <w:t>.</w:t>
      </w:r>
    </w:p>
  </w:footnote>
  <w:footnote w:id="4">
    <w:p w14:paraId="4FE846F0" w14:textId="7C081767" w:rsidR="001E7310" w:rsidRDefault="001E7310">
      <w:pPr>
        <w:pStyle w:val="FootnoteText"/>
      </w:pPr>
      <w:r>
        <w:rPr>
          <w:rStyle w:val="FootnoteReference"/>
        </w:rPr>
        <w:footnoteRef/>
      </w:r>
      <w:r>
        <w:t xml:space="preserve"> Letter from Lisa Phillips, Manager, Regulatory Affairs, Alaska Communications, to Marlene H. Dortch, Secretary, Federal Communications Commission</w:t>
      </w:r>
      <w:r w:rsidR="00AA40FF">
        <w:t>, WC Docket No. 16-176</w:t>
      </w:r>
      <w:r>
        <w:t xml:space="preserve"> (May 6, 2016</w:t>
      </w:r>
      <w:r w:rsidR="007722C0">
        <w:t>)</w:t>
      </w:r>
      <w:r w:rsidR="00AA40FF">
        <w:t xml:space="preserve"> </w:t>
      </w:r>
      <w:r w:rsidR="007722C0">
        <w:t>(</w:t>
      </w:r>
      <w:hyperlink r:id="rId2" w:history="1">
        <w:r w:rsidR="00AA40FF" w:rsidRPr="007C6BFC">
          <w:rPr>
            <w:rStyle w:val="Hyperlink"/>
          </w:rPr>
          <w:t>https://www.fcc.gov/ecfs/filing/60001739175</w:t>
        </w:r>
      </w:hyperlink>
      <w:r w:rsidR="007722C0">
        <w:t>)</w:t>
      </w:r>
      <w:r w:rsidR="00AA40FF">
        <w:t xml:space="preserve"> </w:t>
      </w:r>
      <w:r>
        <w:t>(Alaska Communications Network Change Filing).</w:t>
      </w:r>
    </w:p>
  </w:footnote>
  <w:footnote w:id="5">
    <w:p w14:paraId="1CF6373D" w14:textId="77777777" w:rsidR="00705261" w:rsidRDefault="00705261" w:rsidP="00705261">
      <w:pPr>
        <w:pStyle w:val="FootnoteText"/>
      </w:pPr>
      <w:r>
        <w:rPr>
          <w:rStyle w:val="FootnoteReference"/>
        </w:rPr>
        <w:footnoteRef/>
      </w:r>
      <w:r>
        <w:t xml:space="preserve"> </w:t>
      </w:r>
      <w:r>
        <w:rPr>
          <w:i/>
        </w:rPr>
        <w:t>See</w:t>
      </w:r>
      <w:r>
        <w:t xml:space="preserve"> Alaska Communications Waiver Request at Exhibit C; </w:t>
      </w:r>
      <w:r w:rsidRPr="00705261">
        <w:rPr>
          <w:i/>
        </w:rPr>
        <w:t>see also</w:t>
      </w:r>
      <w:r>
        <w:t xml:space="preserve"> </w:t>
      </w:r>
      <w:r w:rsidRPr="00705261">
        <w:t>47</w:t>
      </w:r>
      <w:r>
        <w:t xml:space="preserve"> CFR § 51.332(d).</w:t>
      </w:r>
    </w:p>
  </w:footnote>
  <w:footnote w:id="6">
    <w:p w14:paraId="2CB1CEAB" w14:textId="77777777" w:rsidR="00705261" w:rsidRPr="00705261" w:rsidRDefault="00705261">
      <w:pPr>
        <w:pStyle w:val="FootnoteText"/>
      </w:pPr>
      <w:r>
        <w:rPr>
          <w:rStyle w:val="FootnoteReference"/>
        </w:rPr>
        <w:footnoteRef/>
      </w:r>
      <w:r>
        <w:t xml:space="preserve"> </w:t>
      </w:r>
      <w:r>
        <w:rPr>
          <w:i/>
        </w:rPr>
        <w:t>See</w:t>
      </w:r>
      <w:r>
        <w:t xml:space="preserve"> Alaska Communications Waiver Request</w:t>
      </w:r>
      <w:r w:rsidR="009B3561">
        <w:t xml:space="preserve"> at 1.</w:t>
      </w:r>
    </w:p>
  </w:footnote>
  <w:footnote w:id="7">
    <w:p w14:paraId="3C522FBE" w14:textId="77777777" w:rsidR="009E2449" w:rsidRDefault="009E2449" w:rsidP="009E2449">
      <w:pPr>
        <w:pStyle w:val="FootnoteText"/>
      </w:pPr>
      <w:r>
        <w:rPr>
          <w:rStyle w:val="FootnoteReference"/>
        </w:rPr>
        <w:footnoteRef/>
      </w:r>
      <w:r>
        <w:t xml:space="preserve"> Alaska Communications Waiver </w:t>
      </w:r>
      <w:r w:rsidR="00343CD3">
        <w:t xml:space="preserve">Request </w:t>
      </w:r>
      <w:r>
        <w:t>at 2-4</w:t>
      </w:r>
      <w:r w:rsidR="00FC242F">
        <w:t>, Exhibit B</w:t>
      </w:r>
      <w:r>
        <w:t>.</w:t>
      </w:r>
    </w:p>
  </w:footnote>
  <w:footnote w:id="8">
    <w:p w14:paraId="37FE59A6" w14:textId="77777777" w:rsidR="009E2449" w:rsidRDefault="009E2449" w:rsidP="009E2449">
      <w:pPr>
        <w:pStyle w:val="FootnoteText"/>
      </w:pPr>
      <w:r>
        <w:rPr>
          <w:rStyle w:val="FootnoteReference"/>
        </w:rPr>
        <w:footnoteRef/>
      </w:r>
      <w:r>
        <w:t xml:space="preserve"> </w:t>
      </w:r>
      <w:r>
        <w:rPr>
          <w:i/>
        </w:rPr>
        <w:t>Id</w:t>
      </w:r>
      <w:r>
        <w:t>. at 7.</w:t>
      </w:r>
    </w:p>
  </w:footnote>
  <w:footnote w:id="9">
    <w:p w14:paraId="33C2160A" w14:textId="77777777" w:rsidR="009E2449" w:rsidRPr="00FC021A" w:rsidRDefault="009E2449" w:rsidP="009E2449">
      <w:pPr>
        <w:pStyle w:val="FootnoteText"/>
      </w:pPr>
      <w:r>
        <w:rPr>
          <w:rStyle w:val="FootnoteReference"/>
        </w:rPr>
        <w:footnoteRef/>
      </w:r>
      <w:r>
        <w:t xml:space="preserve"> </w:t>
      </w:r>
      <w:r>
        <w:rPr>
          <w:i/>
        </w:rPr>
        <w:t>Id</w:t>
      </w:r>
      <w:r>
        <w:t>. at 4-5.</w:t>
      </w:r>
    </w:p>
  </w:footnote>
  <w:footnote w:id="10">
    <w:p w14:paraId="37D44437" w14:textId="77777777" w:rsidR="009E2449" w:rsidRPr="00FC021A" w:rsidRDefault="009E2449" w:rsidP="009E2449">
      <w:pPr>
        <w:pStyle w:val="FootnoteText"/>
      </w:pPr>
      <w:r>
        <w:rPr>
          <w:rStyle w:val="FootnoteReference"/>
        </w:rPr>
        <w:footnoteRef/>
      </w:r>
      <w:r>
        <w:t xml:space="preserve"> </w:t>
      </w:r>
      <w:r>
        <w:rPr>
          <w:i/>
        </w:rPr>
        <w:t>Id</w:t>
      </w:r>
      <w:r>
        <w:t>.</w:t>
      </w:r>
    </w:p>
  </w:footnote>
  <w:footnote w:id="11">
    <w:p w14:paraId="6549CFDD" w14:textId="77777777" w:rsidR="00E456D2" w:rsidRDefault="00E456D2" w:rsidP="00E456D2">
      <w:pPr>
        <w:pStyle w:val="FootnoteText"/>
      </w:pPr>
      <w:r>
        <w:rPr>
          <w:rStyle w:val="FootnoteReference"/>
        </w:rPr>
        <w:footnoteRef/>
      </w:r>
      <w:r>
        <w:t xml:space="preserve"> </w:t>
      </w:r>
      <w:r w:rsidRPr="005B7D44">
        <w:rPr>
          <w:i/>
        </w:rPr>
        <w:t xml:space="preserve">Wireline Competition Bureau </w:t>
      </w:r>
      <w:r w:rsidR="005B7D44" w:rsidRPr="005B7D44">
        <w:rPr>
          <w:i/>
        </w:rPr>
        <w:t>Copper Retirement</w:t>
      </w:r>
      <w:r w:rsidRPr="005B7D44">
        <w:rPr>
          <w:i/>
        </w:rPr>
        <w:t xml:space="preserve"> Network Change Notification </w:t>
      </w:r>
      <w:r w:rsidR="005B7D44" w:rsidRPr="005B7D44">
        <w:rPr>
          <w:i/>
        </w:rPr>
        <w:t xml:space="preserve">&amp; Waiver Request </w:t>
      </w:r>
      <w:r w:rsidRPr="005B7D44">
        <w:rPr>
          <w:i/>
        </w:rPr>
        <w:t xml:space="preserve">Filed By </w:t>
      </w:r>
      <w:r w:rsidR="005B7D44" w:rsidRPr="005B7D44">
        <w:rPr>
          <w:i/>
        </w:rPr>
        <w:t>ACS Of Anchorage, LLC D/B/A Alaska Communications</w:t>
      </w:r>
      <w:r>
        <w:t xml:space="preserve">, </w:t>
      </w:r>
      <w:r w:rsidR="00ED6DA1">
        <w:t xml:space="preserve">WC Docket No. 16-176, Report No. NCD-2541, </w:t>
      </w:r>
      <w:r w:rsidRPr="005B7D44">
        <w:t>Public Notice</w:t>
      </w:r>
      <w:r>
        <w:t xml:space="preserve"> (</w:t>
      </w:r>
      <w:r w:rsidR="00ED6DA1">
        <w:t>WCB/CPD June 17</w:t>
      </w:r>
      <w:r>
        <w:t>, 20</w:t>
      </w:r>
      <w:r w:rsidR="00ED6DA1">
        <w:t>16</w:t>
      </w:r>
      <w:r>
        <w:t>)</w:t>
      </w:r>
      <w:r w:rsidR="00ED6DA1">
        <w:t xml:space="preserve">, </w:t>
      </w:r>
      <w:r w:rsidR="00ED6DA1" w:rsidRPr="00ED6DA1">
        <w:t>2016 WL 3408357</w:t>
      </w:r>
      <w:r w:rsidR="00ED6DA1">
        <w:t xml:space="preserve"> (Public Notice)</w:t>
      </w:r>
      <w:r>
        <w:t>.</w:t>
      </w:r>
    </w:p>
  </w:footnote>
  <w:footnote w:id="12">
    <w:p w14:paraId="5BB841FA" w14:textId="77777777" w:rsidR="00A20BDE" w:rsidRDefault="00A20BDE">
      <w:pPr>
        <w:pStyle w:val="FootnoteText"/>
      </w:pPr>
      <w:r>
        <w:rPr>
          <w:rStyle w:val="FootnoteReference"/>
        </w:rPr>
        <w:footnoteRef/>
      </w:r>
      <w:r>
        <w:t xml:space="preserve"> Public Notice at 2.</w:t>
      </w:r>
    </w:p>
  </w:footnote>
  <w:footnote w:id="13">
    <w:p w14:paraId="46C7F4DA" w14:textId="77777777" w:rsidR="00A20BDE" w:rsidRPr="00A20BDE" w:rsidRDefault="00A20BDE">
      <w:pPr>
        <w:pStyle w:val="FootnoteText"/>
      </w:pPr>
      <w:r>
        <w:rPr>
          <w:rStyle w:val="FootnoteReference"/>
        </w:rPr>
        <w:footnoteRef/>
      </w:r>
      <w:r>
        <w:t xml:space="preserve"> </w:t>
      </w:r>
      <w:r>
        <w:rPr>
          <w:i/>
        </w:rPr>
        <w:t>Id</w:t>
      </w:r>
      <w:r>
        <w:t>.</w:t>
      </w:r>
    </w:p>
  </w:footnote>
  <w:footnote w:id="14">
    <w:p w14:paraId="000931A8" w14:textId="77777777" w:rsidR="00E456D2" w:rsidRDefault="00E456D2" w:rsidP="00E456D2">
      <w:pPr>
        <w:pStyle w:val="FootnoteText"/>
      </w:pPr>
      <w:r>
        <w:rPr>
          <w:rStyle w:val="FootnoteReference"/>
        </w:rPr>
        <w:footnoteRef/>
      </w:r>
      <w:r>
        <w:t xml:space="preserve"> 47 U.S.C. § 251(c)(5).</w:t>
      </w:r>
    </w:p>
  </w:footnote>
  <w:footnote w:id="15">
    <w:p w14:paraId="7BC2A111" w14:textId="77777777" w:rsidR="00E456D2" w:rsidRDefault="00E456D2" w:rsidP="00E456D2">
      <w:pPr>
        <w:pStyle w:val="FootnoteText"/>
      </w:pPr>
      <w:r>
        <w:rPr>
          <w:rStyle w:val="FootnoteReference"/>
        </w:rPr>
        <w:footnoteRef/>
      </w:r>
      <w:r>
        <w:t xml:space="preserve"> </w:t>
      </w:r>
      <w:r w:rsidR="00DD564C">
        <w:rPr>
          <w:i/>
        </w:rPr>
        <w:t>S</w:t>
      </w:r>
      <w:r w:rsidR="00DD564C" w:rsidRPr="008C744C">
        <w:rPr>
          <w:i/>
        </w:rPr>
        <w:t>ee</w:t>
      </w:r>
      <w:r w:rsidR="00DD564C">
        <w:t xml:space="preserve"> </w:t>
      </w:r>
      <w:r w:rsidR="00DD564C" w:rsidRPr="008C744C">
        <w:t>47</w:t>
      </w:r>
      <w:r w:rsidR="00DD564C">
        <w:t xml:space="preserve"> C.F.R. §§ 51.325 </w:t>
      </w:r>
      <w:r w:rsidR="00DD564C">
        <w:rPr>
          <w:i/>
        </w:rPr>
        <w:t>et seq</w:t>
      </w:r>
      <w:r>
        <w:t>.</w:t>
      </w:r>
    </w:p>
  </w:footnote>
  <w:footnote w:id="16">
    <w:p w14:paraId="74A9FB5D" w14:textId="77777777" w:rsidR="00E456D2" w:rsidRDefault="00E456D2" w:rsidP="00E456D2">
      <w:pPr>
        <w:pStyle w:val="FootnoteText"/>
      </w:pPr>
      <w:r>
        <w:rPr>
          <w:rStyle w:val="FootnoteReference"/>
        </w:rPr>
        <w:footnoteRef/>
      </w:r>
      <w:r>
        <w:t xml:space="preserve"> 47 C.F.R. § 1.3.</w:t>
      </w:r>
    </w:p>
  </w:footnote>
  <w:footnote w:id="17">
    <w:p w14:paraId="381D25E2" w14:textId="77777777" w:rsidR="00E456D2" w:rsidRDefault="00E456D2" w:rsidP="00E456D2">
      <w:pPr>
        <w:pStyle w:val="FootnoteText"/>
      </w:pPr>
      <w:r>
        <w:rPr>
          <w:rStyle w:val="FootnoteReference"/>
        </w:rPr>
        <w:footnoteRef/>
      </w:r>
      <w:r>
        <w:t xml:space="preserve"> </w:t>
      </w:r>
      <w:r>
        <w:rPr>
          <w:i/>
        </w:rPr>
        <w:t>Northeast Cellular Telephone Co. v. FCC</w:t>
      </w:r>
      <w:r>
        <w:t xml:space="preserve">, 897 F.2d 1164, 1166 (D.C. Cir. 1990); </w:t>
      </w:r>
      <w:r>
        <w:rPr>
          <w:i/>
        </w:rPr>
        <w:t>Request for Waiver of Section 51.333 of the Commission’s Rules</w:t>
      </w:r>
      <w:r>
        <w:t>, Order, 16 FCC Rcd 21896 (CCB 2001) (granting a limited waiver of the network change notification requirements in section 51.333 of the Commission’s rules on delegated authority).</w:t>
      </w:r>
    </w:p>
  </w:footnote>
  <w:footnote w:id="18">
    <w:p w14:paraId="514315C2" w14:textId="77777777" w:rsidR="004D3FA0" w:rsidRDefault="004D3FA0">
      <w:pPr>
        <w:pStyle w:val="FootnoteText"/>
      </w:pPr>
      <w:r>
        <w:rPr>
          <w:rStyle w:val="FootnoteReference"/>
        </w:rPr>
        <w:footnoteRef/>
      </w:r>
      <w:r>
        <w:t xml:space="preserve"> Alaska Communications Waiver Request at 2-4.</w:t>
      </w:r>
    </w:p>
  </w:footnote>
  <w:footnote w:id="19">
    <w:p w14:paraId="15A69855" w14:textId="77777777" w:rsidR="001429F6" w:rsidRPr="001429F6" w:rsidRDefault="001429F6">
      <w:pPr>
        <w:pStyle w:val="FootnoteText"/>
      </w:pPr>
      <w:r>
        <w:rPr>
          <w:rStyle w:val="FootnoteReference"/>
        </w:rPr>
        <w:footnoteRef/>
      </w:r>
      <w:r>
        <w:t xml:space="preserve"> </w:t>
      </w:r>
      <w:r>
        <w:rPr>
          <w:i/>
        </w:rPr>
        <w:t>Id</w:t>
      </w:r>
      <w:r>
        <w:t>. at 6.</w:t>
      </w:r>
    </w:p>
  </w:footnote>
  <w:footnote w:id="20">
    <w:p w14:paraId="332EBB16" w14:textId="77777777" w:rsidR="00D12DA9" w:rsidRDefault="00D12DA9">
      <w:pPr>
        <w:pStyle w:val="FootnoteText"/>
      </w:pPr>
      <w:r>
        <w:rPr>
          <w:rStyle w:val="FootnoteReference"/>
        </w:rPr>
        <w:footnoteRef/>
      </w:r>
      <w:r>
        <w:t xml:space="preserve"> </w:t>
      </w:r>
      <w:r>
        <w:rPr>
          <w:i/>
        </w:rPr>
        <w:t>Id</w:t>
      </w:r>
      <w:r>
        <w:t>. at 2.</w:t>
      </w:r>
    </w:p>
  </w:footnote>
  <w:footnote w:id="21">
    <w:p w14:paraId="22CC1C67" w14:textId="77777777" w:rsidR="00144E99" w:rsidRDefault="00144E99">
      <w:pPr>
        <w:pStyle w:val="FootnoteText"/>
      </w:pPr>
      <w:r>
        <w:rPr>
          <w:rStyle w:val="FootnoteReference"/>
        </w:rPr>
        <w:footnoteRef/>
      </w:r>
      <w:r>
        <w:t xml:space="preserve"> </w:t>
      </w:r>
      <w:r>
        <w:rPr>
          <w:i/>
        </w:rPr>
        <w:t>Id</w:t>
      </w:r>
      <w:r>
        <w:t>. at 3.</w:t>
      </w:r>
    </w:p>
  </w:footnote>
  <w:footnote w:id="22">
    <w:p w14:paraId="0B6A53FE" w14:textId="77777777" w:rsidR="008A35FC" w:rsidRPr="00FC021A" w:rsidRDefault="008A35FC" w:rsidP="008A35FC">
      <w:pPr>
        <w:pStyle w:val="FootnoteText"/>
      </w:pPr>
      <w:r>
        <w:rPr>
          <w:rStyle w:val="FootnoteReference"/>
        </w:rPr>
        <w:footnoteRef/>
      </w:r>
      <w:r>
        <w:t xml:space="preserve"> </w:t>
      </w:r>
      <w:r>
        <w:rPr>
          <w:i/>
        </w:rPr>
        <w:t>Id</w:t>
      </w:r>
      <w:r>
        <w:t>. at 4.</w:t>
      </w:r>
    </w:p>
  </w:footnote>
  <w:footnote w:id="23">
    <w:p w14:paraId="0924F013" w14:textId="77777777" w:rsidR="00E456D2" w:rsidRDefault="00E456D2" w:rsidP="00E456D2">
      <w:pPr>
        <w:pStyle w:val="FootnoteText"/>
      </w:pPr>
      <w:r>
        <w:rPr>
          <w:rStyle w:val="FootnoteReference"/>
        </w:rPr>
        <w:footnoteRef/>
      </w:r>
      <w:r>
        <w:t xml:space="preserve"> </w:t>
      </w:r>
      <w:r w:rsidR="002625BC">
        <w:rPr>
          <w:i/>
        </w:rPr>
        <w:t>Id</w:t>
      </w:r>
      <w:r w:rsidR="002625BC">
        <w:t>.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01602" w14:textId="77777777" w:rsidR="00336A45" w:rsidRDefault="00336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3A7A9" w14:textId="65F1FD1D" w:rsidR="00D25FB5" w:rsidRDefault="00D25FB5" w:rsidP="00810B6F">
    <w:pPr>
      <w:pStyle w:val="Header"/>
      <w:rPr>
        <w:b w:val="0"/>
      </w:rPr>
    </w:pPr>
    <w:r>
      <w:tab/>
      <w:t>Federal Communications Commission</w:t>
    </w:r>
    <w:r>
      <w:tab/>
    </w:r>
  </w:p>
  <w:p w14:paraId="64E3CF2A" w14:textId="77777777" w:rsidR="00D25FB5" w:rsidRDefault="004F52CE">
    <w:pPr>
      <w:tabs>
        <w:tab w:val="left" w:pos="-720"/>
      </w:tabs>
      <w:suppressAutoHyphens/>
      <w:spacing w:line="19" w:lineRule="exact"/>
      <w:rPr>
        <w:spacing w:val="-2"/>
      </w:rPr>
    </w:pPr>
    <w:r>
      <w:rPr>
        <w:noProof/>
      </w:rPr>
      <w:pict w14:anchorId="673DD705">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128F771F"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2E473" w14:textId="7A3F3570" w:rsidR="00D25FB5" w:rsidRDefault="004F52CE" w:rsidP="00810B6F">
    <w:pPr>
      <w:pStyle w:val="Header"/>
      <w:rPr>
        <w:b w:val="0"/>
      </w:rPr>
    </w:pPr>
    <w:r>
      <w:rPr>
        <w:noProof/>
      </w:rPr>
      <w:pict w14:anchorId="4A6EB627">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0052"/>
    <w:rsid w:val="00001864"/>
    <w:rsid w:val="00036039"/>
    <w:rsid w:val="00037F90"/>
    <w:rsid w:val="000434D1"/>
    <w:rsid w:val="000875BF"/>
    <w:rsid w:val="00096D8C"/>
    <w:rsid w:val="000C0B65"/>
    <w:rsid w:val="000D0F7D"/>
    <w:rsid w:val="000D2E63"/>
    <w:rsid w:val="000D3516"/>
    <w:rsid w:val="000E05FE"/>
    <w:rsid w:val="000E3D42"/>
    <w:rsid w:val="00111A6E"/>
    <w:rsid w:val="00121109"/>
    <w:rsid w:val="0012206C"/>
    <w:rsid w:val="00122BD5"/>
    <w:rsid w:val="00133F79"/>
    <w:rsid w:val="00136D33"/>
    <w:rsid w:val="001429F6"/>
    <w:rsid w:val="0014398E"/>
    <w:rsid w:val="00144E99"/>
    <w:rsid w:val="0015648A"/>
    <w:rsid w:val="00185084"/>
    <w:rsid w:val="00194A66"/>
    <w:rsid w:val="00197E72"/>
    <w:rsid w:val="001A5099"/>
    <w:rsid w:val="001D6BCF"/>
    <w:rsid w:val="001E01CA"/>
    <w:rsid w:val="001E40CF"/>
    <w:rsid w:val="001E7310"/>
    <w:rsid w:val="002625BC"/>
    <w:rsid w:val="00275CF5"/>
    <w:rsid w:val="0028301F"/>
    <w:rsid w:val="00285017"/>
    <w:rsid w:val="002A2D2E"/>
    <w:rsid w:val="002B0074"/>
    <w:rsid w:val="002B16A8"/>
    <w:rsid w:val="002C00E8"/>
    <w:rsid w:val="002C06B0"/>
    <w:rsid w:val="002E164C"/>
    <w:rsid w:val="00336A45"/>
    <w:rsid w:val="00342484"/>
    <w:rsid w:val="0034288A"/>
    <w:rsid w:val="00343749"/>
    <w:rsid w:val="00343CD3"/>
    <w:rsid w:val="003660ED"/>
    <w:rsid w:val="0038620A"/>
    <w:rsid w:val="003864FD"/>
    <w:rsid w:val="003B0550"/>
    <w:rsid w:val="003B694F"/>
    <w:rsid w:val="003E74E8"/>
    <w:rsid w:val="003F171C"/>
    <w:rsid w:val="00412FC5"/>
    <w:rsid w:val="00422276"/>
    <w:rsid w:val="004242F1"/>
    <w:rsid w:val="00430D64"/>
    <w:rsid w:val="00445A00"/>
    <w:rsid w:val="00451B0F"/>
    <w:rsid w:val="004C2EE3"/>
    <w:rsid w:val="004D3FA0"/>
    <w:rsid w:val="004E2F7D"/>
    <w:rsid w:val="004E4A22"/>
    <w:rsid w:val="004F52CE"/>
    <w:rsid w:val="00511968"/>
    <w:rsid w:val="005168AA"/>
    <w:rsid w:val="00534186"/>
    <w:rsid w:val="00535502"/>
    <w:rsid w:val="0055614C"/>
    <w:rsid w:val="0058103C"/>
    <w:rsid w:val="00592BCD"/>
    <w:rsid w:val="005B7D44"/>
    <w:rsid w:val="005E14C2"/>
    <w:rsid w:val="00607BA5"/>
    <w:rsid w:val="0061180A"/>
    <w:rsid w:val="00626EB6"/>
    <w:rsid w:val="00655D03"/>
    <w:rsid w:val="00683388"/>
    <w:rsid w:val="00683F84"/>
    <w:rsid w:val="0069550E"/>
    <w:rsid w:val="006A6A81"/>
    <w:rsid w:val="006C2C12"/>
    <w:rsid w:val="006C2D72"/>
    <w:rsid w:val="006F7393"/>
    <w:rsid w:val="0070224F"/>
    <w:rsid w:val="00705261"/>
    <w:rsid w:val="007115F7"/>
    <w:rsid w:val="007722C0"/>
    <w:rsid w:val="00785689"/>
    <w:rsid w:val="0079754B"/>
    <w:rsid w:val="007A1E6D"/>
    <w:rsid w:val="007B0EB2"/>
    <w:rsid w:val="00803C4B"/>
    <w:rsid w:val="00810B6F"/>
    <w:rsid w:val="00822CE0"/>
    <w:rsid w:val="00827D82"/>
    <w:rsid w:val="0083701F"/>
    <w:rsid w:val="00841AB1"/>
    <w:rsid w:val="00874E03"/>
    <w:rsid w:val="008A35FC"/>
    <w:rsid w:val="008A3A62"/>
    <w:rsid w:val="008C30A0"/>
    <w:rsid w:val="008C68F1"/>
    <w:rsid w:val="008C7463"/>
    <w:rsid w:val="008E18B3"/>
    <w:rsid w:val="009005D6"/>
    <w:rsid w:val="00904258"/>
    <w:rsid w:val="00912409"/>
    <w:rsid w:val="00921803"/>
    <w:rsid w:val="00926503"/>
    <w:rsid w:val="009726D8"/>
    <w:rsid w:val="0097496D"/>
    <w:rsid w:val="009B3561"/>
    <w:rsid w:val="009C2B9E"/>
    <w:rsid w:val="009E2449"/>
    <w:rsid w:val="009F76DB"/>
    <w:rsid w:val="00A20BDE"/>
    <w:rsid w:val="00A2263B"/>
    <w:rsid w:val="00A32C3B"/>
    <w:rsid w:val="00A45F4F"/>
    <w:rsid w:val="00A46E61"/>
    <w:rsid w:val="00A54AE5"/>
    <w:rsid w:val="00A600A9"/>
    <w:rsid w:val="00A8639A"/>
    <w:rsid w:val="00AA40FF"/>
    <w:rsid w:val="00AA55B7"/>
    <w:rsid w:val="00AA5B9E"/>
    <w:rsid w:val="00AB2407"/>
    <w:rsid w:val="00AB53DF"/>
    <w:rsid w:val="00AE163F"/>
    <w:rsid w:val="00B07E5C"/>
    <w:rsid w:val="00B15621"/>
    <w:rsid w:val="00B23EE8"/>
    <w:rsid w:val="00B811F7"/>
    <w:rsid w:val="00B95611"/>
    <w:rsid w:val="00BA5DC6"/>
    <w:rsid w:val="00BA6196"/>
    <w:rsid w:val="00BB70E9"/>
    <w:rsid w:val="00BC6D8C"/>
    <w:rsid w:val="00BD0052"/>
    <w:rsid w:val="00C34006"/>
    <w:rsid w:val="00C35D53"/>
    <w:rsid w:val="00C426B1"/>
    <w:rsid w:val="00C46344"/>
    <w:rsid w:val="00C53D08"/>
    <w:rsid w:val="00C66160"/>
    <w:rsid w:val="00C70737"/>
    <w:rsid w:val="00C721AC"/>
    <w:rsid w:val="00C90D6A"/>
    <w:rsid w:val="00C9366B"/>
    <w:rsid w:val="00CA110D"/>
    <w:rsid w:val="00CA247E"/>
    <w:rsid w:val="00CC14B2"/>
    <w:rsid w:val="00CC72B6"/>
    <w:rsid w:val="00D0218D"/>
    <w:rsid w:val="00D12DA9"/>
    <w:rsid w:val="00D25FB5"/>
    <w:rsid w:val="00D44223"/>
    <w:rsid w:val="00DA2529"/>
    <w:rsid w:val="00DB130A"/>
    <w:rsid w:val="00DB2EBB"/>
    <w:rsid w:val="00DC10A1"/>
    <w:rsid w:val="00DC655F"/>
    <w:rsid w:val="00DC69C1"/>
    <w:rsid w:val="00DD0B59"/>
    <w:rsid w:val="00DD564C"/>
    <w:rsid w:val="00DD7EBD"/>
    <w:rsid w:val="00DF62B6"/>
    <w:rsid w:val="00E06586"/>
    <w:rsid w:val="00E07225"/>
    <w:rsid w:val="00E456D2"/>
    <w:rsid w:val="00E5409F"/>
    <w:rsid w:val="00E61D6D"/>
    <w:rsid w:val="00EA33F5"/>
    <w:rsid w:val="00EA7202"/>
    <w:rsid w:val="00ED4280"/>
    <w:rsid w:val="00ED6DA1"/>
    <w:rsid w:val="00EE6488"/>
    <w:rsid w:val="00F021FA"/>
    <w:rsid w:val="00F62E97"/>
    <w:rsid w:val="00F64209"/>
    <w:rsid w:val="00F93BF5"/>
    <w:rsid w:val="00FC242F"/>
    <w:rsid w:val="00FD2723"/>
    <w:rsid w:val="00FF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3CAD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E456D2"/>
    <w:rPr>
      <w:rFonts w:ascii="Times New Roman Bold" w:hAnsi="Times New Roman Bold"/>
      <w:b/>
      <w:caps/>
      <w:snapToGrid w:val="0"/>
      <w:kern w:val="28"/>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
    <w:link w:val="FootnoteText"/>
    <w:rsid w:val="00E456D2"/>
  </w:style>
  <w:style w:type="character" w:styleId="CommentReference">
    <w:name w:val="annotation reference"/>
    <w:basedOn w:val="DefaultParagraphFont"/>
    <w:rsid w:val="00803C4B"/>
    <w:rPr>
      <w:sz w:val="16"/>
      <w:szCs w:val="16"/>
    </w:rPr>
  </w:style>
  <w:style w:type="paragraph" w:styleId="CommentText">
    <w:name w:val="annotation text"/>
    <w:basedOn w:val="Normal"/>
    <w:link w:val="CommentTextChar"/>
    <w:rsid w:val="00803C4B"/>
    <w:rPr>
      <w:sz w:val="20"/>
    </w:rPr>
  </w:style>
  <w:style w:type="character" w:customStyle="1" w:styleId="CommentTextChar">
    <w:name w:val="Comment Text Char"/>
    <w:basedOn w:val="DefaultParagraphFont"/>
    <w:link w:val="CommentText"/>
    <w:rsid w:val="00803C4B"/>
    <w:rPr>
      <w:snapToGrid w:val="0"/>
      <w:kern w:val="28"/>
    </w:rPr>
  </w:style>
  <w:style w:type="paragraph" w:styleId="CommentSubject">
    <w:name w:val="annotation subject"/>
    <w:basedOn w:val="CommentText"/>
    <w:next w:val="CommentText"/>
    <w:link w:val="CommentSubjectChar"/>
    <w:rsid w:val="00803C4B"/>
    <w:rPr>
      <w:b/>
      <w:bCs/>
    </w:rPr>
  </w:style>
  <w:style w:type="character" w:customStyle="1" w:styleId="CommentSubjectChar">
    <w:name w:val="Comment Subject Char"/>
    <w:basedOn w:val="CommentTextChar"/>
    <w:link w:val="CommentSubject"/>
    <w:rsid w:val="00803C4B"/>
    <w:rPr>
      <w:b/>
      <w:bCs/>
      <w:snapToGrid w:val="0"/>
      <w:kern w:val="28"/>
    </w:rPr>
  </w:style>
  <w:style w:type="paragraph" w:styleId="BalloonText">
    <w:name w:val="Balloon Text"/>
    <w:basedOn w:val="Normal"/>
    <w:link w:val="BalloonTextChar"/>
    <w:rsid w:val="00803C4B"/>
    <w:rPr>
      <w:rFonts w:ascii="Segoe UI" w:hAnsi="Segoe UI" w:cs="Segoe UI"/>
      <w:sz w:val="18"/>
      <w:szCs w:val="18"/>
    </w:rPr>
  </w:style>
  <w:style w:type="character" w:customStyle="1" w:styleId="BalloonTextChar">
    <w:name w:val="Balloon Text Char"/>
    <w:basedOn w:val="DefaultParagraphFont"/>
    <w:link w:val="BalloonText"/>
    <w:rsid w:val="00803C4B"/>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ecfs/filing/60001739175" TargetMode="External"/><Relationship Id="rId1" Type="http://schemas.openxmlformats.org/officeDocument/2006/relationships/hyperlink" Target="https://www.fcc.gov/ecfs/filing/60002153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1360</Words>
  <Characters>7353</Characters>
  <Application>Microsoft Office Word</Application>
  <DocSecurity>0</DocSecurity>
  <Lines>138</Lines>
  <Paragraphs>40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8720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2016-07-29T15:58:00Z</cp:lastPrinted>
  <dcterms:created xsi:type="dcterms:W3CDTF">2016-07-29T20:12:00Z</dcterms:created>
  <dcterms:modified xsi:type="dcterms:W3CDTF">2016-07-29T20:12:00Z</dcterms:modified>
  <cp:category> </cp:category>
  <cp:contentStatus> </cp:contentStatus>
</cp:coreProperties>
</file>