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7218E5B9"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391E8B">
        <w:rPr>
          <w:szCs w:val="22"/>
        </w:rPr>
        <w:t>PENNSYLVANIA LLC</w:t>
      </w:r>
    </w:p>
    <w:p w14:paraId="6D967FFD" w14:textId="77777777" w:rsidR="00AC191A" w:rsidRDefault="00AC191A" w:rsidP="00AC191A">
      <w:pPr>
        <w:pStyle w:val="Title"/>
        <w:jc w:val="left"/>
        <w:rPr>
          <w:szCs w:val="22"/>
        </w:rPr>
      </w:pPr>
    </w:p>
    <w:p w14:paraId="41B90AB7" w14:textId="255C8838"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00483A">
        <w:rPr>
          <w:szCs w:val="22"/>
        </w:rPr>
        <w:t>289</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875534">
        <w:rPr>
          <w:szCs w:val="22"/>
        </w:rPr>
        <w:t>13</w:t>
      </w:r>
      <w:r w:rsidR="00AC5646">
        <w:rPr>
          <w:szCs w:val="22"/>
        </w:rPr>
        <w:t xml:space="preserve">, </w:t>
      </w:r>
      <w:r>
        <w:rPr>
          <w:szCs w:val="22"/>
        </w:rPr>
        <w:t>201</w:t>
      </w:r>
      <w:r w:rsidR="00F4677B">
        <w:rPr>
          <w:szCs w:val="22"/>
        </w:rPr>
        <w:t>6</w:t>
      </w:r>
    </w:p>
    <w:p w14:paraId="72DCE76B" w14:textId="0CA18242" w:rsidR="008961DF" w:rsidRDefault="008961DF" w:rsidP="00585588">
      <w:pPr>
        <w:pStyle w:val="Title"/>
        <w:jc w:val="left"/>
        <w:rPr>
          <w:szCs w:val="22"/>
        </w:rPr>
      </w:pPr>
      <w:r w:rsidRPr="00F046EC">
        <w:rPr>
          <w:szCs w:val="22"/>
        </w:rPr>
        <w:t>Report No. NCD-</w:t>
      </w:r>
      <w:r w:rsidR="00391E8B">
        <w:rPr>
          <w:szCs w:val="22"/>
        </w:rPr>
        <w:t>2584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4304A649" w:rsidR="008C4E05" w:rsidRDefault="00CE25FB" w:rsidP="008C4E05">
      <w:pPr>
        <w:tabs>
          <w:tab w:val="left" w:pos="-720"/>
        </w:tabs>
        <w:suppressAutoHyphens/>
        <w:rPr>
          <w:b/>
          <w:szCs w:val="22"/>
          <w:u w:val="single"/>
        </w:rPr>
      </w:pPr>
      <w:r>
        <w:rPr>
          <w:szCs w:val="22"/>
        </w:rPr>
        <w:t xml:space="preserve">Verizon </w:t>
      </w:r>
      <w:r w:rsidR="00391E8B">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B3442E">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14:paraId="527A2658" w14:textId="77777777" w:rsidTr="00822A70">
        <w:trPr>
          <w:trHeight w:val="305"/>
        </w:trPr>
        <w:tc>
          <w:tcPr>
            <w:tcW w:w="234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822A70">
        <w:tc>
          <w:tcPr>
            <w:tcW w:w="234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3A3F38D4" w:rsidR="00D71A93" w:rsidRPr="007E723C" w:rsidRDefault="00F743C0" w:rsidP="00875534">
            <w:r>
              <w:t xml:space="preserve">The Kirklyn, PA Wire Center (KRLNPAKL) – 9225 W. Chester Pike, Kirklyn, PA 19082, the Tullytown, PA Wire Center (TULYPATU) – 7843 New Falls Rd., Tullytown, PA 19055 &amp; at facilities associated with </w:t>
            </w:r>
            <w:r w:rsidR="00875534">
              <w:t>all</w:t>
            </w:r>
            <w:r>
              <w:t xml:space="preserve"> locations </w:t>
            </w:r>
            <w:r w:rsidR="00875534">
              <w:t>in</w:t>
            </w:r>
            <w:r>
              <w:t xml:space="preserve"> the wire centers </w:t>
            </w:r>
            <w:r w:rsidR="00875534">
              <w:t>not previously retired or pending retirement</w:t>
            </w:r>
            <w:r>
              <w:t>.</w:t>
            </w:r>
          </w:p>
        </w:tc>
        <w:tc>
          <w:tcPr>
            <w:tcW w:w="3330" w:type="dxa"/>
            <w:shd w:val="clear" w:color="auto" w:fill="auto"/>
          </w:tcPr>
          <w:p w14:paraId="16652772" w14:textId="77777777" w:rsidR="005833F6" w:rsidRPr="00370AEA" w:rsidRDefault="005833F6" w:rsidP="005B211F">
            <w:pPr>
              <w:tabs>
                <w:tab w:val="left" w:pos="0"/>
              </w:tabs>
              <w:suppressAutoHyphens/>
              <w:rPr>
                <w:b/>
                <w:szCs w:val="22"/>
              </w:rPr>
            </w:pPr>
            <w:r>
              <w:rPr>
                <w:szCs w:val="22"/>
              </w:rPr>
              <w:t xml:space="preserve">On or after </w:t>
            </w:r>
            <w:r w:rsidR="005B211F">
              <w:rPr>
                <w:szCs w:val="22"/>
              </w:rPr>
              <w:t>December 1</w:t>
            </w:r>
            <w:r>
              <w:rPr>
                <w:szCs w:val="22"/>
              </w:rPr>
              <w:t>, 201</w:t>
            </w:r>
            <w:r w:rsidR="00BD3D65">
              <w:rPr>
                <w:szCs w:val="22"/>
              </w:rPr>
              <w:t>6</w:t>
            </w:r>
          </w:p>
        </w:tc>
      </w:tr>
    </w:tbl>
    <w:p w14:paraId="3F0C4ACD" w14:textId="77777777" w:rsidR="005833F6" w:rsidRPr="005833F6" w:rsidRDefault="005833F6" w:rsidP="005833F6">
      <w:pPr>
        <w:tabs>
          <w:tab w:val="left" w:pos="0"/>
        </w:tabs>
        <w:suppressAutoHyphens/>
        <w:rPr>
          <w:szCs w:val="22"/>
          <w:lang w:val="de-DE"/>
        </w:rPr>
      </w:pPr>
    </w:p>
    <w:p w14:paraId="559E6001" w14:textId="5E7169DD" w:rsidR="005833F6" w:rsidRDefault="005833F6" w:rsidP="00E84EB8">
      <w:pPr>
        <w:rPr>
          <w:szCs w:val="22"/>
        </w:rPr>
      </w:pPr>
      <w:r w:rsidRPr="005833F6">
        <w:rPr>
          <w:szCs w:val="22"/>
        </w:rPr>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w:t>
      </w:r>
      <w:r w:rsidRPr="00546004">
        <w:rPr>
          <w:szCs w:val="22"/>
        </w:rPr>
        <w:lastRenderedPageBreak/>
        <w:t>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7AD51A62"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w:t>
      </w:r>
      <w:r w:rsidR="00400805">
        <w:rPr>
          <w:szCs w:val="22"/>
        </w:rPr>
        <w:t>,</w:t>
      </w:r>
      <w:r w:rsidR="00DF5443">
        <w:rPr>
          <w:szCs w:val="22"/>
        </w:rPr>
        <w:t xml:space="preserve"> and accordingly adopts a slightly shortened public notice period of </w:t>
      </w:r>
      <w:r w:rsidR="00875534">
        <w:rPr>
          <w:szCs w:val="22"/>
        </w:rPr>
        <w:t>79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Verizon filed its notice with the Commission on March 1, 2016</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400805">
        <w:rPr>
          <w:szCs w:val="22"/>
        </w:rPr>
        <w:t xml:space="preserve">impacted the planned </w:t>
      </w:r>
      <w:r w:rsidR="001F463B">
        <w:rPr>
          <w:szCs w:val="22"/>
        </w:rPr>
        <w:t>releas</w:t>
      </w:r>
      <w:r w:rsidR="0029377E">
        <w:rPr>
          <w:szCs w:val="22"/>
        </w:rPr>
        <w:t>e of</w:t>
      </w:r>
      <w:r w:rsidR="001F463B">
        <w:rPr>
          <w:szCs w:val="22"/>
        </w:rPr>
        <w:t xml:space="preserve"> this PN</w:t>
      </w:r>
      <w:r w:rsidR="00400805">
        <w:rPr>
          <w:szCs w:val="22"/>
        </w:rPr>
        <w:t>.  Given the direct notice provided to interconnected entities more than 270 days prior to the planned change, and the time that still remains for comment under these circumstances, the Wireline Competition Bureau will allow a limited waiver of the 90-day public notice period</w:t>
      </w:r>
      <w:r w:rsidR="001F463B">
        <w:rPr>
          <w:szCs w:val="22"/>
        </w:rPr>
        <w:t>.</w:t>
      </w:r>
      <w:r w:rsidR="00EB1563" w:rsidRPr="00546004">
        <w:rPr>
          <w:szCs w:val="22"/>
        </w:rPr>
        <w:t xml:space="preserve">  </w:t>
      </w:r>
      <w:r w:rsidR="00400805">
        <w:rPr>
          <w:szCs w:val="22"/>
        </w:rPr>
        <w:t>F</w:t>
      </w:r>
      <w:r w:rsidR="00400805"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for judicial review of the Commission’s decision, the date of “</w:t>
      </w:r>
      <w:r w:rsidR="00644B78">
        <w:rPr>
          <w:szCs w:val="22"/>
        </w:rPr>
        <w:t>public notice” shall be the lat</w:t>
      </w:r>
      <w:r w:rsidR="00EB1563" w:rsidRPr="00546004">
        <w:rPr>
          <w:szCs w:val="22"/>
        </w:rPr>
        <w:t xml:space="preserve">er of </w:t>
      </w:r>
      <w:r w:rsidR="00400805">
        <w:rPr>
          <w:szCs w:val="22"/>
        </w:rPr>
        <w:t>79</w:t>
      </w:r>
      <w:r w:rsidR="00400805"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69F1ED46"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169C8524"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7E1DBFCA"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B3442E" w:rsidRPr="00B3442E">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FC7">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B323" w14:textId="77777777" w:rsidR="00167232" w:rsidRDefault="0016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4463" w14:textId="77777777" w:rsidR="00167232" w:rsidRDefault="0016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DF9D" w14:textId="77777777" w:rsidR="00167232" w:rsidRDefault="00167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F2FC7">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288543"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1F6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83A"/>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232"/>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1E8B"/>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805"/>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25D2"/>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50DA"/>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B78"/>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2FC7"/>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5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DF5"/>
    <w:rsid w:val="00954DE5"/>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2A64"/>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14E0"/>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42E"/>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4EB8"/>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1C2B"/>
    <w:rsid w:val="00F52882"/>
    <w:rsid w:val="00F54B63"/>
    <w:rsid w:val="00F54CF1"/>
    <w:rsid w:val="00F63347"/>
    <w:rsid w:val="00F66100"/>
    <w:rsid w:val="00F66AC1"/>
    <w:rsid w:val="00F672E1"/>
    <w:rsid w:val="00F67FF4"/>
    <w:rsid w:val="00F729DD"/>
    <w:rsid w:val="00F743C0"/>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5AAE"/>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1134</Words>
  <Characters>6528</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7689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2016-09-13T20:16:00Z</dcterms:created>
  <dcterms:modified xsi:type="dcterms:W3CDTF">2016-09-13T20:16:00Z</dcterms:modified>
  <cp:category> </cp:category>
  <cp:contentStatus> </cp:contentStatus>
</cp:coreProperties>
</file>