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275A3" w14:textId="77777777" w:rsidR="00531765" w:rsidRPr="001D34CB" w:rsidRDefault="00531765" w:rsidP="000C293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D34CB">
        <w:rPr>
          <w:b/>
        </w:rPr>
        <w:t>Remarks of Commissioner Michael O’Rielly</w:t>
      </w:r>
    </w:p>
    <w:p w14:paraId="5E57CF65" w14:textId="49534173" w:rsidR="00531765" w:rsidRDefault="00531765" w:rsidP="000C293E">
      <w:pPr>
        <w:spacing w:after="0" w:line="240" w:lineRule="auto"/>
        <w:jc w:val="center"/>
        <w:rPr>
          <w:b/>
        </w:rPr>
      </w:pPr>
      <w:r>
        <w:rPr>
          <w:b/>
        </w:rPr>
        <w:t>International Bar Association</w:t>
      </w:r>
      <w:r w:rsidR="008A4888">
        <w:rPr>
          <w:b/>
        </w:rPr>
        <w:t xml:space="preserve"> Conference</w:t>
      </w:r>
    </w:p>
    <w:p w14:paraId="1A02A236" w14:textId="7215A564" w:rsidR="008A4888" w:rsidRPr="001D34CB" w:rsidRDefault="008A4888" w:rsidP="000C293E">
      <w:pPr>
        <w:spacing w:after="0" w:line="240" w:lineRule="auto"/>
        <w:jc w:val="center"/>
        <w:rPr>
          <w:b/>
        </w:rPr>
      </w:pPr>
      <w:r>
        <w:rPr>
          <w:b/>
        </w:rPr>
        <w:t>Communication Committee Session</w:t>
      </w:r>
    </w:p>
    <w:p w14:paraId="2C81F941" w14:textId="6A39CE89" w:rsidR="00531765" w:rsidRDefault="00531765" w:rsidP="000C293E">
      <w:pPr>
        <w:spacing w:after="0" w:line="240" w:lineRule="auto"/>
        <w:jc w:val="center"/>
      </w:pPr>
      <w:r w:rsidRPr="001D34CB">
        <w:rPr>
          <w:b/>
        </w:rPr>
        <w:t xml:space="preserve">September </w:t>
      </w:r>
      <w:r>
        <w:rPr>
          <w:b/>
        </w:rPr>
        <w:t>20</w:t>
      </w:r>
      <w:r w:rsidRPr="001D34CB">
        <w:rPr>
          <w:b/>
        </w:rPr>
        <w:t>, 2016</w:t>
      </w:r>
    </w:p>
    <w:p w14:paraId="4A679970" w14:textId="77777777" w:rsidR="000C293E" w:rsidRDefault="000C293E" w:rsidP="000C293E">
      <w:pPr>
        <w:spacing w:after="0" w:line="240" w:lineRule="auto"/>
      </w:pPr>
    </w:p>
    <w:p w14:paraId="39F9C577" w14:textId="4376DAE0" w:rsidR="00BD43FB" w:rsidRDefault="00ED5A17" w:rsidP="000C293E">
      <w:pPr>
        <w:spacing w:after="0" w:line="240" w:lineRule="auto"/>
      </w:pPr>
      <w:r>
        <w:t>Thank you to the International Bar Association for inviting me to speak with you today</w:t>
      </w:r>
      <w:r w:rsidR="009B5313">
        <w:t xml:space="preserve"> as a lead-in to </w:t>
      </w:r>
      <w:r w:rsidR="008B2F9C">
        <w:t xml:space="preserve">your </w:t>
      </w:r>
      <w:r w:rsidR="009B5313">
        <w:t>two informative panels</w:t>
      </w:r>
      <w:r>
        <w:t xml:space="preserve">.  </w:t>
      </w:r>
      <w:r w:rsidR="005C6B46">
        <w:t xml:space="preserve">Unfortunately, I will not be able to stay, but the following </w:t>
      </w:r>
      <w:r w:rsidR="00612EDA">
        <w:t>discu</w:t>
      </w:r>
      <w:r w:rsidR="0000132B">
        <w:t>s</w:t>
      </w:r>
      <w:r w:rsidR="00612EDA">
        <w:t>si</w:t>
      </w:r>
      <w:r w:rsidR="002C3CCA">
        <w:t>on of</w:t>
      </w:r>
      <w:r w:rsidR="005C6B46">
        <w:t xml:space="preserve"> net neutrality</w:t>
      </w:r>
      <w:r w:rsidR="00B75BCB">
        <w:t>,</w:t>
      </w:r>
      <w:r w:rsidR="005C6B46">
        <w:t xml:space="preserve"> cyber</w:t>
      </w:r>
      <w:r w:rsidR="00050960">
        <w:t>security</w:t>
      </w:r>
      <w:r w:rsidR="007879EA">
        <w:t xml:space="preserve">, </w:t>
      </w:r>
      <w:r w:rsidR="00050960">
        <w:t>privacy</w:t>
      </w:r>
      <w:r w:rsidR="007879EA">
        <w:t>,</w:t>
      </w:r>
      <w:r w:rsidR="00050960">
        <w:t xml:space="preserve"> </w:t>
      </w:r>
      <w:r w:rsidR="007879EA">
        <w:t xml:space="preserve">encryption and </w:t>
      </w:r>
      <w:r w:rsidR="008A4888">
        <w:t xml:space="preserve">the </w:t>
      </w:r>
      <w:r w:rsidR="007879EA">
        <w:t xml:space="preserve">right to be forgotten </w:t>
      </w:r>
      <w:r w:rsidR="00050960">
        <w:t>boil</w:t>
      </w:r>
      <w:r w:rsidR="00E3707A">
        <w:t>s</w:t>
      </w:r>
      <w:r w:rsidR="00050960">
        <w:t xml:space="preserve"> down </w:t>
      </w:r>
      <w:r w:rsidR="005C6B46">
        <w:t>to an overarching</w:t>
      </w:r>
      <w:r w:rsidR="00B75BCB">
        <w:t>, fundamental</w:t>
      </w:r>
      <w:r w:rsidR="005C6B46">
        <w:t xml:space="preserve"> </w:t>
      </w:r>
      <w:r w:rsidR="00050960">
        <w:t>debate</w:t>
      </w:r>
      <w:r w:rsidR="005C6B46">
        <w:t>: how do we ensure the</w:t>
      </w:r>
      <w:r w:rsidR="00050960">
        <w:t xml:space="preserve"> continued</w:t>
      </w:r>
      <w:r w:rsidR="005C6B46">
        <w:t xml:space="preserve"> function</w:t>
      </w:r>
      <w:r w:rsidR="00C92196">
        <w:t>ality</w:t>
      </w:r>
      <w:r w:rsidR="005C6B46">
        <w:t xml:space="preserve"> and </w:t>
      </w:r>
      <w:r w:rsidR="00050960">
        <w:t xml:space="preserve">growth of the Internet.  </w:t>
      </w:r>
      <w:r w:rsidR="003624F5">
        <w:t>Everyone accepts that the Internet has transformed everyday life</w:t>
      </w:r>
      <w:r w:rsidR="002C3CCA">
        <w:t>,</w:t>
      </w:r>
      <w:r w:rsidR="006F2FE9">
        <w:t xml:space="preserve"> </w:t>
      </w:r>
      <w:r w:rsidR="00612EDA">
        <w:t>but</w:t>
      </w:r>
      <w:r w:rsidR="00BD43FB">
        <w:t xml:space="preserve"> people – both domestically and internationally – </w:t>
      </w:r>
      <w:r w:rsidR="006F2FE9">
        <w:t xml:space="preserve">do not always agree on the best means to preserve such an important </w:t>
      </w:r>
      <w:r w:rsidR="00C92196">
        <w:t>global resource</w:t>
      </w:r>
      <w:r w:rsidR="006F2FE9">
        <w:t xml:space="preserve">.  </w:t>
      </w:r>
    </w:p>
    <w:p w14:paraId="4BAD839A" w14:textId="77777777" w:rsidR="000C293E" w:rsidRDefault="000C293E" w:rsidP="000C293E">
      <w:pPr>
        <w:spacing w:after="0" w:line="240" w:lineRule="auto"/>
        <w:rPr>
          <w:i/>
        </w:rPr>
      </w:pPr>
    </w:p>
    <w:p w14:paraId="3E1941CB" w14:textId="404C56DF" w:rsidR="00175F79" w:rsidRPr="00175F79" w:rsidRDefault="00AA49A9" w:rsidP="000C293E">
      <w:pPr>
        <w:spacing w:after="0" w:line="240" w:lineRule="auto"/>
        <w:rPr>
          <w:i/>
        </w:rPr>
      </w:pPr>
      <w:r>
        <w:rPr>
          <w:i/>
        </w:rPr>
        <w:t>Zero-Rating O</w:t>
      </w:r>
      <w:r w:rsidR="00175F79" w:rsidRPr="00175F79">
        <w:rPr>
          <w:i/>
        </w:rPr>
        <w:t>fferings</w:t>
      </w:r>
    </w:p>
    <w:p w14:paraId="0C115EF3" w14:textId="77777777" w:rsidR="000C293E" w:rsidRDefault="000C293E" w:rsidP="000C293E">
      <w:pPr>
        <w:spacing w:after="0" w:line="240" w:lineRule="auto"/>
      </w:pPr>
    </w:p>
    <w:p w14:paraId="69FDE13C" w14:textId="3D34D7D5" w:rsidR="006F2FE9" w:rsidRDefault="007321E2" w:rsidP="000C293E">
      <w:pPr>
        <w:spacing w:after="0" w:line="240" w:lineRule="auto"/>
      </w:pPr>
      <w:r>
        <w:t xml:space="preserve">Admittedly, my </w:t>
      </w:r>
      <w:r w:rsidR="0011753A">
        <w:t>views on</w:t>
      </w:r>
      <w:r>
        <w:t xml:space="preserve"> the Commission’s net neutrality rules are well known, so there is no need to rehash </w:t>
      </w:r>
      <w:r w:rsidR="00F747F0">
        <w:t>them</w:t>
      </w:r>
      <w:r w:rsidR="00AB584E">
        <w:t xml:space="preserve"> </w:t>
      </w:r>
      <w:r w:rsidR="00472FE9">
        <w:t xml:space="preserve">at length </w:t>
      </w:r>
      <w:r w:rsidR="00AB584E">
        <w:t>here</w:t>
      </w:r>
      <w:r>
        <w:t>.  But</w:t>
      </w:r>
      <w:r w:rsidR="00BD43FB">
        <w:t xml:space="preserve">, I would like to focus on one </w:t>
      </w:r>
      <w:r w:rsidR="00472FE9">
        <w:t>sub-</w:t>
      </w:r>
      <w:r w:rsidR="00BD43FB">
        <w:t>issue</w:t>
      </w:r>
      <w:r w:rsidR="009E45B1">
        <w:t>,</w:t>
      </w:r>
      <w:r w:rsidR="00BD43FB">
        <w:t xml:space="preserve"> which I know is also being contemplated around the world</w:t>
      </w:r>
      <w:r w:rsidR="009E45B1">
        <w:t>,</w:t>
      </w:r>
      <w:r w:rsidR="00BD43FB">
        <w:t xml:space="preserve"> and that is zero-rating or </w:t>
      </w:r>
      <w:r w:rsidR="00681DC0">
        <w:t xml:space="preserve">sponsored data </w:t>
      </w:r>
      <w:r w:rsidR="00BD43FB">
        <w:t xml:space="preserve">offerings.  </w:t>
      </w:r>
    </w:p>
    <w:p w14:paraId="332A425E" w14:textId="77777777" w:rsidR="000C293E" w:rsidRDefault="000C293E" w:rsidP="000C293E">
      <w:pPr>
        <w:spacing w:after="0" w:line="240" w:lineRule="auto"/>
      </w:pPr>
    </w:p>
    <w:p w14:paraId="0C277115" w14:textId="1C2B28C0" w:rsidR="000C293E" w:rsidRDefault="00612EDA" w:rsidP="000C293E">
      <w:pPr>
        <w:spacing w:after="0" w:line="240" w:lineRule="auto"/>
      </w:pPr>
      <w:r>
        <w:t xml:space="preserve">As many of you </w:t>
      </w:r>
      <w:r w:rsidR="002C3CCA">
        <w:t xml:space="preserve">may </w:t>
      </w:r>
      <w:r>
        <w:t xml:space="preserve">know, we </w:t>
      </w:r>
      <w:r w:rsidR="00681DC0">
        <w:t xml:space="preserve">now review these innovative </w:t>
      </w:r>
      <w:r w:rsidR="00C92196">
        <w:t>mean</w:t>
      </w:r>
      <w:r w:rsidR="00681DC0">
        <w:t>s to attract consumers in a</w:t>
      </w:r>
      <w:r w:rsidR="006A284F">
        <w:t>n</w:t>
      </w:r>
      <w:r w:rsidR="00681DC0">
        <w:t xml:space="preserve"> </w:t>
      </w:r>
      <w:r w:rsidR="008B2F9C">
        <w:t>exceedingly</w:t>
      </w:r>
      <w:r w:rsidR="00681DC0">
        <w:t xml:space="preserve"> competitive marketplace under a vague, catch-all rule </w:t>
      </w:r>
      <w:r w:rsidR="00AB584E">
        <w:t>call</w:t>
      </w:r>
      <w:r w:rsidR="007879EA">
        <w:t>ed</w:t>
      </w:r>
      <w:r w:rsidR="00681DC0">
        <w:t xml:space="preserve"> the </w:t>
      </w:r>
      <w:r w:rsidR="00472FE9">
        <w:t>“</w:t>
      </w:r>
      <w:r w:rsidR="00681DC0">
        <w:t>general conduct standard.</w:t>
      </w:r>
      <w:r w:rsidR="00472FE9">
        <w:t>”</w:t>
      </w:r>
      <w:r w:rsidR="00787E9F">
        <w:rPr>
          <w:rStyle w:val="FootnoteReference"/>
        </w:rPr>
        <w:footnoteReference w:id="1"/>
      </w:r>
      <w:r w:rsidR="00681DC0">
        <w:t xml:space="preserve">  </w:t>
      </w:r>
      <w:r>
        <w:t>As drafted</w:t>
      </w:r>
      <w:r w:rsidR="00681DC0">
        <w:t xml:space="preserve">, </w:t>
      </w:r>
      <w:r w:rsidR="00AB584E">
        <w:t>this rule</w:t>
      </w:r>
      <w:r>
        <w:t xml:space="preserve"> </w:t>
      </w:r>
      <w:r w:rsidR="002C2E67">
        <w:t>is “designed to prevent the deployment of new practices that would harm Internet openness.”</w:t>
      </w:r>
      <w:r w:rsidR="00D51277">
        <w:rPr>
          <w:rStyle w:val="FootnoteReference"/>
        </w:rPr>
        <w:footnoteReference w:id="2"/>
      </w:r>
      <w:r w:rsidR="002C2E67">
        <w:t xml:space="preserve">  The Chairman </w:t>
      </w:r>
      <w:r>
        <w:t>equates</w:t>
      </w:r>
      <w:r w:rsidDel="00612EDA">
        <w:t xml:space="preserve"> </w:t>
      </w:r>
      <w:r w:rsidR="002C2E67">
        <w:t xml:space="preserve">the Commission’s role </w:t>
      </w:r>
      <w:r w:rsidR="00B650C8">
        <w:t>to</w:t>
      </w:r>
      <w:r w:rsidR="002C2E67">
        <w:t xml:space="preserve"> </w:t>
      </w:r>
      <w:r w:rsidR="00E3707A">
        <w:t xml:space="preserve">that of </w:t>
      </w:r>
      <w:r w:rsidR="002C2E67">
        <w:t xml:space="preserve">a referee who can throw a flag when it sees behavior it does not like.  </w:t>
      </w:r>
    </w:p>
    <w:p w14:paraId="49430FC4" w14:textId="77777777" w:rsidR="000C293E" w:rsidRDefault="000C293E" w:rsidP="000C293E">
      <w:pPr>
        <w:spacing w:after="0" w:line="240" w:lineRule="auto"/>
      </w:pPr>
    </w:p>
    <w:p w14:paraId="01038D3E" w14:textId="65C26C93" w:rsidR="00F27483" w:rsidRDefault="00612EDA" w:rsidP="000C293E">
      <w:pPr>
        <w:spacing w:after="0" w:line="240" w:lineRule="auto"/>
      </w:pPr>
      <w:r>
        <w:t>O</w:t>
      </w:r>
      <w:r w:rsidR="00681DC0">
        <w:t xml:space="preserve">n the bright </w:t>
      </w:r>
      <w:r w:rsidR="002660D4">
        <w:t xml:space="preserve">side, </w:t>
      </w:r>
      <w:r w:rsidR="00472FE9">
        <w:t xml:space="preserve">I guess </w:t>
      </w:r>
      <w:r w:rsidR="008B2F9C">
        <w:t xml:space="preserve">this scheme </w:t>
      </w:r>
      <w:r w:rsidR="002660D4">
        <w:t xml:space="preserve">is </w:t>
      </w:r>
      <w:r w:rsidR="00472FE9">
        <w:t xml:space="preserve">somewhat </w:t>
      </w:r>
      <w:r w:rsidR="002660D4">
        <w:t xml:space="preserve">better than a </w:t>
      </w:r>
      <w:r w:rsidR="008B2F9C">
        <w:t xml:space="preserve">total </w:t>
      </w:r>
      <w:r w:rsidR="002660D4">
        <w:t>ban o</w:t>
      </w:r>
      <w:r w:rsidR="00B24418">
        <w:t>n</w:t>
      </w:r>
      <w:r w:rsidR="00681DC0">
        <w:t xml:space="preserve"> zero-rating offerings, but </w:t>
      </w:r>
      <w:r w:rsidR="00562C73">
        <w:t xml:space="preserve">from its inception, I warned that such a mother-may-I approach to regulation was, at best, going to cause </w:t>
      </w:r>
      <w:r w:rsidR="00C92196">
        <w:t xml:space="preserve">marketplace </w:t>
      </w:r>
      <w:r w:rsidR="00562C73">
        <w:t>uncertainty and delay</w:t>
      </w:r>
      <w:r w:rsidR="002E43CE">
        <w:t>s</w:t>
      </w:r>
      <w:r w:rsidR="00562C73">
        <w:t xml:space="preserve"> and, at worst, result in new and innovative offerings never seeing the light of day</w:t>
      </w:r>
      <w:r w:rsidR="00681DC0">
        <w:t xml:space="preserve">.  </w:t>
      </w:r>
      <w:r w:rsidR="008B2F9C">
        <w:t>Clearly, i</w:t>
      </w:r>
      <w:r w:rsidR="00F27483">
        <w:t>t’s impossible for companies to keep in compliance and avoid regulatory “flags” when the overall game is</w:t>
      </w:r>
      <w:r w:rsidR="008B2F9C">
        <w:t xml:space="preserve"> not explained in advance.</w:t>
      </w:r>
    </w:p>
    <w:p w14:paraId="7AE4F7A0" w14:textId="77777777" w:rsidR="00F27483" w:rsidRDefault="00F27483" w:rsidP="000C293E">
      <w:pPr>
        <w:spacing w:after="0" w:line="240" w:lineRule="auto"/>
      </w:pPr>
    </w:p>
    <w:p w14:paraId="4F6C34E1" w14:textId="3EC72079" w:rsidR="00A5141A" w:rsidRDefault="00562C73" w:rsidP="000C293E">
      <w:pPr>
        <w:spacing w:after="0" w:line="240" w:lineRule="auto"/>
      </w:pPr>
      <w:r>
        <w:t>Let me tell you how this has played out</w:t>
      </w:r>
      <w:r w:rsidR="00B650C8">
        <w:t xml:space="preserve"> so far</w:t>
      </w:r>
      <w:r>
        <w:t>.</w:t>
      </w:r>
      <w:r w:rsidR="00F27483">
        <w:t xml:space="preserve">  </w:t>
      </w:r>
      <w:r w:rsidR="00E3707A">
        <w:t>Last November</w:t>
      </w:r>
      <w:r w:rsidR="003A58BC">
        <w:t xml:space="preserve">, </w:t>
      </w:r>
      <w:r w:rsidR="008F47C6">
        <w:t xml:space="preserve">one </w:t>
      </w:r>
      <w:r w:rsidR="003A58BC">
        <w:t xml:space="preserve">wireless </w:t>
      </w:r>
      <w:r>
        <w:t>company announced a zero-rating plan,</w:t>
      </w:r>
      <w:r w:rsidR="00AC08C2">
        <w:rPr>
          <w:rStyle w:val="FootnoteReference"/>
        </w:rPr>
        <w:footnoteReference w:id="3"/>
      </w:r>
      <w:r>
        <w:t xml:space="preserve"> </w:t>
      </w:r>
      <w:r w:rsidR="003A58BC">
        <w:t xml:space="preserve">which </w:t>
      </w:r>
      <w:r>
        <w:t>the Chairman</w:t>
      </w:r>
      <w:r w:rsidR="003A58BC">
        <w:t xml:space="preserve"> </w:t>
      </w:r>
      <w:r>
        <w:t>declare</w:t>
      </w:r>
      <w:r w:rsidR="003A58BC">
        <w:t>d</w:t>
      </w:r>
      <w:r>
        <w:t xml:space="preserve"> </w:t>
      </w:r>
      <w:r w:rsidR="003A58BC">
        <w:t xml:space="preserve">to be “highly innovative and highly </w:t>
      </w:r>
      <w:r>
        <w:t>competitive</w:t>
      </w:r>
      <w:r w:rsidR="003A58BC">
        <w:t>”</w:t>
      </w:r>
      <w:r>
        <w:t>,</w:t>
      </w:r>
      <w:r w:rsidR="00AC08C2">
        <w:rPr>
          <w:rStyle w:val="FootnoteReference"/>
        </w:rPr>
        <w:footnoteReference w:id="4"/>
      </w:r>
      <w:r>
        <w:t xml:space="preserve"> only to revers</w:t>
      </w:r>
      <w:r w:rsidR="00472FE9">
        <w:t>e</w:t>
      </w:r>
      <w:r>
        <w:t xml:space="preserve"> his position</w:t>
      </w:r>
      <w:r w:rsidR="00612EDA">
        <w:t xml:space="preserve"> a month later</w:t>
      </w:r>
      <w:r>
        <w:t>, and then start a very public investigation into this offering</w:t>
      </w:r>
      <w:r w:rsidR="002E43CE">
        <w:t>, along with</w:t>
      </w:r>
      <w:r>
        <w:t xml:space="preserve"> three other</w:t>
      </w:r>
      <w:r w:rsidR="009E45B1">
        <w:t>s</w:t>
      </w:r>
      <w:r>
        <w:t>.</w:t>
      </w:r>
      <w:r w:rsidR="00FB2463">
        <w:rPr>
          <w:rStyle w:val="FootnoteReference"/>
        </w:rPr>
        <w:footnoteReference w:id="5"/>
      </w:r>
      <w:r>
        <w:t xml:space="preserve">  </w:t>
      </w:r>
      <w:r w:rsidR="00472FE9">
        <w:t>At this point in time, t</w:t>
      </w:r>
      <w:r w:rsidR="007321E2">
        <w:t xml:space="preserve">he FCC has been </w:t>
      </w:r>
      <w:r w:rsidR="008B146E">
        <w:t>investigating for ten months</w:t>
      </w:r>
      <w:r w:rsidR="00AB584E">
        <w:t>,</w:t>
      </w:r>
      <w:r w:rsidR="008B146E">
        <w:t xml:space="preserve"> and there appears to </w:t>
      </w:r>
      <w:r w:rsidR="008B146E">
        <w:lastRenderedPageBreak/>
        <w:t xml:space="preserve">be no end in sight.  </w:t>
      </w:r>
      <w:r w:rsidR="00472FE9">
        <w:t xml:space="preserve">While I disagree with </w:t>
      </w:r>
      <w:r>
        <w:t xml:space="preserve">this </w:t>
      </w:r>
      <w:r w:rsidR="00472FE9">
        <w:t xml:space="preserve">type of </w:t>
      </w:r>
      <w:r>
        <w:t>inquisition</w:t>
      </w:r>
      <w:r w:rsidR="00472FE9">
        <w:t xml:space="preserve">, </w:t>
      </w:r>
      <w:r>
        <w:t xml:space="preserve">the Commission should </w:t>
      </w:r>
      <w:r w:rsidR="00472FE9">
        <w:t xml:space="preserve">have the obligation to </w:t>
      </w:r>
      <w:r>
        <w:t>quickly review the</w:t>
      </w:r>
      <w:r w:rsidR="00AB584E">
        <w:t>se</w:t>
      </w:r>
      <w:r>
        <w:t xml:space="preserve"> </w:t>
      </w:r>
      <w:r w:rsidR="00AB584E">
        <w:t>service</w:t>
      </w:r>
      <w:r>
        <w:t>s and inform these providers</w:t>
      </w:r>
      <w:r w:rsidR="00B650C8">
        <w:t xml:space="preserve"> in writing</w:t>
      </w:r>
      <w:r>
        <w:t xml:space="preserve"> </w:t>
      </w:r>
      <w:r w:rsidR="00472FE9">
        <w:t xml:space="preserve">the status of </w:t>
      </w:r>
      <w:r>
        <w:t>their offering</w:t>
      </w:r>
      <w:r w:rsidR="00B650C8">
        <w:t>s</w:t>
      </w:r>
      <w:r w:rsidR="00472FE9">
        <w:t>, including those that</w:t>
      </w:r>
      <w:r>
        <w:t xml:space="preserve"> </w:t>
      </w:r>
      <w:r w:rsidR="00B650C8">
        <w:t>are</w:t>
      </w:r>
      <w:r>
        <w:t xml:space="preserve"> in the clear</w:t>
      </w:r>
      <w:r w:rsidR="006D048A">
        <w:t>.</w:t>
      </w:r>
      <w:r w:rsidR="007321E2">
        <w:t xml:space="preserve">  </w:t>
      </w:r>
    </w:p>
    <w:p w14:paraId="3648D9F6" w14:textId="77777777" w:rsidR="000C293E" w:rsidRDefault="000C293E" w:rsidP="000C293E">
      <w:pPr>
        <w:spacing w:after="0" w:line="240" w:lineRule="auto"/>
      </w:pPr>
    </w:p>
    <w:p w14:paraId="05358085" w14:textId="272C2164" w:rsidR="006D048A" w:rsidRDefault="006D048A" w:rsidP="000C293E">
      <w:pPr>
        <w:spacing w:after="0" w:line="240" w:lineRule="auto"/>
      </w:pPr>
      <w:r>
        <w:t>Instead,</w:t>
      </w:r>
      <w:r w:rsidR="008B146E">
        <w:t xml:space="preserve"> t</w:t>
      </w:r>
      <w:r w:rsidR="007321E2">
        <w:t>hese services live under a perpetual cloud</w:t>
      </w:r>
      <w:r>
        <w:t xml:space="preserve"> of doubt</w:t>
      </w:r>
      <w:r w:rsidR="008B146E">
        <w:t xml:space="preserve"> where the Commission </w:t>
      </w:r>
      <w:r>
        <w:t>can d</w:t>
      </w:r>
      <w:r w:rsidR="00612EDA">
        <w:t>ictate</w:t>
      </w:r>
      <w:r w:rsidR="00531765">
        <w:t xml:space="preserve"> –</w:t>
      </w:r>
      <w:r>
        <w:t xml:space="preserve"> apparently at any time </w:t>
      </w:r>
      <w:r w:rsidR="00531765">
        <w:t xml:space="preserve">– </w:t>
      </w:r>
      <w:r>
        <w:t>that the provider</w:t>
      </w:r>
      <w:r w:rsidR="00612EDA">
        <w:t xml:space="preserve"> </w:t>
      </w:r>
      <w:r w:rsidR="008B146E">
        <w:t xml:space="preserve">terminate the offering </w:t>
      </w:r>
      <w:r>
        <w:t>and, adding insult to injury,</w:t>
      </w:r>
      <w:r w:rsidR="008B146E">
        <w:t xml:space="preserve"> </w:t>
      </w:r>
      <w:r w:rsidR="00B650C8">
        <w:t xml:space="preserve">potentially </w:t>
      </w:r>
      <w:r w:rsidR="008B146E">
        <w:t xml:space="preserve">be sent to the </w:t>
      </w:r>
      <w:r w:rsidR="00472FE9">
        <w:t xml:space="preserve">FCC’s </w:t>
      </w:r>
      <w:r w:rsidR="008B146E">
        <w:t>Enforcement Bureau</w:t>
      </w:r>
      <w:r>
        <w:t xml:space="preserve"> </w:t>
      </w:r>
      <w:r w:rsidR="00472FE9">
        <w:t xml:space="preserve">for </w:t>
      </w:r>
      <w:r w:rsidR="008B2F9C">
        <w:t xml:space="preserve">staggering </w:t>
      </w:r>
      <w:r w:rsidR="00472FE9">
        <w:t>penalties</w:t>
      </w:r>
      <w:r>
        <w:t xml:space="preserve">.  </w:t>
      </w:r>
      <w:r w:rsidR="00AD2F05">
        <w:t>What may</w:t>
      </w:r>
      <w:r w:rsidR="00595BA2">
        <w:t xml:space="preserve"> be </w:t>
      </w:r>
      <w:r w:rsidR="00AD2F05">
        <w:t xml:space="preserve">even </w:t>
      </w:r>
      <w:r w:rsidR="00595BA2">
        <w:t xml:space="preserve">worse is that these companies would have to turn to their consumers </w:t>
      </w:r>
      <w:r w:rsidR="008B2F9C">
        <w:t xml:space="preserve">to </w:t>
      </w:r>
      <w:r w:rsidR="00595BA2">
        <w:t>explain that t</w:t>
      </w:r>
      <w:r w:rsidR="00921D89">
        <w:t xml:space="preserve">he offering that they use is no </w:t>
      </w:r>
      <w:r w:rsidR="00595BA2">
        <w:t xml:space="preserve">longer available to them.  </w:t>
      </w:r>
      <w:r w:rsidR="00C92196">
        <w:t>So much for protecting the interests of consumer</w:t>
      </w:r>
      <w:r w:rsidR="007879EA">
        <w:t>s</w:t>
      </w:r>
      <w:r w:rsidR="002E43CE">
        <w:t xml:space="preserve"> and their choices</w:t>
      </w:r>
      <w:r w:rsidR="00C92196">
        <w:t xml:space="preserve">. </w:t>
      </w:r>
    </w:p>
    <w:p w14:paraId="2A540ED6" w14:textId="77777777" w:rsidR="000C293E" w:rsidRDefault="000C293E" w:rsidP="000C293E">
      <w:pPr>
        <w:spacing w:after="0" w:line="240" w:lineRule="auto"/>
      </w:pPr>
    </w:p>
    <w:p w14:paraId="70902D8E" w14:textId="38F4D1D2" w:rsidR="00595BA2" w:rsidRDefault="00B650C8" w:rsidP="000C293E">
      <w:pPr>
        <w:spacing w:after="0" w:line="240" w:lineRule="auto"/>
      </w:pPr>
      <w:r>
        <w:t>This is clearly not a structure that leads to experimentation and innovation.  In fact, I have</w:t>
      </w:r>
      <w:r w:rsidR="007F58EE">
        <w:t xml:space="preserve"> had conversations</w:t>
      </w:r>
      <w:r w:rsidR="00472FE9">
        <w:t xml:space="preserve"> with </w:t>
      </w:r>
      <w:r>
        <w:t xml:space="preserve">industry participants that </w:t>
      </w:r>
      <w:r w:rsidR="00472FE9">
        <w:t xml:space="preserve">withheld </w:t>
      </w:r>
      <w:r>
        <w:t xml:space="preserve">new offerings because it isn’t worth being caught up in an FCC investigation.  One company told me </w:t>
      </w:r>
      <w:r w:rsidR="00595BA2">
        <w:t>that</w:t>
      </w:r>
      <w:r>
        <w:t xml:space="preserve"> their engineers </w:t>
      </w:r>
      <w:r w:rsidR="00595BA2">
        <w:t>came</w:t>
      </w:r>
      <w:r>
        <w:t xml:space="preserve"> up with </w:t>
      </w:r>
      <w:r w:rsidR="007C00E6">
        <w:t xml:space="preserve">some </w:t>
      </w:r>
      <w:r>
        <w:t xml:space="preserve">new interesting ideas that were </w:t>
      </w:r>
      <w:r w:rsidR="007879EA">
        <w:t xml:space="preserve">shot </w:t>
      </w:r>
      <w:r>
        <w:t xml:space="preserve">down almost immediately by their general counsel because of this rule.  </w:t>
      </w:r>
      <w:r w:rsidR="00595BA2">
        <w:t>It is never a good thing when lawyers are dictating</w:t>
      </w:r>
      <w:r>
        <w:t xml:space="preserve"> technolog</w:t>
      </w:r>
      <w:r w:rsidR="00595BA2">
        <w:t>y</w:t>
      </w:r>
      <w:r>
        <w:t xml:space="preserve"> </w:t>
      </w:r>
      <w:r w:rsidR="00595BA2">
        <w:t>winners and losers</w:t>
      </w:r>
      <w:r w:rsidR="008B2F9C">
        <w:t>, n</w:t>
      </w:r>
      <w:r>
        <w:t>o offense to the lawyers in the room</w:t>
      </w:r>
      <w:r w:rsidR="00595BA2">
        <w:t>.</w:t>
      </w:r>
      <w:r>
        <w:t xml:space="preserve"> </w:t>
      </w:r>
      <w:r w:rsidR="007C00E6">
        <w:t xml:space="preserve"> </w:t>
      </w:r>
    </w:p>
    <w:p w14:paraId="4C20B0E1" w14:textId="77777777" w:rsidR="000C293E" w:rsidRDefault="000C293E" w:rsidP="000C293E">
      <w:pPr>
        <w:spacing w:after="0" w:line="240" w:lineRule="auto"/>
      </w:pPr>
    </w:p>
    <w:p w14:paraId="6630861D" w14:textId="1D2E7F2F" w:rsidR="00175F79" w:rsidRDefault="00175F79" w:rsidP="000C293E">
      <w:pPr>
        <w:spacing w:after="0" w:line="240" w:lineRule="auto"/>
        <w:rPr>
          <w:i/>
        </w:rPr>
      </w:pPr>
      <w:r w:rsidRPr="00175F79">
        <w:rPr>
          <w:i/>
        </w:rPr>
        <w:t>ICANN</w:t>
      </w:r>
    </w:p>
    <w:p w14:paraId="1BD1E094" w14:textId="77777777" w:rsidR="000C293E" w:rsidRPr="00175F79" w:rsidRDefault="000C293E" w:rsidP="000C293E">
      <w:pPr>
        <w:spacing w:after="0" w:line="240" w:lineRule="auto"/>
        <w:rPr>
          <w:i/>
        </w:rPr>
      </w:pPr>
    </w:p>
    <w:p w14:paraId="6E95E52B" w14:textId="2CB537E8" w:rsidR="006C1410" w:rsidRDefault="00C322ED" w:rsidP="000C293E">
      <w:pPr>
        <w:spacing w:after="0" w:line="240" w:lineRule="auto"/>
      </w:pPr>
      <w:r>
        <w:t xml:space="preserve">But the problems </w:t>
      </w:r>
      <w:r w:rsidR="0030587A">
        <w:t xml:space="preserve">of poor or disturbing Internet policy </w:t>
      </w:r>
      <w:r>
        <w:t>do not stop at the FCC’s doorstep</w:t>
      </w:r>
      <w:r w:rsidR="000A2886">
        <w:t xml:space="preserve"> or even at this country’s borders</w:t>
      </w:r>
      <w:r>
        <w:t xml:space="preserve">.  </w:t>
      </w:r>
      <w:r w:rsidR="0030587A">
        <w:t>A</w:t>
      </w:r>
      <w:r w:rsidR="006E4CE9">
        <w:t>t the end of this month, t</w:t>
      </w:r>
      <w:r>
        <w:t>he Administration is preparing for t</w:t>
      </w:r>
      <w:r w:rsidR="00886949">
        <w:t xml:space="preserve">he </w:t>
      </w:r>
      <w:r w:rsidR="00781263">
        <w:t xml:space="preserve">unprecedented </w:t>
      </w:r>
      <w:r w:rsidR="00886949">
        <w:t xml:space="preserve">transition of the </w:t>
      </w:r>
      <w:r w:rsidR="00A35DBB">
        <w:t xml:space="preserve">Internet domain name system (DNS), known as the </w:t>
      </w:r>
      <w:r w:rsidR="00886949">
        <w:t>Internet Assigned Number Authority (IANA) functions</w:t>
      </w:r>
      <w:r w:rsidR="00A35DBB">
        <w:t>,</w:t>
      </w:r>
      <w:r w:rsidR="00886949">
        <w:t xml:space="preserve"> to the Internet Corporation for Assigned Names and Numbers (ICANN)</w:t>
      </w:r>
      <w:r w:rsidR="00781263">
        <w:t>.</w:t>
      </w:r>
      <w:r w:rsidR="00212F79">
        <w:t xml:space="preserve"> </w:t>
      </w:r>
      <w:r w:rsidR="00781263">
        <w:t xml:space="preserve"> This would formally end the successful </w:t>
      </w:r>
      <w:r w:rsidR="002B0A21">
        <w:t xml:space="preserve">structure of </w:t>
      </w:r>
      <w:r w:rsidR="00781263">
        <w:t xml:space="preserve">limited </w:t>
      </w:r>
      <w:r w:rsidR="002C3CCA">
        <w:t xml:space="preserve">U.S. </w:t>
      </w:r>
      <w:r w:rsidR="00781263">
        <w:t>oversight in place since 1998.</w:t>
      </w:r>
      <w:r w:rsidR="00212F79">
        <w:rPr>
          <w:rStyle w:val="FootnoteReference"/>
        </w:rPr>
        <w:footnoteReference w:id="6"/>
      </w:r>
    </w:p>
    <w:p w14:paraId="10C35D01" w14:textId="77777777" w:rsidR="000C293E" w:rsidRDefault="000C293E" w:rsidP="000C293E">
      <w:pPr>
        <w:spacing w:after="0" w:line="240" w:lineRule="auto"/>
      </w:pPr>
    </w:p>
    <w:p w14:paraId="07858C46" w14:textId="7E0065AA" w:rsidR="00781263" w:rsidRDefault="00C84647" w:rsidP="000C293E">
      <w:pPr>
        <w:spacing w:after="0" w:line="240" w:lineRule="auto"/>
      </w:pPr>
      <w:r>
        <w:t>Let me be clear</w:t>
      </w:r>
      <w:r w:rsidR="000E2D40">
        <w:t xml:space="preserve">: </w:t>
      </w:r>
      <w:r w:rsidR="003C490D">
        <w:t xml:space="preserve"> I</w:t>
      </w:r>
      <w:r w:rsidR="00781263">
        <w:t xml:space="preserve"> believe in </w:t>
      </w:r>
      <w:r>
        <w:t xml:space="preserve">true </w:t>
      </w:r>
      <w:r w:rsidR="00781263">
        <w:t>multi</w:t>
      </w:r>
      <w:r w:rsidR="00C322ED">
        <w:t>-</w:t>
      </w:r>
      <w:r w:rsidR="00781263">
        <w:t xml:space="preserve">stakeholder models.  The </w:t>
      </w:r>
      <w:r w:rsidR="00697F10">
        <w:t xml:space="preserve">global </w:t>
      </w:r>
      <w:r w:rsidR="00781263">
        <w:t xml:space="preserve">Internet community is in the best position to make important decisions about the inner-workings of the Internet.  </w:t>
      </w:r>
      <w:r w:rsidR="00C322ED">
        <w:t>But, t</w:t>
      </w:r>
      <w:r w:rsidR="00B75BCB">
        <w:t>his transition is a serious undertaking</w:t>
      </w:r>
      <w:r w:rsidR="0098335A">
        <w:t>,</w:t>
      </w:r>
      <w:r w:rsidR="00B75BCB">
        <w:t xml:space="preserve"> and once done</w:t>
      </w:r>
      <w:r w:rsidR="007C00E6">
        <w:t>,</w:t>
      </w:r>
      <w:r w:rsidR="00B75BCB" w:rsidRPr="00886949">
        <w:t xml:space="preserve"> </w:t>
      </w:r>
      <w:r>
        <w:t>it cannot be undone</w:t>
      </w:r>
      <w:r w:rsidR="00B75BCB">
        <w:t>.</w:t>
      </w:r>
      <w:r w:rsidR="00137A3B">
        <w:rPr>
          <w:rStyle w:val="FootnoteReference"/>
        </w:rPr>
        <w:footnoteReference w:id="7"/>
      </w:r>
      <w:r w:rsidR="00B75BCB">
        <w:t xml:space="preserve">  </w:t>
      </w:r>
    </w:p>
    <w:p w14:paraId="22623E04" w14:textId="77777777" w:rsidR="000C293E" w:rsidRDefault="000C293E" w:rsidP="000C293E">
      <w:pPr>
        <w:spacing w:after="0" w:line="240" w:lineRule="auto"/>
      </w:pPr>
    </w:p>
    <w:p w14:paraId="29631167" w14:textId="31C6AAA5" w:rsidR="003375EC" w:rsidRDefault="007C6317" w:rsidP="000C293E">
      <w:pPr>
        <w:spacing w:after="0" w:line="240" w:lineRule="auto"/>
      </w:pPr>
      <w:r>
        <w:t xml:space="preserve">At the outset, I have grave concerns </w:t>
      </w:r>
      <w:r w:rsidR="00AF0F7B">
        <w:t xml:space="preserve">that </w:t>
      </w:r>
      <w:r w:rsidR="00C84647">
        <w:t xml:space="preserve">one or more </w:t>
      </w:r>
      <w:r w:rsidR="00461986">
        <w:t xml:space="preserve">foreign </w:t>
      </w:r>
      <w:r w:rsidR="00C84647">
        <w:t xml:space="preserve">governments </w:t>
      </w:r>
      <w:r w:rsidR="00461986">
        <w:t xml:space="preserve">would be able </w:t>
      </w:r>
      <w:r w:rsidR="00C84647">
        <w:t xml:space="preserve">to </w:t>
      </w:r>
      <w:r w:rsidR="003753E2">
        <w:t>undu</w:t>
      </w:r>
      <w:r w:rsidR="000A6FF0">
        <w:t>ly</w:t>
      </w:r>
      <w:r w:rsidR="003753E2">
        <w:t xml:space="preserve"> influence or control </w:t>
      </w:r>
      <w:r w:rsidR="00697F10">
        <w:t xml:space="preserve">the new </w:t>
      </w:r>
      <w:r w:rsidR="000A6FF0">
        <w:t>ICANN</w:t>
      </w:r>
      <w:r w:rsidR="003753E2">
        <w:t xml:space="preserve">.  </w:t>
      </w:r>
      <w:r w:rsidR="003375EC">
        <w:t>E</w:t>
      </w:r>
      <w:r w:rsidR="003753E2">
        <w:t xml:space="preserve">arly on </w:t>
      </w:r>
      <w:r w:rsidR="003375EC">
        <w:t>in the process, it was clear that NTIA’s criteria to relinquish its ICANN stewardship</w:t>
      </w:r>
      <w:r w:rsidR="00612EDA">
        <w:t xml:space="preserve"> </w:t>
      </w:r>
      <w:r w:rsidR="003375EC">
        <w:t xml:space="preserve">did not preclude </w:t>
      </w:r>
      <w:r w:rsidR="003753E2">
        <w:t>the possibility of foreign government participation.</w:t>
      </w:r>
      <w:r w:rsidR="00205AD4">
        <w:rPr>
          <w:rStyle w:val="FootnoteReference"/>
        </w:rPr>
        <w:footnoteReference w:id="8"/>
      </w:r>
      <w:r w:rsidR="003753E2">
        <w:t xml:space="preserve"> </w:t>
      </w:r>
      <w:r w:rsidR="003375EC">
        <w:t xml:space="preserve"> </w:t>
      </w:r>
      <w:r w:rsidR="003375EC" w:rsidRPr="007C00E6">
        <w:t xml:space="preserve">  </w:t>
      </w:r>
    </w:p>
    <w:p w14:paraId="37F3DF55" w14:textId="77777777" w:rsidR="000C293E" w:rsidRDefault="000C293E" w:rsidP="000C293E">
      <w:pPr>
        <w:spacing w:after="0" w:line="240" w:lineRule="auto"/>
      </w:pPr>
    </w:p>
    <w:p w14:paraId="17EF5AE2" w14:textId="5AC4E768" w:rsidR="000C293E" w:rsidRDefault="00BC1CE8" w:rsidP="000C293E">
      <w:pPr>
        <w:spacing w:after="0" w:line="240" w:lineRule="auto"/>
      </w:pPr>
      <w:r>
        <w:t xml:space="preserve">Unfortunately, </w:t>
      </w:r>
      <w:r w:rsidR="00697F10">
        <w:t xml:space="preserve">this concern has not been resolved and, in fact, </w:t>
      </w:r>
      <w:r>
        <w:t xml:space="preserve">the new structure provides foreign governments </w:t>
      </w:r>
      <w:r w:rsidR="00ED2C38">
        <w:t>a larg</w:t>
      </w:r>
      <w:r>
        <w:t xml:space="preserve">er </w:t>
      </w:r>
      <w:r w:rsidR="00ED2C38">
        <w:t>role</w:t>
      </w:r>
      <w:r>
        <w:t>.</w:t>
      </w:r>
      <w:r w:rsidR="002917A3">
        <w:t xml:space="preserve"> </w:t>
      </w:r>
      <w:r w:rsidR="00ED7084">
        <w:t xml:space="preserve"> </w:t>
      </w:r>
      <w:r w:rsidR="0098335A">
        <w:t>G</w:t>
      </w:r>
      <w:r w:rsidR="00ED7084">
        <w:t>overnments</w:t>
      </w:r>
      <w:r w:rsidR="00BF56EC">
        <w:t xml:space="preserve"> </w:t>
      </w:r>
      <w:r w:rsidR="0098335A">
        <w:t xml:space="preserve">will </w:t>
      </w:r>
      <w:r w:rsidR="00BF56EC">
        <w:t xml:space="preserve">continue </w:t>
      </w:r>
      <w:r w:rsidR="00202F1E">
        <w:t xml:space="preserve">to have an advisory role as part of </w:t>
      </w:r>
      <w:r w:rsidR="00011685">
        <w:t>a restructured</w:t>
      </w:r>
      <w:r>
        <w:t xml:space="preserve"> Government Advisory Committee</w:t>
      </w:r>
      <w:r w:rsidR="00011685">
        <w:t xml:space="preserve"> </w:t>
      </w:r>
      <w:r w:rsidR="00ED2C38">
        <w:t xml:space="preserve">(GAC) </w:t>
      </w:r>
      <w:r w:rsidR="00011685">
        <w:t xml:space="preserve">that provides some ability to influence </w:t>
      </w:r>
      <w:r w:rsidR="00A83384">
        <w:t>board decisions</w:t>
      </w:r>
      <w:r w:rsidR="0098335A">
        <w:t>.</w:t>
      </w:r>
      <w:r w:rsidR="00E24C4C">
        <w:t xml:space="preserve"> </w:t>
      </w:r>
      <w:r w:rsidR="007C00E6">
        <w:t xml:space="preserve"> </w:t>
      </w:r>
      <w:r w:rsidR="0098335A">
        <w:t>B</w:t>
      </w:r>
      <w:r w:rsidR="00E24C4C">
        <w:t>ut</w:t>
      </w:r>
      <w:r w:rsidR="0098335A">
        <w:t xml:space="preserve">, </w:t>
      </w:r>
      <w:r w:rsidR="0098335A">
        <w:lastRenderedPageBreak/>
        <w:t>post transition,</w:t>
      </w:r>
      <w:r w:rsidR="007879EA">
        <w:t xml:space="preserve"> if allowed to proceed,</w:t>
      </w:r>
      <w:r w:rsidR="00E24C4C">
        <w:t xml:space="preserve"> they</w:t>
      </w:r>
      <w:r w:rsidR="00A83384">
        <w:t xml:space="preserve"> will also </w:t>
      </w:r>
      <w:r w:rsidR="00BE74EC">
        <w:t xml:space="preserve">have a new </w:t>
      </w:r>
      <w:r w:rsidR="00E24C4C">
        <w:t xml:space="preserve">decisional role through the GAC’s </w:t>
      </w:r>
      <w:r w:rsidR="008F1871">
        <w:t xml:space="preserve">presence </w:t>
      </w:r>
      <w:r w:rsidR="00E3033E">
        <w:t xml:space="preserve">on the </w:t>
      </w:r>
      <w:r w:rsidR="008F1871">
        <w:t>Empowered Community</w:t>
      </w:r>
      <w:r w:rsidR="00186E33">
        <w:t xml:space="preserve">, which will inherit the oversight </w:t>
      </w:r>
      <w:r w:rsidR="0061170A">
        <w:t>role from the U.S.</w:t>
      </w:r>
      <w:r w:rsidR="00205AD4">
        <w:rPr>
          <w:rStyle w:val="FootnoteReference"/>
        </w:rPr>
        <w:footnoteReference w:id="9"/>
      </w:r>
      <w:r>
        <w:t xml:space="preserve"> </w:t>
      </w:r>
      <w:r w:rsidR="007C00E6">
        <w:t xml:space="preserve"> </w:t>
      </w:r>
      <w:r w:rsidR="002D1945">
        <w:t xml:space="preserve">This will provide </w:t>
      </w:r>
      <w:r w:rsidR="0098335A">
        <w:t>the GAC with</w:t>
      </w:r>
      <w:r w:rsidR="002D1945">
        <w:t xml:space="preserve"> </w:t>
      </w:r>
      <w:r>
        <w:t>vote</w:t>
      </w:r>
      <w:r w:rsidR="008F1871">
        <w:t>s</w:t>
      </w:r>
      <w:r>
        <w:t xml:space="preserve"> over </w:t>
      </w:r>
      <w:r w:rsidR="002D1945">
        <w:t>such</w:t>
      </w:r>
      <w:r w:rsidR="00531765">
        <w:t xml:space="preserve"> fundamental decisions</w:t>
      </w:r>
      <w:r w:rsidR="002D1945">
        <w:t xml:space="preserve"> as</w:t>
      </w:r>
      <w:r w:rsidR="00917D46">
        <w:t xml:space="preserve"> </w:t>
      </w:r>
      <w:r>
        <w:t>dismissing the board</w:t>
      </w:r>
      <w:r w:rsidR="0059427B">
        <w:t xml:space="preserve"> and</w:t>
      </w:r>
      <w:r>
        <w:t xml:space="preserve"> individual directors</w:t>
      </w:r>
      <w:r w:rsidR="0059427B">
        <w:t xml:space="preserve"> and bylaw changes</w:t>
      </w:r>
      <w:r>
        <w:t>.</w:t>
      </w:r>
      <w:r w:rsidR="00205AD4">
        <w:rPr>
          <w:rStyle w:val="FootnoteReference"/>
        </w:rPr>
        <w:footnoteReference w:id="10"/>
      </w:r>
      <w:r w:rsidR="007C00E6">
        <w:t xml:space="preserve"> </w:t>
      </w:r>
      <w:r>
        <w:t xml:space="preserve"> </w:t>
      </w:r>
    </w:p>
    <w:p w14:paraId="42D641D3" w14:textId="21CB8663" w:rsidR="00AF43E6" w:rsidRDefault="00493710" w:rsidP="000C293E">
      <w:pPr>
        <w:spacing w:after="0" w:line="240" w:lineRule="auto"/>
      </w:pPr>
      <w:r>
        <w:t xml:space="preserve"> </w:t>
      </w:r>
    </w:p>
    <w:p w14:paraId="0694276F" w14:textId="2A33EAA2" w:rsidR="00B04FCE" w:rsidRDefault="002B0A21" w:rsidP="000C293E">
      <w:pPr>
        <w:spacing w:after="0" w:line="240" w:lineRule="auto"/>
      </w:pPr>
      <w:r>
        <w:t>We all know t</w:t>
      </w:r>
      <w:r w:rsidR="002F13F5">
        <w:t xml:space="preserve">he countries that are most likely to take advantage of </w:t>
      </w:r>
      <w:r w:rsidR="0011753A">
        <w:t>such</w:t>
      </w:r>
      <w:r w:rsidR="002F13F5">
        <w:t xml:space="preserve"> </w:t>
      </w:r>
      <w:r w:rsidR="007879EA">
        <w:t xml:space="preserve">a </w:t>
      </w:r>
      <w:r w:rsidR="002F13F5">
        <w:t xml:space="preserve">structure are the authoritarian regimes that do not </w:t>
      </w:r>
      <w:r w:rsidR="00767EB8">
        <w:t>hold our freedom of speech</w:t>
      </w:r>
      <w:r w:rsidR="0059427B">
        <w:t xml:space="preserve"> beliefs</w:t>
      </w:r>
      <w:r w:rsidR="00767EB8">
        <w:t xml:space="preserve">. </w:t>
      </w:r>
      <w:r>
        <w:t xml:space="preserve"> </w:t>
      </w:r>
      <w:r w:rsidR="008B2F9C">
        <w:t>Today, these c</w:t>
      </w:r>
      <w:r w:rsidR="009600B3">
        <w:t>ountries</w:t>
      </w:r>
      <w:r w:rsidR="00F70986">
        <w:t xml:space="preserve"> </w:t>
      </w:r>
      <w:r w:rsidR="00246769">
        <w:t>block websites and blogs to mute the voices of dissenter</w:t>
      </w:r>
      <w:r w:rsidR="0059427B">
        <w:t>s</w:t>
      </w:r>
      <w:r w:rsidR="00246769">
        <w:t xml:space="preserve"> and protect their positions.  </w:t>
      </w:r>
      <w:r w:rsidR="0013338F">
        <w:t xml:space="preserve">For instance, </w:t>
      </w:r>
      <w:r w:rsidR="00B52478">
        <w:t xml:space="preserve">one country </w:t>
      </w:r>
      <w:r w:rsidR="00BF10CB">
        <w:t>proposed rules</w:t>
      </w:r>
      <w:r w:rsidR="006D0ACC">
        <w:t>, in March,</w:t>
      </w:r>
      <w:r w:rsidR="00BF10CB">
        <w:t xml:space="preserve"> that Internet domain names offering service in </w:t>
      </w:r>
      <w:r w:rsidR="00B52478">
        <w:t xml:space="preserve">that country </w:t>
      </w:r>
      <w:r w:rsidR="00BF10CB">
        <w:t>would have to apply to the</w:t>
      </w:r>
      <w:r w:rsidR="006D0ACC">
        <w:t xml:space="preserve">ir ministry </w:t>
      </w:r>
      <w:r w:rsidR="00BF10CB">
        <w:t>to operate, allowing the government to ban websites not approved by local authorities,</w:t>
      </w:r>
      <w:r w:rsidR="0013338F">
        <w:t xml:space="preserve"> </w:t>
      </w:r>
      <w:r w:rsidR="00BF10CB">
        <w:t>censor content, and monitor citizens’ activities.</w:t>
      </w:r>
      <w:r w:rsidR="00205AD4">
        <w:rPr>
          <w:rStyle w:val="FootnoteReference"/>
        </w:rPr>
        <w:footnoteReference w:id="11"/>
      </w:r>
      <w:r w:rsidR="00BF10CB">
        <w:t xml:space="preserve">  </w:t>
      </w:r>
      <w:r w:rsidR="0000132B">
        <w:t xml:space="preserve">And </w:t>
      </w:r>
      <w:r w:rsidR="009E45B1">
        <w:t>there are</w:t>
      </w:r>
      <w:r w:rsidR="0000132B">
        <w:t xml:space="preserve"> countless examples from other nations.  </w:t>
      </w:r>
    </w:p>
    <w:p w14:paraId="22474B57" w14:textId="77777777" w:rsidR="000C293E" w:rsidRDefault="000C293E" w:rsidP="000C293E">
      <w:pPr>
        <w:spacing w:after="0" w:line="240" w:lineRule="auto"/>
      </w:pPr>
    </w:p>
    <w:p w14:paraId="1E53B2A7" w14:textId="49BC4D5B" w:rsidR="00B528BD" w:rsidRDefault="00876EFE" w:rsidP="000C293E">
      <w:pPr>
        <w:spacing w:after="0" w:line="240" w:lineRule="auto"/>
      </w:pPr>
      <w:r>
        <w:t xml:space="preserve">Government influence </w:t>
      </w:r>
      <w:r w:rsidR="00B04FCE">
        <w:t>is particular</w:t>
      </w:r>
      <w:r w:rsidR="009E45B1">
        <w:t>ly</w:t>
      </w:r>
      <w:r w:rsidR="00B04FCE">
        <w:t xml:space="preserve"> </w:t>
      </w:r>
      <w:r w:rsidR="0000132B">
        <w:t xml:space="preserve">troubling </w:t>
      </w:r>
      <w:r w:rsidR="00B04FCE">
        <w:t xml:space="preserve">because </w:t>
      </w:r>
      <w:r w:rsidR="0000132B">
        <w:t xml:space="preserve">ICANN’s </w:t>
      </w:r>
      <w:r w:rsidR="00B04FCE">
        <w:t xml:space="preserve">bylaws </w:t>
      </w:r>
      <w:r w:rsidR="001D3D22">
        <w:t xml:space="preserve">incorporate a </w:t>
      </w:r>
      <w:r w:rsidR="00246769">
        <w:t>vague commitment to “internationally recogn</w:t>
      </w:r>
      <w:r w:rsidR="001D3D22">
        <w:t>ized human rights.”</w:t>
      </w:r>
      <w:r w:rsidR="00205AD4">
        <w:rPr>
          <w:rStyle w:val="FootnoteReference"/>
        </w:rPr>
        <w:footnoteReference w:id="12"/>
      </w:r>
      <w:r w:rsidR="00246769">
        <w:t xml:space="preserve">  </w:t>
      </w:r>
      <w:r w:rsidR="00312E9D">
        <w:t>There is no common definition of human rights</w:t>
      </w:r>
      <w:r w:rsidR="00921D89">
        <w:rPr>
          <w:rStyle w:val="FootnoteReference"/>
        </w:rPr>
        <w:footnoteReference w:id="13"/>
      </w:r>
      <w:r w:rsidR="00312E9D">
        <w:t xml:space="preserve">: </w:t>
      </w:r>
      <w:r w:rsidR="00921D89">
        <w:t xml:space="preserve"> </w:t>
      </w:r>
      <w:r w:rsidR="00312E9D">
        <w:t xml:space="preserve">one country’s censored hate speech is another country’s </w:t>
      </w:r>
      <w:r w:rsidR="0011753A">
        <w:t xml:space="preserve">protected </w:t>
      </w:r>
      <w:r w:rsidR="00312E9D">
        <w:t>freedom of expression.  Therefore, s</w:t>
      </w:r>
      <w:r w:rsidR="00B8089F">
        <w:t>uch a requirement could</w:t>
      </w:r>
      <w:r w:rsidR="00246769">
        <w:t xml:space="preserve"> </w:t>
      </w:r>
      <w:r w:rsidR="00771FFE">
        <w:t>enhance</w:t>
      </w:r>
      <w:r w:rsidR="00835729">
        <w:t xml:space="preserve"> </w:t>
      </w:r>
      <w:r w:rsidR="00771FFE">
        <w:t>the ability of authoritarian regimes</w:t>
      </w:r>
      <w:r w:rsidR="00835729">
        <w:t xml:space="preserve"> to use ICANN</w:t>
      </w:r>
      <w:r w:rsidR="00771FFE">
        <w:t>’s functions</w:t>
      </w:r>
      <w:r w:rsidR="00835729">
        <w:t xml:space="preserve"> to control and sensor content.  Certain domain names and IP addresses could be refused, turned off or traffic diverted if the websites contain content that some find objectionable</w:t>
      </w:r>
      <w:r w:rsidR="00246769">
        <w:t>.</w:t>
      </w:r>
      <w:r w:rsidR="002B0A21">
        <w:t xml:space="preserve">  </w:t>
      </w:r>
      <w:r w:rsidR="00246769">
        <w:t xml:space="preserve">  </w:t>
      </w:r>
      <w:r w:rsidR="00782BC5">
        <w:t xml:space="preserve">  </w:t>
      </w:r>
      <w:r w:rsidR="00513346">
        <w:t xml:space="preserve">  </w:t>
      </w:r>
      <w:r w:rsidR="00246769">
        <w:t xml:space="preserve">  </w:t>
      </w:r>
    </w:p>
    <w:p w14:paraId="1839FC02" w14:textId="77777777" w:rsidR="00504FA1" w:rsidRDefault="00504FA1" w:rsidP="000C293E">
      <w:pPr>
        <w:spacing w:after="0" w:line="240" w:lineRule="auto"/>
      </w:pPr>
    </w:p>
    <w:p w14:paraId="4B3190DD" w14:textId="71307DF1" w:rsidR="000C293E" w:rsidRDefault="00504FA1" w:rsidP="000C293E">
      <w:pPr>
        <w:spacing w:after="0" w:line="240" w:lineRule="auto"/>
      </w:pPr>
      <w:r>
        <w:t xml:space="preserve">We should also dispense with the notion that the IANA functions are merely </w:t>
      </w:r>
      <w:r w:rsidR="008F47C6">
        <w:t>perfunctory</w:t>
      </w:r>
      <w:r>
        <w:t xml:space="preserve"> or meaningless.  If that is the case, then why is there even a dispute </w:t>
      </w:r>
      <w:r w:rsidR="00876EFE">
        <w:t>or</w:t>
      </w:r>
      <w:r>
        <w:t xml:space="preserve"> a demand that the U.S. “relinquish control”?  Why </w:t>
      </w:r>
      <w:r w:rsidR="008B2F9C">
        <w:t xml:space="preserve">exactly should we </w:t>
      </w:r>
      <w:r>
        <w:t>disrupt the current highly-successful functioning of the Internet as it exists today</w:t>
      </w:r>
      <w:r w:rsidR="008B2F9C">
        <w:t xml:space="preserve"> if </w:t>
      </w:r>
      <w:r w:rsidR="007879EA">
        <w:t xml:space="preserve">the IANA functions are </w:t>
      </w:r>
      <w:r w:rsidR="008B2F9C">
        <w:t>meaningless</w:t>
      </w:r>
      <w:r>
        <w:t>?  Whether it’s actually technically important or just psychosomatic to the international community, the IANA functions and maintain</w:t>
      </w:r>
      <w:r w:rsidR="008B2F9C">
        <w:t>ing</w:t>
      </w:r>
      <w:r>
        <w:t xml:space="preserve"> oversight </w:t>
      </w:r>
      <w:r w:rsidR="008B2F9C">
        <w:t xml:space="preserve">over them </w:t>
      </w:r>
      <w:r>
        <w:t xml:space="preserve">are a valuable tool to </w:t>
      </w:r>
      <w:r w:rsidR="00C7527C">
        <w:t xml:space="preserve">leverage proper behavior, thereby </w:t>
      </w:r>
      <w:r>
        <w:t>prevent</w:t>
      </w:r>
      <w:r w:rsidR="00C7527C">
        <w:t>ing</w:t>
      </w:r>
      <w:r>
        <w:t xml:space="preserve"> </w:t>
      </w:r>
      <w:r w:rsidR="00C76D0E">
        <w:t>rogue regimes from harming</w:t>
      </w:r>
      <w:r>
        <w:t xml:space="preserve"> the operations and oversight of the Internet.  </w:t>
      </w:r>
    </w:p>
    <w:p w14:paraId="504592F0" w14:textId="77777777" w:rsidR="00504FA1" w:rsidRDefault="00504FA1" w:rsidP="000C293E">
      <w:pPr>
        <w:spacing w:after="0" w:line="240" w:lineRule="auto"/>
      </w:pPr>
    </w:p>
    <w:p w14:paraId="597D2AC8" w14:textId="619E6402" w:rsidR="00B737AB" w:rsidRDefault="00AA49A9" w:rsidP="000C293E">
      <w:pPr>
        <w:spacing w:after="0" w:line="240" w:lineRule="auto"/>
      </w:pPr>
      <w:r>
        <w:t>There is also no reason to believe</w:t>
      </w:r>
      <w:r w:rsidR="00975C95">
        <w:t xml:space="preserve"> that terminat</w:t>
      </w:r>
      <w:r w:rsidR="00B737AB">
        <w:t>ing U.S. s</w:t>
      </w:r>
      <w:r w:rsidR="00944B08">
        <w:t xml:space="preserve">tewardship of ICANN will </w:t>
      </w:r>
      <w:r w:rsidR="00975C95">
        <w:t>end</w:t>
      </w:r>
      <w:r w:rsidR="00B737AB">
        <w:t xml:space="preserve">, or </w:t>
      </w:r>
      <w:r w:rsidR="0011753A">
        <w:t>even</w:t>
      </w:r>
      <w:r w:rsidR="00B737AB">
        <w:t xml:space="preserve"> diminish, the calls for the international regulation of the Intern</w:t>
      </w:r>
      <w:r w:rsidR="00D24E62">
        <w:t>et.  These countries are</w:t>
      </w:r>
      <w:r w:rsidR="00AC4870">
        <w:t xml:space="preserve"> persistent</w:t>
      </w:r>
      <w:r w:rsidR="00D24E62">
        <w:t xml:space="preserve"> </w:t>
      </w:r>
      <w:r w:rsidR="004C4E1C">
        <w:t xml:space="preserve">and nothing </w:t>
      </w:r>
      <w:r w:rsidR="00B737AB">
        <w:t xml:space="preserve">ensures that U.S. relinquishment of its ICANN </w:t>
      </w:r>
      <w:r w:rsidR="0011753A">
        <w:t xml:space="preserve">role </w:t>
      </w:r>
      <w:r w:rsidR="00B737AB">
        <w:t xml:space="preserve">will stop their </w:t>
      </w:r>
      <w:r w:rsidR="009E45B1">
        <w:t>campaign</w:t>
      </w:r>
      <w:r w:rsidR="00B737AB">
        <w:t xml:space="preserve">. </w:t>
      </w:r>
      <w:r w:rsidR="00771FFE">
        <w:t xml:space="preserve"> </w:t>
      </w:r>
      <w:r w:rsidR="0000132B">
        <w:t xml:space="preserve">This won’t be the end of the debate.  Once they </w:t>
      </w:r>
      <w:r w:rsidR="00CF0ABD">
        <w:t xml:space="preserve">gain control </w:t>
      </w:r>
      <w:r w:rsidR="004C4E1C">
        <w:t>over the IANA functions</w:t>
      </w:r>
      <w:r w:rsidR="009E45B1">
        <w:t>,</w:t>
      </w:r>
      <w:r w:rsidR="004C4E1C">
        <w:t xml:space="preserve"> </w:t>
      </w:r>
      <w:r w:rsidR="0000132B">
        <w:t xml:space="preserve">the </w:t>
      </w:r>
      <w:r w:rsidR="00B737AB">
        <w:t xml:space="preserve">push </w:t>
      </w:r>
      <w:r w:rsidR="0000132B">
        <w:t xml:space="preserve">will be </w:t>
      </w:r>
      <w:r w:rsidR="00B737AB">
        <w:t xml:space="preserve">for more </w:t>
      </w:r>
      <w:r w:rsidR="00605C08">
        <w:t xml:space="preserve">international </w:t>
      </w:r>
      <w:r w:rsidR="0011753A">
        <w:t>influence</w:t>
      </w:r>
      <w:r w:rsidR="00B737AB">
        <w:t xml:space="preserve"> in other venues</w:t>
      </w:r>
      <w:r w:rsidR="0000132B">
        <w:t xml:space="preserve">. </w:t>
      </w:r>
      <w:r w:rsidR="00393F06">
        <w:t xml:space="preserve"> </w:t>
      </w:r>
      <w:r w:rsidR="0059427B">
        <w:t>And</w:t>
      </w:r>
      <w:r w:rsidR="00941851">
        <w:t xml:space="preserve"> nothing </w:t>
      </w:r>
      <w:r w:rsidR="0059427B">
        <w:t xml:space="preserve">would </w:t>
      </w:r>
      <w:r w:rsidR="00941851">
        <w:t>stop</w:t>
      </w:r>
      <w:r w:rsidR="0028794A">
        <w:t xml:space="preserve"> them from </w:t>
      </w:r>
      <w:r w:rsidR="000667EB">
        <w:t>hand</w:t>
      </w:r>
      <w:r w:rsidR="0028794A">
        <w:t>ing</w:t>
      </w:r>
      <w:r w:rsidR="000667EB">
        <w:t xml:space="preserve"> the IANA functions</w:t>
      </w:r>
      <w:r w:rsidR="00312E9D">
        <w:t xml:space="preserve"> over to the ITU</w:t>
      </w:r>
      <w:r w:rsidR="00C7527C">
        <w:t>, the U.N., or some dysfunctional organization</w:t>
      </w:r>
      <w:r w:rsidR="00393F06">
        <w:t xml:space="preserve"> </w:t>
      </w:r>
      <w:r w:rsidR="00F747F0">
        <w:t>at a</w:t>
      </w:r>
      <w:r w:rsidR="0059427B">
        <w:t xml:space="preserve"> future</w:t>
      </w:r>
      <w:r w:rsidR="00F747F0">
        <w:t xml:space="preserve"> date</w:t>
      </w:r>
      <w:r w:rsidR="00393F06">
        <w:t>.</w:t>
      </w:r>
    </w:p>
    <w:p w14:paraId="0EE5C624" w14:textId="77777777" w:rsidR="000C293E" w:rsidRDefault="000C293E" w:rsidP="000C293E">
      <w:pPr>
        <w:spacing w:after="0" w:line="240" w:lineRule="auto"/>
      </w:pPr>
    </w:p>
    <w:p w14:paraId="4B782CAE" w14:textId="61E75E8E" w:rsidR="006C1410" w:rsidRDefault="00017319" w:rsidP="000C293E">
      <w:pPr>
        <w:spacing w:after="0" w:line="240" w:lineRule="auto"/>
      </w:pPr>
      <w:r>
        <w:t>There are also reasons to doubt that</w:t>
      </w:r>
      <w:r w:rsidR="00115140">
        <w:t xml:space="preserve"> the ICANN board is prepared to take on this responsibility and if it is accountable to </w:t>
      </w:r>
      <w:r w:rsidR="00835729">
        <w:t>its</w:t>
      </w:r>
      <w:r w:rsidR="00115140">
        <w:t xml:space="preserve"> members.</w:t>
      </w:r>
      <w:r w:rsidR="00205AD4">
        <w:rPr>
          <w:rStyle w:val="FootnoteReference"/>
        </w:rPr>
        <w:footnoteReference w:id="14"/>
      </w:r>
      <w:r w:rsidR="00115140">
        <w:t xml:space="preserve"> </w:t>
      </w:r>
      <w:r w:rsidR="000949B1">
        <w:t xml:space="preserve"> </w:t>
      </w:r>
      <w:r w:rsidR="0000132B">
        <w:t>Is</w:t>
      </w:r>
      <w:r w:rsidR="00837F63">
        <w:t xml:space="preserve"> the global Internet community </w:t>
      </w:r>
      <w:r w:rsidR="0065142B">
        <w:t>able to discipline</w:t>
      </w:r>
      <w:r w:rsidR="00837F63">
        <w:t xml:space="preserve"> the board to prevent abuse or undue influence</w:t>
      </w:r>
      <w:r w:rsidR="0000132B">
        <w:t>?</w:t>
      </w:r>
      <w:r w:rsidR="009E45B1">
        <w:t xml:space="preserve">  </w:t>
      </w:r>
      <w:r w:rsidR="00835729">
        <w:t>And this is just a start</w:t>
      </w:r>
      <w:r w:rsidR="00C310D2">
        <w:t xml:space="preserve"> of the concerns</w:t>
      </w:r>
      <w:r w:rsidR="002D2FEA">
        <w:t xml:space="preserve"> – many accountability measures are still under consideration and</w:t>
      </w:r>
      <w:r w:rsidR="00BF10CB">
        <w:t xml:space="preserve"> several</w:t>
      </w:r>
      <w:r w:rsidR="002D2FEA">
        <w:t xml:space="preserve"> legal issues have been raised</w:t>
      </w:r>
      <w:r w:rsidR="000949B1">
        <w:t>.</w:t>
      </w:r>
      <w:r w:rsidR="00205AD4">
        <w:rPr>
          <w:rStyle w:val="FootnoteReference"/>
        </w:rPr>
        <w:footnoteReference w:id="15"/>
      </w:r>
      <w:r w:rsidR="00493710">
        <w:t xml:space="preserve"> </w:t>
      </w:r>
      <w:r w:rsidR="0000132B">
        <w:t xml:space="preserve"> Left unresolved, t</w:t>
      </w:r>
      <w:r w:rsidR="002371E5">
        <w:t xml:space="preserve">his </w:t>
      </w:r>
      <w:r w:rsidR="0000132B">
        <w:t xml:space="preserve">entire </w:t>
      </w:r>
      <w:r w:rsidR="002371E5">
        <w:t>Jenga-</w:t>
      </w:r>
      <w:r w:rsidR="00ED2C38">
        <w:t xml:space="preserve">like structure could easily </w:t>
      </w:r>
      <w:r w:rsidR="0011753A">
        <w:t>cr</w:t>
      </w:r>
      <w:r w:rsidR="00ED2C38">
        <w:t xml:space="preserve">umble, </w:t>
      </w:r>
      <w:r w:rsidR="00AB584E">
        <w:t>bolster</w:t>
      </w:r>
      <w:r w:rsidR="0000132B">
        <w:t>ing</w:t>
      </w:r>
      <w:r w:rsidR="00AB584E">
        <w:t xml:space="preserve"> efforts for </w:t>
      </w:r>
      <w:r w:rsidR="00C7527C">
        <w:t xml:space="preserve">additional government involvement in Internet operations.  </w:t>
      </w:r>
    </w:p>
    <w:p w14:paraId="6CCC1D6D" w14:textId="77777777" w:rsidR="000C293E" w:rsidRDefault="000C293E" w:rsidP="000C293E">
      <w:pPr>
        <w:spacing w:after="0" w:line="240" w:lineRule="auto"/>
      </w:pPr>
    </w:p>
    <w:p w14:paraId="1BEE3EA5" w14:textId="472DAC2E" w:rsidR="00B75BCB" w:rsidRDefault="00ED2C38" w:rsidP="002D2FEA">
      <w:pPr>
        <w:spacing w:after="0" w:line="240" w:lineRule="auto"/>
      </w:pPr>
      <w:r>
        <w:t xml:space="preserve">While some may assert </w:t>
      </w:r>
      <w:r w:rsidR="00E81067">
        <w:t>that opponents of the transition are individuals who don’t understand fundamentally what is at issue</w:t>
      </w:r>
      <w:r>
        <w:t>,</w:t>
      </w:r>
      <w:r w:rsidR="00E81067">
        <w:t xml:space="preserve"> th</w:t>
      </w:r>
      <w:r>
        <w:t>is</w:t>
      </w:r>
      <w:r w:rsidR="00E81067">
        <w:t xml:space="preserve"> is far from the truth.  We understand that the underpinnings of the Internet are being put at risk because of other global policy debates</w:t>
      </w:r>
      <w:r>
        <w:t xml:space="preserve"> and a desire </w:t>
      </w:r>
      <w:r w:rsidR="007809E6">
        <w:t xml:space="preserve">to conclude this process prior to the election.  </w:t>
      </w:r>
      <w:r w:rsidR="00C7527C">
        <w:t xml:space="preserve">Many consider it a small price to pay for </w:t>
      </w:r>
      <w:r w:rsidR="0000132B">
        <w:t xml:space="preserve">other </w:t>
      </w:r>
      <w:r w:rsidR="00C7527C">
        <w:t>government activities</w:t>
      </w:r>
      <w:r w:rsidR="0000132B">
        <w:t>, like</w:t>
      </w:r>
      <w:r w:rsidR="00C7527C">
        <w:t xml:space="preserve"> </w:t>
      </w:r>
      <w:r w:rsidR="0000132B">
        <w:t xml:space="preserve">those </w:t>
      </w:r>
      <w:r w:rsidR="00C7527C">
        <w:t xml:space="preserve">revealed by Edward Snowden.  </w:t>
      </w:r>
      <w:r w:rsidR="00E81067">
        <w:t>But</w:t>
      </w:r>
      <w:r w:rsidR="002371E5">
        <w:t>,</w:t>
      </w:r>
      <w:r w:rsidR="00E81067">
        <w:t xml:space="preserve"> the Internet isn’t something that should be compromised as a means to </w:t>
      </w:r>
      <w:r w:rsidR="00771FFE">
        <w:t>assuage critics</w:t>
      </w:r>
      <w:r w:rsidR="007809E6">
        <w:t xml:space="preserve"> or meet artificial deadlines</w:t>
      </w:r>
      <w:r w:rsidR="00E81067">
        <w:t>.</w:t>
      </w:r>
      <w:r w:rsidR="007809E6">
        <w:t xml:space="preserve">  </w:t>
      </w:r>
      <w:r w:rsidR="00771FFE">
        <w:t xml:space="preserve">All details of the transition must be worked out, </w:t>
      </w:r>
      <w:r w:rsidR="007809E6">
        <w:t>fully considered</w:t>
      </w:r>
      <w:r>
        <w:t xml:space="preserve"> and all questions answered before this transition </w:t>
      </w:r>
      <w:r w:rsidR="002371E5">
        <w:t>goes any further</w:t>
      </w:r>
      <w:r w:rsidR="007809E6">
        <w:t>.</w:t>
      </w:r>
    </w:p>
    <w:p w14:paraId="763B714F" w14:textId="77777777" w:rsidR="002D2FEA" w:rsidRDefault="002D2FEA" w:rsidP="002D2FEA">
      <w:pPr>
        <w:spacing w:after="0" w:line="240" w:lineRule="auto"/>
      </w:pPr>
    </w:p>
    <w:p w14:paraId="22688A81" w14:textId="3EA655C2" w:rsidR="00037C49" w:rsidRDefault="00037C49">
      <w:r>
        <w:t>So there you have it.  I hope this helps frame some of the debate</w:t>
      </w:r>
      <w:r w:rsidR="007879EA">
        <w:t xml:space="preserve"> or provokes discussion</w:t>
      </w:r>
      <w:r>
        <w:t xml:space="preserve"> for purposes of the upcoming panels</w:t>
      </w:r>
      <w:r w:rsidR="00324D63">
        <w:t>,</w:t>
      </w:r>
      <w:r>
        <w:t xml:space="preserve"> and I wish you well for the rest of the conference.  </w:t>
      </w:r>
    </w:p>
    <w:sectPr w:rsidR="000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AD0DF" w14:textId="77777777" w:rsidR="00201E1C" w:rsidRDefault="00201E1C" w:rsidP="00A35DBB">
      <w:pPr>
        <w:spacing w:after="0" w:line="240" w:lineRule="auto"/>
      </w:pPr>
      <w:r>
        <w:separator/>
      </w:r>
    </w:p>
  </w:endnote>
  <w:endnote w:type="continuationSeparator" w:id="0">
    <w:p w14:paraId="781A372E" w14:textId="77777777" w:rsidR="00201E1C" w:rsidRDefault="00201E1C" w:rsidP="00A3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67F7C" w14:textId="77777777" w:rsidR="00CE4786" w:rsidRDefault="00CE4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553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CCBDE" w14:textId="1FEAAE15" w:rsidR="000C293E" w:rsidRDefault="000C2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76708A" w14:textId="77777777" w:rsidR="000C293E" w:rsidRDefault="000C29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C58C" w14:textId="77777777" w:rsidR="00CE4786" w:rsidRDefault="00CE4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B4EFF" w14:textId="77777777" w:rsidR="00201E1C" w:rsidRDefault="00201E1C" w:rsidP="00A35DBB">
      <w:pPr>
        <w:spacing w:after="0" w:line="240" w:lineRule="auto"/>
      </w:pPr>
      <w:r>
        <w:separator/>
      </w:r>
    </w:p>
  </w:footnote>
  <w:footnote w:type="continuationSeparator" w:id="0">
    <w:p w14:paraId="547A3AAC" w14:textId="77777777" w:rsidR="00201E1C" w:rsidRDefault="00201E1C" w:rsidP="00A35DBB">
      <w:pPr>
        <w:spacing w:after="0" w:line="240" w:lineRule="auto"/>
      </w:pPr>
      <w:r>
        <w:continuationSeparator/>
      </w:r>
    </w:p>
  </w:footnote>
  <w:footnote w:id="1">
    <w:p w14:paraId="6CE561AB" w14:textId="49122A85" w:rsidR="00787E9F" w:rsidRPr="001855A7" w:rsidRDefault="00787E9F" w:rsidP="007879EA">
      <w:pPr>
        <w:pStyle w:val="FootnoteText"/>
        <w:spacing w:after="120"/>
      </w:pPr>
      <w:r w:rsidRPr="001855A7">
        <w:rPr>
          <w:rStyle w:val="FootnoteReference"/>
        </w:rPr>
        <w:footnoteRef/>
      </w:r>
      <w:r w:rsidRPr="001855A7">
        <w:t xml:space="preserve"> </w:t>
      </w:r>
      <w:r w:rsidRPr="007879EA">
        <w:rPr>
          <w:rFonts w:cs="Times New Roman"/>
          <w:i/>
        </w:rPr>
        <w:t>Protecting and Promoting the Open Internet</w:t>
      </w:r>
      <w:r w:rsidRPr="007879EA">
        <w:rPr>
          <w:rFonts w:cs="Times New Roman"/>
        </w:rPr>
        <w:t xml:space="preserve">, GN Docket No. 14-28, Report and Order on Remand, Declaratory Ruling, and Order, 30 FCC Rcd 5601, 5659-69 (2015). </w:t>
      </w:r>
    </w:p>
  </w:footnote>
  <w:footnote w:id="2">
    <w:p w14:paraId="7436D306" w14:textId="4BDB0CAD" w:rsidR="00D51277" w:rsidRPr="001855A7" w:rsidRDefault="00D51277" w:rsidP="007879EA">
      <w:pPr>
        <w:pStyle w:val="FootnoteText"/>
        <w:spacing w:after="120"/>
      </w:pPr>
      <w:r w:rsidRPr="001855A7">
        <w:rPr>
          <w:rStyle w:val="FootnoteReference"/>
        </w:rPr>
        <w:footnoteRef/>
      </w:r>
      <w:r w:rsidRPr="001855A7">
        <w:t xml:space="preserve"> </w:t>
      </w:r>
      <w:r w:rsidRPr="00AC392F">
        <w:rPr>
          <w:i/>
        </w:rPr>
        <w:t>Id</w:t>
      </w:r>
      <w:r w:rsidRPr="001855A7">
        <w:t>. at 5603.</w:t>
      </w:r>
    </w:p>
  </w:footnote>
  <w:footnote w:id="3">
    <w:p w14:paraId="61AD4ABB" w14:textId="539882BC" w:rsidR="00AC08C2" w:rsidRPr="001855A7" w:rsidRDefault="00AC08C2" w:rsidP="007879EA">
      <w:pPr>
        <w:pStyle w:val="FootnoteText"/>
        <w:spacing w:after="120"/>
      </w:pPr>
      <w:r w:rsidRPr="001855A7">
        <w:rPr>
          <w:rStyle w:val="FootnoteReference"/>
        </w:rPr>
        <w:footnoteRef/>
      </w:r>
      <w:r w:rsidRPr="001855A7">
        <w:t xml:space="preserve"> </w:t>
      </w:r>
      <w:r w:rsidR="00F645FA">
        <w:t xml:space="preserve">Press Release, T-Mobile, </w:t>
      </w:r>
      <w:r w:rsidRPr="001855A7">
        <w:t xml:space="preserve">T-Mobile Unleashes Mobile Video with Binge On </w:t>
      </w:r>
      <w:r w:rsidR="00F645FA">
        <w:t>(</w:t>
      </w:r>
      <w:r w:rsidRPr="001855A7">
        <w:t>Nov. 10, 2015</w:t>
      </w:r>
      <w:r w:rsidR="00F645FA">
        <w:t>)</w:t>
      </w:r>
      <w:r w:rsidRPr="001855A7">
        <w:t>, https://newsroom.t-mobile.com/media-kits/un-carrier-x.htm.</w:t>
      </w:r>
    </w:p>
  </w:footnote>
  <w:footnote w:id="4">
    <w:p w14:paraId="2D7CE586" w14:textId="3D6B87C8" w:rsidR="00AC08C2" w:rsidRPr="001855A7" w:rsidRDefault="00AC08C2" w:rsidP="007879EA">
      <w:pPr>
        <w:pStyle w:val="FootnoteText"/>
        <w:spacing w:after="120"/>
      </w:pPr>
      <w:r w:rsidRPr="001855A7">
        <w:rPr>
          <w:rStyle w:val="FootnoteReference"/>
        </w:rPr>
        <w:footnoteRef/>
      </w:r>
      <w:r w:rsidRPr="001855A7">
        <w:t xml:space="preserve"> </w:t>
      </w:r>
      <w:r w:rsidR="001855A7" w:rsidRPr="007879EA">
        <w:rPr>
          <w:i/>
        </w:rPr>
        <w:t>See, e.g.,</w:t>
      </w:r>
      <w:r w:rsidR="001855A7">
        <w:t xml:space="preserve"> </w:t>
      </w:r>
      <w:r w:rsidRPr="001855A7">
        <w:t>Todd Shields,</w:t>
      </w:r>
      <w:r w:rsidR="00F645FA">
        <w:t xml:space="preserve"> </w:t>
      </w:r>
      <w:r w:rsidR="00F645FA" w:rsidRPr="007879EA">
        <w:rPr>
          <w:i/>
        </w:rPr>
        <w:t>T-Mobile Offering is ‘Highly Innovative,’ FCC Chief Wheeler Says</w:t>
      </w:r>
      <w:r w:rsidR="00F645FA">
        <w:t>,</w:t>
      </w:r>
      <w:r w:rsidRPr="001855A7">
        <w:t xml:space="preserve"> </w:t>
      </w:r>
      <w:r w:rsidRPr="007879EA">
        <w:rPr>
          <w:smallCaps/>
        </w:rPr>
        <w:t>Bloomberg</w:t>
      </w:r>
      <w:r w:rsidRPr="001855A7">
        <w:t xml:space="preserve">, </w:t>
      </w:r>
      <w:r w:rsidR="00FB2463" w:rsidRPr="001855A7">
        <w:t xml:space="preserve">Nov. 19, 2015, </w:t>
      </w:r>
      <w:r w:rsidRPr="001855A7">
        <w:t>http://www.bloomberg.com/news/articles/2015-11-19/t-mobile-offering-is-highly-innovative-fcc-chief-wheeler-says</w:t>
      </w:r>
      <w:r w:rsidR="00FB2463" w:rsidRPr="001855A7">
        <w:t>.</w:t>
      </w:r>
    </w:p>
  </w:footnote>
  <w:footnote w:id="5">
    <w:p w14:paraId="070A6E9A" w14:textId="69EC97D6" w:rsidR="00FB2463" w:rsidRPr="004B643B" w:rsidRDefault="00FB2463" w:rsidP="007879EA">
      <w:pPr>
        <w:pStyle w:val="FootnoteText"/>
        <w:spacing w:after="120"/>
      </w:pPr>
      <w:r w:rsidRPr="001855A7">
        <w:rPr>
          <w:rStyle w:val="FootnoteReference"/>
        </w:rPr>
        <w:footnoteRef/>
      </w:r>
      <w:r w:rsidRPr="001855A7">
        <w:t xml:space="preserve"> </w:t>
      </w:r>
      <w:r w:rsidR="001855A7" w:rsidRPr="007879EA">
        <w:rPr>
          <w:i/>
        </w:rPr>
        <w:t>See, e.g.</w:t>
      </w:r>
      <w:r w:rsidR="001855A7">
        <w:t xml:space="preserve">, </w:t>
      </w:r>
      <w:r w:rsidRPr="001855A7">
        <w:t xml:space="preserve">Marguerite Reardon, </w:t>
      </w:r>
      <w:r w:rsidRPr="007879EA">
        <w:rPr>
          <w:i/>
        </w:rPr>
        <w:t>AT&amp;T, Comcast and T-Mobile Questioned over Streaming Freebies</w:t>
      </w:r>
      <w:r w:rsidRPr="001855A7">
        <w:t xml:space="preserve">, CNET, Dec. 16, 2015, </w:t>
      </w:r>
      <w:r w:rsidRPr="00921D89">
        <w:t>https://www.cnet.com/news/at-t-comcast-and-t-mobile-questioned-over-streaming-freebies/</w:t>
      </w:r>
      <w:r w:rsidRPr="001855A7">
        <w:t xml:space="preserve">; John Eggerton, </w:t>
      </w:r>
      <w:r w:rsidRPr="007879EA">
        <w:rPr>
          <w:i/>
        </w:rPr>
        <w:t>Verizon Told FCC about FreeBee</w:t>
      </w:r>
      <w:r w:rsidRPr="001855A7">
        <w:t xml:space="preserve">, </w:t>
      </w:r>
      <w:r w:rsidRPr="007879EA">
        <w:rPr>
          <w:smallCaps/>
        </w:rPr>
        <w:t>MultiChannel</w:t>
      </w:r>
      <w:r w:rsidR="00F645FA">
        <w:rPr>
          <w:smallCaps/>
        </w:rPr>
        <w:t xml:space="preserve"> News</w:t>
      </w:r>
      <w:r w:rsidRPr="001855A7">
        <w:t xml:space="preserve">, Jan. 20, 2016, </w:t>
      </w:r>
      <w:r w:rsidRPr="00477CFF">
        <w:t>http://www.multichannel.com/news/content/verizon-told-fcc-about-freebee/396698</w:t>
      </w:r>
      <w:r w:rsidRPr="004B643B">
        <w:t>.</w:t>
      </w:r>
    </w:p>
  </w:footnote>
  <w:footnote w:id="6">
    <w:p w14:paraId="3C50D508" w14:textId="0AC32CA0" w:rsidR="00212F79" w:rsidRPr="004B643B" w:rsidRDefault="00212F79" w:rsidP="007879EA">
      <w:pPr>
        <w:pStyle w:val="FootnoteText"/>
        <w:spacing w:after="120"/>
      </w:pPr>
      <w:r w:rsidRPr="001855A7">
        <w:rPr>
          <w:rStyle w:val="FootnoteReference"/>
        </w:rPr>
        <w:footnoteRef/>
      </w:r>
      <w:r w:rsidRPr="001855A7">
        <w:t xml:space="preserve"> </w:t>
      </w:r>
      <w:r w:rsidR="00F645FA" w:rsidRPr="007879EA">
        <w:rPr>
          <w:i/>
        </w:rPr>
        <w:t>See</w:t>
      </w:r>
      <w:r w:rsidR="00F645FA">
        <w:t xml:space="preserve"> </w:t>
      </w:r>
      <w:r w:rsidR="00150E78" w:rsidRPr="001855A7">
        <w:t>Press Release</w:t>
      </w:r>
      <w:r w:rsidR="00150E78">
        <w:t xml:space="preserve">, </w:t>
      </w:r>
      <w:r w:rsidR="00F645FA">
        <w:t xml:space="preserve">NTIA, </w:t>
      </w:r>
      <w:r w:rsidRPr="001855A7">
        <w:t xml:space="preserve">NTIA Finds IANA Stewardship Transition Proposal Meets Criteria to Complete Privatization, </w:t>
      </w:r>
      <w:r w:rsidR="00F645FA">
        <w:t>(</w:t>
      </w:r>
      <w:r w:rsidRPr="001855A7">
        <w:t>June 9, 2016</w:t>
      </w:r>
      <w:r w:rsidR="00F645FA">
        <w:t>)</w:t>
      </w:r>
      <w:r w:rsidRPr="001855A7">
        <w:t xml:space="preserve">, </w:t>
      </w:r>
      <w:r w:rsidRPr="00921D89">
        <w:t>http://www.ntia.doc.gov/press-release/2016/iana-stewardship-transition-proposal-meets-criteria-complete-privatization</w:t>
      </w:r>
      <w:r>
        <w:t xml:space="preserve">; Lennard G. Kruger, Congressional Research Service, </w:t>
      </w:r>
      <w:r w:rsidRPr="007879EA">
        <w:rPr>
          <w:i/>
        </w:rPr>
        <w:t>The Future of Internet Governance:  Should the United States Relinquish Its Authority over ICANN?</w:t>
      </w:r>
      <w:r>
        <w:t>, at 1-3</w:t>
      </w:r>
      <w:r w:rsidR="00150E78">
        <w:t xml:space="preserve"> (Sept. 1, 2016)</w:t>
      </w:r>
      <w:r>
        <w:t xml:space="preserve">, </w:t>
      </w:r>
      <w:r w:rsidRPr="00212F79">
        <w:t>https://www.fas.org/sgp/crs/misc/R44022.pdf</w:t>
      </w:r>
      <w:r>
        <w:t>.</w:t>
      </w:r>
    </w:p>
  </w:footnote>
  <w:footnote w:id="7">
    <w:p w14:paraId="70491D78" w14:textId="51D7271E" w:rsidR="00137A3B" w:rsidRDefault="00137A3B" w:rsidP="00137A3B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137A3B">
        <w:rPr>
          <w:i/>
        </w:rPr>
        <w:t>See, e.g.,</w:t>
      </w:r>
      <w:r w:rsidRPr="00137A3B">
        <w:t xml:space="preserve"> Marco Rubio, </w:t>
      </w:r>
      <w:r w:rsidRPr="00137A3B">
        <w:rPr>
          <w:i/>
        </w:rPr>
        <w:t>It's Essential That We Keep the Internet Secure, Free and Open</w:t>
      </w:r>
      <w:r w:rsidRPr="00137A3B">
        <w:t xml:space="preserve">, </w:t>
      </w:r>
      <w:r w:rsidRPr="00137A3B">
        <w:rPr>
          <w:smallCaps/>
        </w:rPr>
        <w:t>FoxNews.Com</w:t>
      </w:r>
      <w:r w:rsidRPr="00137A3B">
        <w:t xml:space="preserve"> (Sept.</w:t>
      </w:r>
      <w:r>
        <w:t xml:space="preserve"> 16, 2016), </w:t>
      </w:r>
      <w:r w:rsidRPr="00137A3B">
        <w:t>http://www.foxnews.com/opinion/2016/09/16/marco-rubio-its-essential-that-keep-internet-secure-free-and-open.html</w:t>
      </w:r>
      <w:r>
        <w:t>.</w:t>
      </w:r>
    </w:p>
  </w:footnote>
  <w:footnote w:id="8">
    <w:p w14:paraId="5C1146BD" w14:textId="1EF77E1B" w:rsidR="00205AD4" w:rsidRPr="004B643B" w:rsidRDefault="00205AD4" w:rsidP="007879EA">
      <w:pPr>
        <w:pStyle w:val="FootnoteText"/>
        <w:spacing w:after="120"/>
      </w:pPr>
      <w:r w:rsidRPr="001855A7">
        <w:rPr>
          <w:rStyle w:val="FootnoteReference"/>
        </w:rPr>
        <w:footnoteRef/>
      </w:r>
      <w:r w:rsidRPr="001855A7">
        <w:t xml:space="preserve"> </w:t>
      </w:r>
      <w:r w:rsidR="00F645FA" w:rsidRPr="007879EA">
        <w:rPr>
          <w:i/>
        </w:rPr>
        <w:t>See</w:t>
      </w:r>
      <w:r w:rsidR="00F645FA">
        <w:t xml:space="preserve"> </w:t>
      </w:r>
      <w:r w:rsidR="00C51B40" w:rsidRPr="001855A7">
        <w:t xml:space="preserve">Kieren McCarthy, </w:t>
      </w:r>
      <w:r w:rsidR="00C71DD6">
        <w:rPr>
          <w:i/>
        </w:rPr>
        <w:t>What the Government Said a</w:t>
      </w:r>
      <w:r w:rsidR="00C51B40" w:rsidRPr="007879EA">
        <w:rPr>
          <w:i/>
        </w:rPr>
        <w:t>bout IANA in Singapore</w:t>
      </w:r>
      <w:r w:rsidR="00C51B40" w:rsidRPr="001855A7">
        <w:t>, C</w:t>
      </w:r>
      <w:r w:rsidR="00F645FA" w:rsidRPr="007879EA">
        <w:rPr>
          <w:smallCaps/>
        </w:rPr>
        <w:t>ircle</w:t>
      </w:r>
      <w:r w:rsidR="00921D89">
        <w:t xml:space="preserve">ID, Mar. 26, 2014, </w:t>
      </w:r>
      <w:r w:rsidR="00C51B40" w:rsidRPr="004B643B">
        <w:t>http://www.circleid.com/posts/print/20140327_what_the_us_government_said_about_iana_in_singapore.</w:t>
      </w:r>
    </w:p>
  </w:footnote>
  <w:footnote w:id="9">
    <w:p w14:paraId="30187A8F" w14:textId="61911C7D" w:rsidR="00205AD4" w:rsidRPr="001855A7" w:rsidRDefault="00205AD4" w:rsidP="007879EA">
      <w:pPr>
        <w:pStyle w:val="FootnoteText"/>
        <w:spacing w:after="120"/>
      </w:pPr>
      <w:r w:rsidRPr="001855A7">
        <w:rPr>
          <w:rStyle w:val="FootnoteReference"/>
        </w:rPr>
        <w:footnoteRef/>
      </w:r>
      <w:r w:rsidRPr="001855A7">
        <w:t xml:space="preserve"> </w:t>
      </w:r>
      <w:r w:rsidR="00150E78" w:rsidRPr="007879EA">
        <w:rPr>
          <w:i/>
        </w:rPr>
        <w:t>See, e.g.,</w:t>
      </w:r>
      <w:r w:rsidR="00150E78">
        <w:t xml:space="preserve"> </w:t>
      </w:r>
      <w:r w:rsidR="00633392">
        <w:t>Letter from Ted Cruz, U</w:t>
      </w:r>
      <w:r w:rsidR="0028398A">
        <w:t>.</w:t>
      </w:r>
      <w:r w:rsidR="00633392">
        <w:t>S</w:t>
      </w:r>
      <w:r w:rsidR="0028398A">
        <w:t>.</w:t>
      </w:r>
      <w:r w:rsidR="00633392">
        <w:t xml:space="preserve"> Senator, </w:t>
      </w:r>
      <w:r w:rsidR="00633392" w:rsidRPr="00633392">
        <w:rPr>
          <w:i/>
        </w:rPr>
        <w:t>et al</w:t>
      </w:r>
      <w:r w:rsidR="00633392">
        <w:t xml:space="preserve">., to Penny Pritzker, Secretary, U.S. Department of Commerce &amp; Lawrence Strickling, Assistant Secretary for Communication and Information, NTIA, U.S. Department of Commerce, at 1-2 (May 19, 2016) (“May 19, 2016 Senate Letter”), </w:t>
      </w:r>
      <w:r w:rsidR="00633392" w:rsidRPr="00633392">
        <w:t>https://www.cruz.senate.gov/?p=press_release&amp;id=2646</w:t>
      </w:r>
      <w:r w:rsidR="00633392">
        <w:t xml:space="preserve">; </w:t>
      </w:r>
      <w:r w:rsidR="00946D92">
        <w:t xml:space="preserve">Brett D. Schaefer &amp; Paul Rosenzweig, Heritage Foundation, </w:t>
      </w:r>
      <w:r w:rsidR="00946D92" w:rsidRPr="007879EA">
        <w:rPr>
          <w:i/>
        </w:rPr>
        <w:t>ICANN Transition Proposal:  The U.S. Should Proceed with Caution</w:t>
      </w:r>
      <w:r w:rsidR="00946D92">
        <w:t xml:space="preserve">, at 6, 8-9 (Apr. 4, 2016), </w:t>
      </w:r>
      <w:r w:rsidR="00946D92" w:rsidRPr="00946D92">
        <w:t>http://thf-reports.s3.amazonaws.com/2016/BG3110.pdf</w:t>
      </w:r>
      <w:r w:rsidR="00946D92">
        <w:t>.</w:t>
      </w:r>
    </w:p>
  </w:footnote>
  <w:footnote w:id="10">
    <w:p w14:paraId="1AB87437" w14:textId="42318764" w:rsidR="00205AD4" w:rsidRPr="001855A7" w:rsidRDefault="00205AD4" w:rsidP="007879EA">
      <w:pPr>
        <w:pStyle w:val="FootnoteText"/>
        <w:spacing w:after="120"/>
      </w:pPr>
      <w:r w:rsidRPr="001855A7">
        <w:rPr>
          <w:rStyle w:val="FootnoteReference"/>
        </w:rPr>
        <w:footnoteRef/>
      </w:r>
      <w:r w:rsidRPr="001855A7">
        <w:t xml:space="preserve"> </w:t>
      </w:r>
      <w:r w:rsidR="00212F79">
        <w:t xml:space="preserve">Kruger, </w:t>
      </w:r>
      <w:r w:rsidR="00212F79" w:rsidRPr="00633392">
        <w:rPr>
          <w:i/>
        </w:rPr>
        <w:t>supra</w:t>
      </w:r>
      <w:r w:rsidR="00212F79">
        <w:t xml:space="preserve"> </w:t>
      </w:r>
      <w:r w:rsidR="00150E78">
        <w:t>note 6</w:t>
      </w:r>
      <w:r w:rsidR="00212F79">
        <w:t>, at 7-8</w:t>
      </w:r>
      <w:r w:rsidR="00150E78">
        <w:t xml:space="preserve"> (stating that </w:t>
      </w:r>
      <w:r w:rsidR="00477CFF">
        <w:t xml:space="preserve">GAC will not </w:t>
      </w:r>
      <w:r w:rsidR="00150E78">
        <w:t>participate</w:t>
      </w:r>
      <w:r w:rsidR="00477CFF">
        <w:t xml:space="preserve"> in this group when the board is considering a </w:t>
      </w:r>
      <w:r w:rsidR="00150E78">
        <w:t xml:space="preserve">GAC </w:t>
      </w:r>
      <w:r w:rsidR="00477CFF">
        <w:t>advisory</w:t>
      </w:r>
      <w:r w:rsidR="00150E78">
        <w:t>)</w:t>
      </w:r>
      <w:r w:rsidR="00477CFF">
        <w:t>.</w:t>
      </w:r>
    </w:p>
  </w:footnote>
  <w:footnote w:id="11">
    <w:p w14:paraId="07E31235" w14:textId="227AB42B" w:rsidR="00205AD4" w:rsidRPr="00212F79" w:rsidRDefault="00205AD4" w:rsidP="007879EA">
      <w:pPr>
        <w:pStyle w:val="FootnoteText"/>
        <w:spacing w:after="120"/>
      </w:pPr>
      <w:r w:rsidRPr="001855A7">
        <w:rPr>
          <w:rStyle w:val="FootnoteReference"/>
        </w:rPr>
        <w:footnoteRef/>
      </w:r>
      <w:r w:rsidRPr="001855A7">
        <w:t xml:space="preserve"> </w:t>
      </w:r>
      <w:r w:rsidR="00150E78" w:rsidRPr="007879EA">
        <w:rPr>
          <w:i/>
        </w:rPr>
        <w:t>See, e.g.,</w:t>
      </w:r>
      <w:r w:rsidR="00150E78">
        <w:t xml:space="preserve"> </w:t>
      </w:r>
      <w:r w:rsidR="001855A7" w:rsidRPr="001855A7">
        <w:t>Josh Chin &amp;</w:t>
      </w:r>
      <w:r w:rsidR="001855A7" w:rsidRPr="00122D70">
        <w:t xml:space="preserve"> Eva Dou, </w:t>
      </w:r>
      <w:r w:rsidR="001855A7" w:rsidRPr="007879EA">
        <w:rPr>
          <w:i/>
        </w:rPr>
        <w:t>China Seeks More Legal Muscle to Block Foreign Websites</w:t>
      </w:r>
      <w:r w:rsidR="001855A7" w:rsidRPr="00122D70">
        <w:t xml:space="preserve">, </w:t>
      </w:r>
      <w:r w:rsidR="001855A7" w:rsidRPr="007879EA">
        <w:rPr>
          <w:smallCaps/>
        </w:rPr>
        <w:t>Wall St. J</w:t>
      </w:r>
      <w:r w:rsidR="001855A7" w:rsidRPr="00122D70">
        <w:t xml:space="preserve">., Mar. 29. 2016,  </w:t>
      </w:r>
      <w:r w:rsidR="001855A7" w:rsidRPr="004B643B">
        <w:t xml:space="preserve">http://www.wsj.com/articles/china-seeks-more-legal-muscle-to-block-foreign-websites-1459230128; Shai Oster </w:t>
      </w:r>
      <w:r w:rsidR="001855A7" w:rsidRPr="00946D92">
        <w:t xml:space="preserve">&amp; Lulu Yilun Chen, </w:t>
      </w:r>
      <w:r w:rsidR="001855A7" w:rsidRPr="007879EA">
        <w:rPr>
          <w:i/>
        </w:rPr>
        <w:t>China Considers Tightening Control Over Internet Websites</w:t>
      </w:r>
      <w:r w:rsidR="001855A7" w:rsidRPr="00946D92">
        <w:t xml:space="preserve">, </w:t>
      </w:r>
      <w:r w:rsidR="001855A7" w:rsidRPr="007879EA">
        <w:rPr>
          <w:smallCaps/>
        </w:rPr>
        <w:t>Bloomberg</w:t>
      </w:r>
      <w:r w:rsidR="001855A7" w:rsidRPr="00946D92">
        <w:t xml:space="preserve">, Mar. 29, 2016, </w:t>
      </w:r>
      <w:r w:rsidR="001855A7" w:rsidRPr="001E733D">
        <w:t>http://www.bloomberg.com/news/articles/2016-03-29/china-considers-tightening-control-over-internet-websites</w:t>
      </w:r>
    </w:p>
  </w:footnote>
  <w:footnote w:id="12">
    <w:p w14:paraId="1CE04D7A" w14:textId="539E34A1" w:rsidR="00205AD4" w:rsidRPr="001855A7" w:rsidRDefault="00205AD4" w:rsidP="007879EA">
      <w:pPr>
        <w:pStyle w:val="FootnoteText"/>
        <w:spacing w:after="120"/>
      </w:pPr>
      <w:r w:rsidRPr="001855A7">
        <w:rPr>
          <w:rStyle w:val="FootnoteReference"/>
        </w:rPr>
        <w:footnoteRef/>
      </w:r>
      <w:r w:rsidRPr="001855A7">
        <w:t xml:space="preserve"> </w:t>
      </w:r>
      <w:r w:rsidR="00C42249">
        <w:t>Bylaws for Internet Corporation for Assigned Names and Numbers</w:t>
      </w:r>
      <w:r w:rsidR="00150E78">
        <w:t xml:space="preserve"> at 5, 137</w:t>
      </w:r>
      <w:r w:rsidR="00C42249">
        <w:t xml:space="preserve"> </w:t>
      </w:r>
      <w:r w:rsidR="00150E78">
        <w:t>(</w:t>
      </w:r>
      <w:r w:rsidR="00C42249">
        <w:t>Adopted May 27, 2016</w:t>
      </w:r>
      <w:r w:rsidR="00150E78">
        <w:t>)</w:t>
      </w:r>
      <w:r w:rsidR="00C42249">
        <w:t xml:space="preserve">, </w:t>
      </w:r>
      <w:r w:rsidR="00C42249" w:rsidRPr="00C42249">
        <w:t>https://www.icann.org/en/system/files/files/adopted-bylaws-27may16-en.pdf</w:t>
      </w:r>
      <w:r w:rsidR="00C42249">
        <w:t xml:space="preserve"> (</w:t>
      </w:r>
      <w:r w:rsidR="00921D89">
        <w:t>stating that the implementation</w:t>
      </w:r>
      <w:r w:rsidR="00C42249">
        <w:t xml:space="preserve"> of this language will be determined in the future as part of Work Stream 2 to be completed after the transition is scheduled to be completed). </w:t>
      </w:r>
    </w:p>
  </w:footnote>
  <w:footnote w:id="13">
    <w:p w14:paraId="63F1AE65" w14:textId="0C5ED37E" w:rsidR="00921D89" w:rsidRDefault="00921D89" w:rsidP="00921D8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921D89">
        <w:rPr>
          <w:i/>
        </w:rPr>
        <w:t>See, e.g</w:t>
      </w:r>
      <w:r>
        <w:t xml:space="preserve">., Schaefer &amp; Rosenzweig, </w:t>
      </w:r>
      <w:r w:rsidRPr="007879EA">
        <w:rPr>
          <w:i/>
        </w:rPr>
        <w:t>supra</w:t>
      </w:r>
      <w:r>
        <w:t xml:space="preserve"> note </w:t>
      </w:r>
      <w:r w:rsidR="0093686F">
        <w:t>9</w:t>
      </w:r>
      <w:r>
        <w:t>, at 7-8.</w:t>
      </w:r>
    </w:p>
  </w:footnote>
  <w:footnote w:id="14">
    <w:p w14:paraId="05DBC199" w14:textId="5F45A503" w:rsidR="00205AD4" w:rsidRPr="001855A7" w:rsidRDefault="00205AD4" w:rsidP="007879EA">
      <w:pPr>
        <w:pStyle w:val="FootnoteText"/>
        <w:spacing w:after="120"/>
      </w:pPr>
      <w:r w:rsidRPr="001855A7">
        <w:rPr>
          <w:rStyle w:val="FootnoteReference"/>
        </w:rPr>
        <w:footnoteRef/>
      </w:r>
      <w:r w:rsidRPr="001855A7">
        <w:t xml:space="preserve"> </w:t>
      </w:r>
      <w:r w:rsidR="00477CFF" w:rsidRPr="007879EA">
        <w:rPr>
          <w:i/>
        </w:rPr>
        <w:t>See, e.g.,</w:t>
      </w:r>
      <w:r w:rsidR="00477CFF">
        <w:t xml:space="preserve"> Letter from John Thune, </w:t>
      </w:r>
      <w:r w:rsidR="00F645FA">
        <w:t xml:space="preserve">Chairman, Senate Committee on Commerce, Science &amp; Transportation </w:t>
      </w:r>
      <w:r w:rsidR="00F645FA" w:rsidRPr="007879EA">
        <w:rPr>
          <w:i/>
        </w:rPr>
        <w:t>et al</w:t>
      </w:r>
      <w:r w:rsidR="00F645FA">
        <w:t xml:space="preserve">., </w:t>
      </w:r>
      <w:r w:rsidR="00477CFF">
        <w:t>to Loretta E. Lynch</w:t>
      </w:r>
      <w:r w:rsidR="00F645FA">
        <w:t>, Attorney General, U.S. Department of Justice &amp;</w:t>
      </w:r>
      <w:r w:rsidR="00477CFF">
        <w:t xml:space="preserve"> </w:t>
      </w:r>
      <w:r w:rsidR="00633392">
        <w:t>Penny Pritzk</w:t>
      </w:r>
      <w:r w:rsidR="00477CFF">
        <w:t>er,</w:t>
      </w:r>
      <w:r w:rsidR="00F645FA">
        <w:t xml:space="preserve"> Secretary, U.S. Department of Commerce,</w:t>
      </w:r>
      <w:r w:rsidR="00477CFF">
        <w:t xml:space="preserve"> Sept. 8, 2016, at 2, </w:t>
      </w:r>
      <w:r w:rsidR="00477CFF" w:rsidRPr="00921D89">
        <w:t>https://www.commerce.senate.gov/public/_cache/files/9b6b37a9-e5a4-4695-931e-73d54b32f768/D453845EFDC860DCC3161346BBCA9C63.20160908-doj-lynch-doc-pritzker-joint-letter-on-iana-transition.pdf</w:t>
      </w:r>
      <w:r w:rsidR="00477CFF">
        <w:t xml:space="preserve"> (“Sept. 8 2016 Congressional Letter”)</w:t>
      </w:r>
      <w:r w:rsidR="00A142B4">
        <w:t xml:space="preserve">; Berin Szoka </w:t>
      </w:r>
      <w:r w:rsidR="00A142B4" w:rsidRPr="007879EA">
        <w:rPr>
          <w:i/>
        </w:rPr>
        <w:t>et al</w:t>
      </w:r>
      <w:r w:rsidR="00A142B4">
        <w:t>., Tech Freedom</w:t>
      </w:r>
      <w:r w:rsidR="00A142B4" w:rsidRPr="007879EA">
        <w:rPr>
          <w:i/>
        </w:rPr>
        <w:t>, ICANN Transition is Premature:  Unanswered Questions Require and Extension</w:t>
      </w:r>
      <w:r w:rsidR="00A142B4">
        <w:t xml:space="preserve">, at 6, 8 (Sept. 8, 2016), </w:t>
      </w:r>
      <w:r w:rsidR="00A142B4" w:rsidRPr="00A142B4">
        <w:t>http://docs.techfreedom.org/TF_White_Paper_IANA_Transition.pdf</w:t>
      </w:r>
      <w:r w:rsidR="00A142B4">
        <w:t>;</w:t>
      </w:r>
      <w:r w:rsidR="00477CFF">
        <w:t xml:space="preserve"> John D. McKinnon, </w:t>
      </w:r>
      <w:r w:rsidR="00477CFF" w:rsidRPr="007879EA">
        <w:rPr>
          <w:i/>
        </w:rPr>
        <w:t>Deals Stoke Criticism Over U.S.’s Plan to end Internet Oversight,</w:t>
      </w:r>
      <w:r w:rsidR="00477CFF">
        <w:t xml:space="preserve"> </w:t>
      </w:r>
      <w:r w:rsidR="00477CFF" w:rsidRPr="007879EA">
        <w:rPr>
          <w:smallCaps/>
        </w:rPr>
        <w:t>Wall St. J.</w:t>
      </w:r>
      <w:r w:rsidR="00477CFF">
        <w:t xml:space="preserve">, Aug. 31, 2016, </w:t>
      </w:r>
      <w:r w:rsidR="004B643B" w:rsidRPr="00921D89">
        <w:t>http://www.wsj.com/articles/deals-stoke-criticism-over-u-s-s-plan-to-end-internet-oversight-1472658344</w:t>
      </w:r>
      <w:r w:rsidR="007879EA">
        <w:t>.</w:t>
      </w:r>
      <w:r w:rsidR="004B643B">
        <w:t xml:space="preserve"> </w:t>
      </w:r>
    </w:p>
  </w:footnote>
  <w:footnote w:id="15">
    <w:p w14:paraId="49472EC2" w14:textId="6B55D863" w:rsidR="00205AD4" w:rsidRPr="001855A7" w:rsidRDefault="00205AD4" w:rsidP="007879EA">
      <w:pPr>
        <w:pStyle w:val="FootnoteText"/>
        <w:spacing w:after="120"/>
      </w:pPr>
      <w:r w:rsidRPr="001855A7">
        <w:rPr>
          <w:rStyle w:val="FootnoteReference"/>
        </w:rPr>
        <w:footnoteRef/>
      </w:r>
      <w:r w:rsidRPr="001855A7">
        <w:t xml:space="preserve"> </w:t>
      </w:r>
      <w:r w:rsidR="00122D70" w:rsidRPr="00921D89">
        <w:rPr>
          <w:i/>
        </w:rPr>
        <w:t>See, e.g</w:t>
      </w:r>
      <w:r w:rsidR="00921D89" w:rsidRPr="00921D89">
        <w:rPr>
          <w:i/>
        </w:rPr>
        <w:t>.</w:t>
      </w:r>
      <w:r w:rsidR="00921D89">
        <w:t>,</w:t>
      </w:r>
      <w:r w:rsidR="00477CFF" w:rsidRPr="00477CFF">
        <w:t xml:space="preserve"> </w:t>
      </w:r>
      <w:r w:rsidR="00477CFF">
        <w:t>Sept. 8</w:t>
      </w:r>
      <w:r w:rsidR="007879EA">
        <w:t>,</w:t>
      </w:r>
      <w:r w:rsidR="00477CFF">
        <w:t xml:space="preserve"> 2016 Congressional Letter</w:t>
      </w:r>
      <w:r w:rsidR="00633392">
        <w:t xml:space="preserve">, </w:t>
      </w:r>
      <w:r w:rsidR="00633392" w:rsidRPr="008A4888">
        <w:rPr>
          <w:i/>
        </w:rPr>
        <w:t>supra</w:t>
      </w:r>
      <w:r w:rsidR="00633392">
        <w:t xml:space="preserve"> note 14,</w:t>
      </w:r>
      <w:r w:rsidR="00122D70">
        <w:t xml:space="preserve"> </w:t>
      </w:r>
      <w:r w:rsidR="00477CFF">
        <w:t>at 2-4</w:t>
      </w:r>
      <w:r w:rsidR="001E733D">
        <w:t xml:space="preserve">; </w:t>
      </w:r>
      <w:r w:rsidR="00633392">
        <w:t xml:space="preserve">May 19, 2016 Senate Letter, </w:t>
      </w:r>
      <w:r w:rsidR="00633392" w:rsidRPr="00633392">
        <w:rPr>
          <w:i/>
        </w:rPr>
        <w:t>supra</w:t>
      </w:r>
      <w:r w:rsidR="00633392">
        <w:t xml:space="preserve"> note 9, at 2-3; </w:t>
      </w:r>
      <w:r w:rsidR="00921D89">
        <w:t xml:space="preserve">Szoka </w:t>
      </w:r>
      <w:r w:rsidR="00921D89" w:rsidRPr="00921D89">
        <w:rPr>
          <w:i/>
        </w:rPr>
        <w:t>et al</w:t>
      </w:r>
      <w:r w:rsidR="00921D89">
        <w:t>.</w:t>
      </w:r>
      <w:r w:rsidR="001E733D">
        <w:t xml:space="preserve">, </w:t>
      </w:r>
      <w:r w:rsidR="00A142B4" w:rsidRPr="00633392">
        <w:rPr>
          <w:i/>
        </w:rPr>
        <w:t>supra</w:t>
      </w:r>
      <w:r w:rsidR="00A142B4">
        <w:t xml:space="preserve"> note </w:t>
      </w:r>
      <w:r w:rsidR="00921D89">
        <w:t>1</w:t>
      </w:r>
      <w:r w:rsidR="008A4888">
        <w:t>4</w:t>
      </w:r>
      <w:r w:rsidR="001E733D">
        <w:t>, at 1</w:t>
      </w:r>
      <w:r w:rsidR="00921D89">
        <w:t>3-23</w:t>
      </w:r>
      <w:r w:rsidR="001E733D">
        <w:t xml:space="preserve"> (Apr. 4, 2016</w:t>
      </w:r>
      <w:r w:rsidR="00921D89">
        <w:t>)</w:t>
      </w:r>
      <w:r w:rsidR="00492A50">
        <w:t xml:space="preserve">; L. Gordon Crovitz, </w:t>
      </w:r>
      <w:r w:rsidR="00492A50" w:rsidRPr="007879EA">
        <w:rPr>
          <w:i/>
        </w:rPr>
        <w:t>Congress Can Save the Internet</w:t>
      </w:r>
      <w:r w:rsidR="00492A50">
        <w:t xml:space="preserve">, </w:t>
      </w:r>
      <w:r w:rsidR="00492A50" w:rsidRPr="007879EA">
        <w:rPr>
          <w:smallCaps/>
        </w:rPr>
        <w:t>Wall St. J.</w:t>
      </w:r>
      <w:r w:rsidR="00492A50">
        <w:t xml:space="preserve">, Sept. 11, 2016, </w:t>
      </w:r>
      <w:r w:rsidR="00492A50" w:rsidRPr="00492A50">
        <w:t>http://www.wsj.com/articles/congress-can-save-the-internet-1473630838</w:t>
      </w:r>
      <w:r w:rsidR="00477CF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5D84" w14:textId="77777777" w:rsidR="00CE4786" w:rsidRDefault="00CE47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8473D" w14:textId="77777777" w:rsidR="00CE4786" w:rsidRDefault="00CE47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9C671" w14:textId="77777777" w:rsidR="00CE4786" w:rsidRDefault="00CE4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2AA"/>
    <w:multiLevelType w:val="hybridMultilevel"/>
    <w:tmpl w:val="54DC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17"/>
    <w:rsid w:val="0000132B"/>
    <w:rsid w:val="00011685"/>
    <w:rsid w:val="00017319"/>
    <w:rsid w:val="00037C49"/>
    <w:rsid w:val="00047194"/>
    <w:rsid w:val="00050960"/>
    <w:rsid w:val="000667EB"/>
    <w:rsid w:val="000949B1"/>
    <w:rsid w:val="000A2886"/>
    <w:rsid w:val="000A6FF0"/>
    <w:rsid w:val="000A782C"/>
    <w:rsid w:val="000B7FC7"/>
    <w:rsid w:val="000C293E"/>
    <w:rsid w:val="000E2D40"/>
    <w:rsid w:val="000E7B6F"/>
    <w:rsid w:val="000F7599"/>
    <w:rsid w:val="00111502"/>
    <w:rsid w:val="00115140"/>
    <w:rsid w:val="0011753A"/>
    <w:rsid w:val="00122D70"/>
    <w:rsid w:val="00127FF8"/>
    <w:rsid w:val="0013338F"/>
    <w:rsid w:val="00137A3B"/>
    <w:rsid w:val="00150E78"/>
    <w:rsid w:val="0015460B"/>
    <w:rsid w:val="00155773"/>
    <w:rsid w:val="00175F79"/>
    <w:rsid w:val="001855A7"/>
    <w:rsid w:val="00186E33"/>
    <w:rsid w:val="001C7EAD"/>
    <w:rsid w:val="001D3D22"/>
    <w:rsid w:val="001D646C"/>
    <w:rsid w:val="001D6524"/>
    <w:rsid w:val="001E733D"/>
    <w:rsid w:val="00201E1C"/>
    <w:rsid w:val="00202F1E"/>
    <w:rsid w:val="00205AD4"/>
    <w:rsid w:val="00212F79"/>
    <w:rsid w:val="002365D3"/>
    <w:rsid w:val="002371E5"/>
    <w:rsid w:val="00246769"/>
    <w:rsid w:val="00263EC8"/>
    <w:rsid w:val="002660D4"/>
    <w:rsid w:val="002834D5"/>
    <w:rsid w:val="0028398A"/>
    <w:rsid w:val="00283D67"/>
    <w:rsid w:val="0028794A"/>
    <w:rsid w:val="002917A3"/>
    <w:rsid w:val="002B0A21"/>
    <w:rsid w:val="002C2E67"/>
    <w:rsid w:val="002C3CCA"/>
    <w:rsid w:val="002D1945"/>
    <w:rsid w:val="002D2268"/>
    <w:rsid w:val="002D2FEA"/>
    <w:rsid w:val="002E1251"/>
    <w:rsid w:val="002E43CE"/>
    <w:rsid w:val="002F13F5"/>
    <w:rsid w:val="0030587A"/>
    <w:rsid w:val="00312E9D"/>
    <w:rsid w:val="00324D63"/>
    <w:rsid w:val="003313E7"/>
    <w:rsid w:val="00335ED1"/>
    <w:rsid w:val="003375EC"/>
    <w:rsid w:val="003624F5"/>
    <w:rsid w:val="003753E2"/>
    <w:rsid w:val="00393F06"/>
    <w:rsid w:val="003A58BC"/>
    <w:rsid w:val="003C1A71"/>
    <w:rsid w:val="003C490D"/>
    <w:rsid w:val="004059A5"/>
    <w:rsid w:val="004217C1"/>
    <w:rsid w:val="00461986"/>
    <w:rsid w:val="00472FE9"/>
    <w:rsid w:val="004775ED"/>
    <w:rsid w:val="00477CFF"/>
    <w:rsid w:val="00492A50"/>
    <w:rsid w:val="00493710"/>
    <w:rsid w:val="004B643B"/>
    <w:rsid w:val="004C4E1C"/>
    <w:rsid w:val="004F3C8E"/>
    <w:rsid w:val="00504FA1"/>
    <w:rsid w:val="00513346"/>
    <w:rsid w:val="00515B8D"/>
    <w:rsid w:val="00531765"/>
    <w:rsid w:val="00541A03"/>
    <w:rsid w:val="00562C73"/>
    <w:rsid w:val="00565DED"/>
    <w:rsid w:val="0058080A"/>
    <w:rsid w:val="0059427B"/>
    <w:rsid w:val="00595BA2"/>
    <w:rsid w:val="005A6869"/>
    <w:rsid w:val="005C6B46"/>
    <w:rsid w:val="00605C08"/>
    <w:rsid w:val="0061170A"/>
    <w:rsid w:val="00612EDA"/>
    <w:rsid w:val="0062720E"/>
    <w:rsid w:val="00633392"/>
    <w:rsid w:val="0065142B"/>
    <w:rsid w:val="006611F8"/>
    <w:rsid w:val="006633B6"/>
    <w:rsid w:val="00681DC0"/>
    <w:rsid w:val="00682A70"/>
    <w:rsid w:val="00690882"/>
    <w:rsid w:val="00691832"/>
    <w:rsid w:val="00697D4C"/>
    <w:rsid w:val="00697F10"/>
    <w:rsid w:val="006A284F"/>
    <w:rsid w:val="006C1410"/>
    <w:rsid w:val="006D048A"/>
    <w:rsid w:val="006D0ACC"/>
    <w:rsid w:val="006D3A4D"/>
    <w:rsid w:val="006E0F17"/>
    <w:rsid w:val="006E4CE9"/>
    <w:rsid w:val="006F2FE9"/>
    <w:rsid w:val="00706F05"/>
    <w:rsid w:val="007321E2"/>
    <w:rsid w:val="00734A9B"/>
    <w:rsid w:val="00747FB8"/>
    <w:rsid w:val="007538A8"/>
    <w:rsid w:val="00767EB8"/>
    <w:rsid w:val="00771FFE"/>
    <w:rsid w:val="007809E6"/>
    <w:rsid w:val="00781263"/>
    <w:rsid w:val="00782BC5"/>
    <w:rsid w:val="007879EA"/>
    <w:rsid w:val="00787E9F"/>
    <w:rsid w:val="007A3DC6"/>
    <w:rsid w:val="007C00E6"/>
    <w:rsid w:val="007C6317"/>
    <w:rsid w:val="007F3D88"/>
    <w:rsid w:val="007F58EE"/>
    <w:rsid w:val="00835729"/>
    <w:rsid w:val="00837F63"/>
    <w:rsid w:val="00843F1C"/>
    <w:rsid w:val="008652F7"/>
    <w:rsid w:val="00876EFE"/>
    <w:rsid w:val="00881F57"/>
    <w:rsid w:val="00886949"/>
    <w:rsid w:val="00891769"/>
    <w:rsid w:val="008A01F9"/>
    <w:rsid w:val="008A4888"/>
    <w:rsid w:val="008B146E"/>
    <w:rsid w:val="008B2F9C"/>
    <w:rsid w:val="008F1871"/>
    <w:rsid w:val="008F47C6"/>
    <w:rsid w:val="008F6864"/>
    <w:rsid w:val="00917D46"/>
    <w:rsid w:val="00921D89"/>
    <w:rsid w:val="0093686F"/>
    <w:rsid w:val="00941851"/>
    <w:rsid w:val="00944B08"/>
    <w:rsid w:val="00946D92"/>
    <w:rsid w:val="009473BF"/>
    <w:rsid w:val="009530D5"/>
    <w:rsid w:val="009600B3"/>
    <w:rsid w:val="00975C95"/>
    <w:rsid w:val="0098335A"/>
    <w:rsid w:val="009B5313"/>
    <w:rsid w:val="009B71BA"/>
    <w:rsid w:val="009C0C21"/>
    <w:rsid w:val="009C7878"/>
    <w:rsid w:val="009D4D0F"/>
    <w:rsid w:val="009E0293"/>
    <w:rsid w:val="009E45B1"/>
    <w:rsid w:val="00A142B4"/>
    <w:rsid w:val="00A17E63"/>
    <w:rsid w:val="00A35DBB"/>
    <w:rsid w:val="00A47E4F"/>
    <w:rsid w:val="00A5141A"/>
    <w:rsid w:val="00A83384"/>
    <w:rsid w:val="00A844CC"/>
    <w:rsid w:val="00A910B7"/>
    <w:rsid w:val="00A92271"/>
    <w:rsid w:val="00A95B57"/>
    <w:rsid w:val="00A96E2C"/>
    <w:rsid w:val="00AA49A9"/>
    <w:rsid w:val="00AB584E"/>
    <w:rsid w:val="00AC08C2"/>
    <w:rsid w:val="00AC392F"/>
    <w:rsid w:val="00AC4870"/>
    <w:rsid w:val="00AD2F05"/>
    <w:rsid w:val="00AD533B"/>
    <w:rsid w:val="00AF0F7B"/>
    <w:rsid w:val="00AF43E6"/>
    <w:rsid w:val="00B04FCE"/>
    <w:rsid w:val="00B24418"/>
    <w:rsid w:val="00B52478"/>
    <w:rsid w:val="00B528BD"/>
    <w:rsid w:val="00B53F9D"/>
    <w:rsid w:val="00B650C8"/>
    <w:rsid w:val="00B67B7A"/>
    <w:rsid w:val="00B72BA6"/>
    <w:rsid w:val="00B737AB"/>
    <w:rsid w:val="00B75BCB"/>
    <w:rsid w:val="00B768F1"/>
    <w:rsid w:val="00B8089F"/>
    <w:rsid w:val="00BC1044"/>
    <w:rsid w:val="00BC1CE8"/>
    <w:rsid w:val="00BD43FB"/>
    <w:rsid w:val="00BE74EC"/>
    <w:rsid w:val="00BF10CB"/>
    <w:rsid w:val="00BF2FAA"/>
    <w:rsid w:val="00BF56EC"/>
    <w:rsid w:val="00C310D2"/>
    <w:rsid w:val="00C322ED"/>
    <w:rsid w:val="00C42249"/>
    <w:rsid w:val="00C42AD9"/>
    <w:rsid w:val="00C51B40"/>
    <w:rsid w:val="00C71DD6"/>
    <w:rsid w:val="00C7527C"/>
    <w:rsid w:val="00C76D0E"/>
    <w:rsid w:val="00C8182C"/>
    <w:rsid w:val="00C84647"/>
    <w:rsid w:val="00C92196"/>
    <w:rsid w:val="00CA09A8"/>
    <w:rsid w:val="00CD076C"/>
    <w:rsid w:val="00CE4786"/>
    <w:rsid w:val="00CF0ABD"/>
    <w:rsid w:val="00D24E62"/>
    <w:rsid w:val="00D25018"/>
    <w:rsid w:val="00D51277"/>
    <w:rsid w:val="00D812A0"/>
    <w:rsid w:val="00DC2464"/>
    <w:rsid w:val="00DD4F8F"/>
    <w:rsid w:val="00E1087D"/>
    <w:rsid w:val="00E24C4C"/>
    <w:rsid w:val="00E3033E"/>
    <w:rsid w:val="00E3707A"/>
    <w:rsid w:val="00E45F24"/>
    <w:rsid w:val="00E5745C"/>
    <w:rsid w:val="00E67B82"/>
    <w:rsid w:val="00E80AA5"/>
    <w:rsid w:val="00E81067"/>
    <w:rsid w:val="00EB49A1"/>
    <w:rsid w:val="00EC4C54"/>
    <w:rsid w:val="00ED2C38"/>
    <w:rsid w:val="00ED5A17"/>
    <w:rsid w:val="00ED5D85"/>
    <w:rsid w:val="00ED7084"/>
    <w:rsid w:val="00EE21F3"/>
    <w:rsid w:val="00EE65B5"/>
    <w:rsid w:val="00EE6D33"/>
    <w:rsid w:val="00EF7C08"/>
    <w:rsid w:val="00F27483"/>
    <w:rsid w:val="00F43A03"/>
    <w:rsid w:val="00F645FA"/>
    <w:rsid w:val="00F70986"/>
    <w:rsid w:val="00F73282"/>
    <w:rsid w:val="00F747F0"/>
    <w:rsid w:val="00FA0555"/>
    <w:rsid w:val="00FB2463"/>
    <w:rsid w:val="00FC2C9E"/>
    <w:rsid w:val="00FD03BE"/>
    <w:rsid w:val="00FD3D09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1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35D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D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35D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30D5"/>
    <w:pPr>
      <w:spacing w:after="0" w:line="240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530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530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3E"/>
  </w:style>
  <w:style w:type="paragraph" w:styleId="Footer">
    <w:name w:val="footer"/>
    <w:basedOn w:val="Normal"/>
    <w:link w:val="FooterChar"/>
    <w:uiPriority w:val="99"/>
    <w:unhideWhenUsed/>
    <w:rsid w:val="000C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3E"/>
  </w:style>
  <w:style w:type="character" w:styleId="CommentReference">
    <w:name w:val="annotation reference"/>
    <w:basedOn w:val="DefaultParagraphFont"/>
    <w:uiPriority w:val="99"/>
    <w:semiHidden/>
    <w:unhideWhenUsed/>
    <w:rsid w:val="006D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A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4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35D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D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35D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30D5"/>
    <w:pPr>
      <w:spacing w:after="0" w:line="240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530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530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3E"/>
  </w:style>
  <w:style w:type="paragraph" w:styleId="Footer">
    <w:name w:val="footer"/>
    <w:basedOn w:val="Normal"/>
    <w:link w:val="FooterChar"/>
    <w:uiPriority w:val="99"/>
    <w:unhideWhenUsed/>
    <w:rsid w:val="000C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3E"/>
  </w:style>
  <w:style w:type="character" w:styleId="CommentReference">
    <w:name w:val="annotation reference"/>
    <w:basedOn w:val="DefaultParagraphFont"/>
    <w:uiPriority w:val="99"/>
    <w:semiHidden/>
    <w:unhideWhenUsed/>
    <w:rsid w:val="006D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A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1462</Words>
  <Characters>7692</Characters>
  <Application>Microsoft Office Word</Application>
  <DocSecurity>0</DocSecurity>
  <Lines>122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2016-09-20T21:25:00Z</cp:lastPrinted>
  <dcterms:created xsi:type="dcterms:W3CDTF">2016-09-20T21:32:00Z</dcterms:created>
  <dcterms:modified xsi:type="dcterms:W3CDTF">2016-09-20T21:32:00Z</dcterms:modified>
  <cp:category> </cp:category>
  <cp:contentStatus> </cp:contentStatus>
</cp:coreProperties>
</file>