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235E4" w14:textId="589DA548" w:rsidR="00EB1C1E" w:rsidRPr="00E445D8" w:rsidRDefault="00824149" w:rsidP="00EB1C1E">
      <w:pPr>
        <w:jc w:val="center"/>
        <w:rPr>
          <w:rFonts w:ascii="Times New Roman" w:hAnsi="Times New Roman" w:cs="Times New Roman"/>
          <w:color w:val="548DD4" w:themeColor="text2" w:themeTint="99"/>
          <w:sz w:val="112"/>
          <w:szCs w:val="112"/>
        </w:rPr>
      </w:pPr>
      <w:bookmarkStart w:id="0" w:name="_GoBack"/>
      <w:bookmarkEnd w:id="0"/>
      <w:r w:rsidRPr="00E445D8">
        <w:rPr>
          <w:rFonts w:ascii="Times New Roman" w:hAnsi="Times New Roman" w:cs="Times New Roman"/>
          <w:color w:val="548DD4" w:themeColor="text2" w:themeTint="99"/>
          <w:sz w:val="112"/>
          <w:szCs w:val="112"/>
        </w:rPr>
        <w:t xml:space="preserve">Working Toward </w:t>
      </w:r>
      <w:r w:rsidR="00EB1C1E" w:rsidRPr="00E445D8">
        <w:rPr>
          <w:rFonts w:ascii="Times New Roman" w:hAnsi="Times New Roman" w:cs="Times New Roman"/>
          <w:color w:val="548DD4" w:themeColor="text2" w:themeTint="99"/>
          <w:sz w:val="112"/>
          <w:szCs w:val="112"/>
        </w:rPr>
        <w:t>Mobility Fund II</w:t>
      </w:r>
      <w:r w:rsidRPr="00E445D8">
        <w:rPr>
          <w:rFonts w:ascii="Times New Roman" w:hAnsi="Times New Roman" w:cs="Times New Roman"/>
          <w:color w:val="548DD4" w:themeColor="text2" w:themeTint="99"/>
          <w:sz w:val="112"/>
          <w:szCs w:val="112"/>
        </w:rPr>
        <w:t>:</w:t>
      </w:r>
      <w:r w:rsidR="00EB1C1E" w:rsidRPr="00E445D8">
        <w:rPr>
          <w:rFonts w:ascii="Times New Roman" w:hAnsi="Times New Roman" w:cs="Times New Roman"/>
          <w:color w:val="548DD4" w:themeColor="text2" w:themeTint="99"/>
          <w:sz w:val="112"/>
          <w:szCs w:val="112"/>
        </w:rPr>
        <w:t xml:space="preserve"> </w:t>
      </w:r>
      <w:r w:rsidRPr="00E445D8">
        <w:rPr>
          <w:rFonts w:ascii="Times New Roman" w:hAnsi="Times New Roman" w:cs="Times New Roman"/>
          <w:color w:val="548DD4" w:themeColor="text2" w:themeTint="99"/>
          <w:sz w:val="112"/>
          <w:szCs w:val="112"/>
        </w:rPr>
        <w:t xml:space="preserve">Mobile </w:t>
      </w:r>
      <w:r w:rsidR="001C1FA8" w:rsidRPr="00E445D8">
        <w:rPr>
          <w:rFonts w:ascii="Times New Roman" w:hAnsi="Times New Roman" w:cs="Times New Roman"/>
          <w:color w:val="548DD4" w:themeColor="text2" w:themeTint="99"/>
          <w:sz w:val="112"/>
          <w:szCs w:val="112"/>
        </w:rPr>
        <w:t xml:space="preserve">Broadband </w:t>
      </w:r>
      <w:r w:rsidRPr="00E445D8">
        <w:rPr>
          <w:rFonts w:ascii="Times New Roman" w:hAnsi="Times New Roman" w:cs="Times New Roman"/>
          <w:color w:val="548DD4" w:themeColor="text2" w:themeTint="99"/>
          <w:sz w:val="112"/>
          <w:szCs w:val="112"/>
        </w:rPr>
        <w:t xml:space="preserve">Coverage </w:t>
      </w:r>
      <w:r w:rsidR="00EB1C1E" w:rsidRPr="00E445D8">
        <w:rPr>
          <w:rFonts w:ascii="Times New Roman" w:hAnsi="Times New Roman" w:cs="Times New Roman"/>
          <w:color w:val="548DD4" w:themeColor="text2" w:themeTint="99"/>
          <w:sz w:val="112"/>
          <w:szCs w:val="112"/>
        </w:rPr>
        <w:t xml:space="preserve">Data and Analysis </w:t>
      </w:r>
    </w:p>
    <w:p w14:paraId="6CFC879D" w14:textId="77777777" w:rsidR="005854CA" w:rsidRPr="00E445D8" w:rsidRDefault="005854CA" w:rsidP="00EB1C1E">
      <w:pPr>
        <w:jc w:val="center"/>
        <w:rPr>
          <w:rFonts w:ascii="Times New Roman" w:hAnsi="Times New Roman" w:cs="Times New Roman"/>
          <w:color w:val="548DD4" w:themeColor="text2" w:themeTint="99"/>
          <w:sz w:val="48"/>
          <w:szCs w:val="48"/>
        </w:rPr>
      </w:pPr>
    </w:p>
    <w:p w14:paraId="2EEB72EB" w14:textId="77777777" w:rsidR="005854CA" w:rsidRPr="00E445D8" w:rsidRDefault="005854CA" w:rsidP="00EB1C1E">
      <w:pPr>
        <w:jc w:val="center"/>
        <w:rPr>
          <w:rFonts w:ascii="Times New Roman" w:hAnsi="Times New Roman" w:cs="Times New Roman"/>
          <w:color w:val="548DD4" w:themeColor="text2" w:themeTint="99"/>
          <w:sz w:val="48"/>
          <w:szCs w:val="48"/>
        </w:rPr>
      </w:pPr>
    </w:p>
    <w:p w14:paraId="19A475F8" w14:textId="77777777" w:rsidR="005854CA" w:rsidRPr="00E445D8" w:rsidRDefault="005854CA" w:rsidP="00EB1C1E">
      <w:pPr>
        <w:jc w:val="center"/>
        <w:rPr>
          <w:rFonts w:ascii="Times New Roman" w:hAnsi="Times New Roman" w:cs="Times New Roman"/>
          <w:color w:val="548DD4" w:themeColor="text2" w:themeTint="99"/>
          <w:sz w:val="48"/>
          <w:szCs w:val="48"/>
        </w:rPr>
      </w:pPr>
    </w:p>
    <w:p w14:paraId="45AFEA94" w14:textId="5676A845" w:rsidR="00EB1C1E" w:rsidRPr="00E445D8" w:rsidRDefault="005854CA" w:rsidP="00EB1C1E">
      <w:pPr>
        <w:jc w:val="center"/>
        <w:rPr>
          <w:rFonts w:ascii="Times New Roman" w:hAnsi="Times New Roman" w:cs="Times New Roman"/>
          <w:color w:val="548DD4" w:themeColor="text2" w:themeTint="99"/>
          <w:sz w:val="48"/>
          <w:szCs w:val="48"/>
        </w:rPr>
      </w:pPr>
      <w:r w:rsidRPr="00E445D8">
        <w:rPr>
          <w:rFonts w:ascii="Times New Roman" w:hAnsi="Times New Roman" w:cs="Times New Roman"/>
          <w:color w:val="548DD4" w:themeColor="text2" w:themeTint="99"/>
          <w:sz w:val="48"/>
          <w:szCs w:val="48"/>
        </w:rPr>
        <w:t>Wireless Telecommunications Bureau</w:t>
      </w:r>
    </w:p>
    <w:p w14:paraId="08C70E8E" w14:textId="7B9A9FA9" w:rsidR="00EB1C1E" w:rsidRPr="00E445D8" w:rsidRDefault="001C1FA8" w:rsidP="00EB1C1E">
      <w:pPr>
        <w:jc w:val="center"/>
        <w:rPr>
          <w:rFonts w:ascii="Times New Roman" w:hAnsi="Times New Roman" w:cs="Times New Roman"/>
          <w:color w:val="548DD4" w:themeColor="text2" w:themeTint="99"/>
          <w:sz w:val="96"/>
          <w:szCs w:val="96"/>
        </w:rPr>
      </w:pPr>
      <w:r w:rsidRPr="00E445D8">
        <w:rPr>
          <w:rFonts w:ascii="Times New Roman" w:hAnsi="Times New Roman" w:cs="Times New Roman"/>
          <w:color w:val="548DD4" w:themeColor="text2" w:themeTint="99"/>
          <w:sz w:val="96"/>
          <w:szCs w:val="96"/>
        </w:rPr>
        <w:t>September</w:t>
      </w:r>
      <w:r w:rsidR="00F305FA" w:rsidRPr="00E445D8">
        <w:rPr>
          <w:rFonts w:ascii="Times New Roman" w:hAnsi="Times New Roman" w:cs="Times New Roman"/>
          <w:color w:val="548DD4" w:themeColor="text2" w:themeTint="99"/>
          <w:sz w:val="96"/>
          <w:szCs w:val="96"/>
        </w:rPr>
        <w:t xml:space="preserve"> 30</w:t>
      </w:r>
      <w:r w:rsidR="00EB1C1E" w:rsidRPr="00E445D8">
        <w:rPr>
          <w:rFonts w:ascii="Times New Roman" w:hAnsi="Times New Roman" w:cs="Times New Roman"/>
          <w:color w:val="548DD4" w:themeColor="text2" w:themeTint="99"/>
          <w:sz w:val="96"/>
          <w:szCs w:val="96"/>
        </w:rPr>
        <w:t>, 2016</w:t>
      </w:r>
    </w:p>
    <w:sdt>
      <w:sdtPr>
        <w:rPr>
          <w:rFonts w:ascii="Times New Roman" w:eastAsiaTheme="minorHAnsi" w:hAnsi="Times New Roman" w:cs="Times New Roman"/>
          <w:color w:val="auto"/>
          <w:sz w:val="28"/>
          <w:szCs w:val="28"/>
        </w:rPr>
        <w:id w:val="-63579738"/>
        <w:docPartObj>
          <w:docPartGallery w:val="Table of Contents"/>
          <w:docPartUnique/>
        </w:docPartObj>
      </w:sdtPr>
      <w:sdtEndPr>
        <w:rPr>
          <w:rFonts w:eastAsiaTheme="minorEastAsia"/>
          <w:b/>
          <w:bCs/>
          <w:noProof/>
        </w:rPr>
      </w:sdtEndPr>
      <w:sdtContent>
        <w:p w14:paraId="4BFED35B" w14:textId="77777777" w:rsidR="00EB1C1E" w:rsidRPr="005C4FE2" w:rsidRDefault="00EB1C1E" w:rsidP="00EB1C1E">
          <w:pPr>
            <w:pStyle w:val="TOCHeading"/>
            <w:rPr>
              <w:rFonts w:ascii="Times New Roman" w:eastAsiaTheme="minorHAnsi" w:hAnsi="Times New Roman" w:cs="Times New Roman"/>
              <w:color w:val="auto"/>
              <w:sz w:val="28"/>
              <w:szCs w:val="28"/>
            </w:rPr>
          </w:pPr>
          <w:r w:rsidRPr="00CF4CA6">
            <w:rPr>
              <w:rFonts w:ascii="Times New Roman" w:hAnsi="Times New Roman" w:cs="Times New Roman"/>
            </w:rPr>
            <w:t>Table of Contents</w:t>
          </w:r>
        </w:p>
        <w:p w14:paraId="09FF3104" w14:textId="77777777" w:rsidR="00EB1C1E" w:rsidRPr="00880F94" w:rsidRDefault="00EB1C1E" w:rsidP="0094758B">
          <w:pPr>
            <w:ind w:left="720" w:hanging="720"/>
            <w:rPr>
              <w:rFonts w:ascii="Times New Roman" w:hAnsi="Times New Roman" w:cs="Times New Roman"/>
              <w:color w:val="17365D" w:themeColor="text2" w:themeShade="BF"/>
              <w:sz w:val="32"/>
              <w:szCs w:val="32"/>
            </w:rPr>
          </w:pPr>
        </w:p>
        <w:p w14:paraId="0A3129A5" w14:textId="77777777" w:rsidR="00C05300" w:rsidRDefault="00EB1C1E">
          <w:pPr>
            <w:pStyle w:val="TOC1"/>
            <w:rPr>
              <w:rFonts w:cstheme="minorBidi"/>
              <w:noProof/>
              <w:sz w:val="22"/>
              <w:szCs w:val="22"/>
            </w:rPr>
          </w:pPr>
          <w:r w:rsidRPr="00193AA9">
            <w:rPr>
              <w:rFonts w:ascii="Times New Roman" w:hAnsi="Times New Roman"/>
              <w:color w:val="17365D" w:themeColor="text2" w:themeShade="BF"/>
              <w:sz w:val="32"/>
              <w:szCs w:val="32"/>
            </w:rPr>
            <w:fldChar w:fldCharType="begin"/>
          </w:r>
          <w:r w:rsidRPr="00193AA9">
            <w:rPr>
              <w:rFonts w:ascii="Times New Roman" w:hAnsi="Times New Roman"/>
              <w:color w:val="17365D" w:themeColor="text2" w:themeShade="BF"/>
              <w:sz w:val="32"/>
              <w:szCs w:val="32"/>
            </w:rPr>
            <w:instrText xml:space="preserve"> TOC \o "1-3" \h \z \u </w:instrText>
          </w:r>
          <w:r w:rsidRPr="00193AA9">
            <w:rPr>
              <w:rFonts w:ascii="Times New Roman" w:hAnsi="Times New Roman"/>
              <w:color w:val="17365D" w:themeColor="text2" w:themeShade="BF"/>
              <w:sz w:val="32"/>
              <w:szCs w:val="32"/>
            </w:rPr>
            <w:fldChar w:fldCharType="separate"/>
          </w:r>
          <w:hyperlink w:anchor="_Toc463007279" w:history="1">
            <w:r w:rsidR="00C05300" w:rsidRPr="006C1AFC">
              <w:rPr>
                <w:rStyle w:val="Hyperlink"/>
                <w:rFonts w:eastAsia="Times New Roman"/>
                <w:noProof/>
                <w:snapToGrid w:val="0"/>
              </w:rPr>
              <w:t>I.</w:t>
            </w:r>
            <w:r w:rsidR="00C05300">
              <w:rPr>
                <w:rFonts w:cstheme="minorBidi"/>
                <w:noProof/>
                <w:sz w:val="22"/>
                <w:szCs w:val="22"/>
              </w:rPr>
              <w:tab/>
            </w:r>
            <w:r w:rsidR="00C05300" w:rsidRPr="006C1AFC">
              <w:rPr>
                <w:rStyle w:val="Hyperlink"/>
                <w:rFonts w:ascii="Times New Roman" w:eastAsia="Times New Roman" w:hAnsi="Times New Roman"/>
                <w:noProof/>
                <w:snapToGrid w:val="0"/>
              </w:rPr>
              <w:t>Introduction</w:t>
            </w:r>
            <w:r w:rsidR="00C05300">
              <w:rPr>
                <w:noProof/>
                <w:webHidden/>
              </w:rPr>
              <w:tab/>
            </w:r>
            <w:r w:rsidR="00C05300">
              <w:rPr>
                <w:noProof/>
                <w:webHidden/>
              </w:rPr>
              <w:fldChar w:fldCharType="begin"/>
            </w:r>
            <w:r w:rsidR="00C05300">
              <w:rPr>
                <w:noProof/>
                <w:webHidden/>
              </w:rPr>
              <w:instrText xml:space="preserve"> PAGEREF _Toc463007279 \h </w:instrText>
            </w:r>
            <w:r w:rsidR="00C05300">
              <w:rPr>
                <w:noProof/>
                <w:webHidden/>
              </w:rPr>
            </w:r>
            <w:r w:rsidR="00C05300">
              <w:rPr>
                <w:noProof/>
                <w:webHidden/>
              </w:rPr>
              <w:fldChar w:fldCharType="separate"/>
            </w:r>
            <w:r w:rsidR="00C05300">
              <w:rPr>
                <w:noProof/>
                <w:webHidden/>
              </w:rPr>
              <w:t>1</w:t>
            </w:r>
            <w:r w:rsidR="00C05300">
              <w:rPr>
                <w:noProof/>
                <w:webHidden/>
              </w:rPr>
              <w:fldChar w:fldCharType="end"/>
            </w:r>
          </w:hyperlink>
        </w:p>
        <w:p w14:paraId="1B17665A" w14:textId="77777777" w:rsidR="00C05300" w:rsidRDefault="00243406">
          <w:pPr>
            <w:pStyle w:val="TOC1"/>
            <w:rPr>
              <w:rFonts w:cstheme="minorBidi"/>
              <w:noProof/>
              <w:sz w:val="22"/>
              <w:szCs w:val="22"/>
            </w:rPr>
          </w:pPr>
          <w:hyperlink w:anchor="_Toc463007280" w:history="1">
            <w:r w:rsidR="00C05300" w:rsidRPr="006C1AFC">
              <w:rPr>
                <w:rStyle w:val="Hyperlink"/>
                <w:rFonts w:eastAsia="Times New Roman"/>
                <w:noProof/>
                <w:snapToGrid w:val="0"/>
              </w:rPr>
              <w:t>II.</w:t>
            </w:r>
            <w:r w:rsidR="00C05300">
              <w:rPr>
                <w:rFonts w:cstheme="minorBidi"/>
                <w:noProof/>
                <w:sz w:val="22"/>
                <w:szCs w:val="22"/>
              </w:rPr>
              <w:tab/>
            </w:r>
            <w:r w:rsidR="00C05300" w:rsidRPr="006C1AFC">
              <w:rPr>
                <w:rStyle w:val="Hyperlink"/>
                <w:rFonts w:ascii="Times New Roman" w:eastAsia="Times New Roman" w:hAnsi="Times New Roman"/>
                <w:noProof/>
                <w:snapToGrid w:val="0"/>
              </w:rPr>
              <w:t>Underlying Data</w:t>
            </w:r>
            <w:r w:rsidR="00C05300">
              <w:rPr>
                <w:noProof/>
                <w:webHidden/>
              </w:rPr>
              <w:tab/>
            </w:r>
            <w:r w:rsidR="00C05300">
              <w:rPr>
                <w:noProof/>
                <w:webHidden/>
              </w:rPr>
              <w:fldChar w:fldCharType="begin"/>
            </w:r>
            <w:r w:rsidR="00C05300">
              <w:rPr>
                <w:noProof/>
                <w:webHidden/>
              </w:rPr>
              <w:instrText xml:space="preserve"> PAGEREF _Toc463007280 \h </w:instrText>
            </w:r>
            <w:r w:rsidR="00C05300">
              <w:rPr>
                <w:noProof/>
                <w:webHidden/>
              </w:rPr>
            </w:r>
            <w:r w:rsidR="00C05300">
              <w:rPr>
                <w:noProof/>
                <w:webHidden/>
              </w:rPr>
              <w:fldChar w:fldCharType="separate"/>
            </w:r>
            <w:r w:rsidR="00C05300">
              <w:rPr>
                <w:noProof/>
                <w:webHidden/>
              </w:rPr>
              <w:t>2</w:t>
            </w:r>
            <w:r w:rsidR="00C05300">
              <w:rPr>
                <w:noProof/>
                <w:webHidden/>
              </w:rPr>
              <w:fldChar w:fldCharType="end"/>
            </w:r>
          </w:hyperlink>
        </w:p>
        <w:p w14:paraId="6BBE4224" w14:textId="77777777" w:rsidR="00C05300" w:rsidRDefault="00243406">
          <w:pPr>
            <w:pStyle w:val="TOC1"/>
            <w:rPr>
              <w:rFonts w:cstheme="minorBidi"/>
              <w:noProof/>
              <w:sz w:val="22"/>
              <w:szCs w:val="22"/>
            </w:rPr>
          </w:pPr>
          <w:hyperlink w:anchor="_Toc463007281" w:history="1">
            <w:r w:rsidR="00C05300" w:rsidRPr="006C1AFC">
              <w:rPr>
                <w:rStyle w:val="Hyperlink"/>
                <w:rFonts w:eastAsia="Times New Roman"/>
                <w:noProof/>
              </w:rPr>
              <w:t>III.</w:t>
            </w:r>
            <w:r w:rsidR="00C05300">
              <w:rPr>
                <w:rFonts w:cstheme="minorBidi"/>
                <w:noProof/>
                <w:sz w:val="22"/>
                <w:szCs w:val="22"/>
              </w:rPr>
              <w:tab/>
            </w:r>
            <w:r w:rsidR="00C05300" w:rsidRPr="006C1AFC">
              <w:rPr>
                <w:rStyle w:val="Hyperlink"/>
                <w:rFonts w:ascii="Times New Roman" w:hAnsi="Times New Roman"/>
                <w:noProof/>
              </w:rPr>
              <w:t>Identifying Areas Within Census Blocks Lacking Unsubsidized 4G LTE</w:t>
            </w:r>
            <w:r w:rsidR="00C05300">
              <w:rPr>
                <w:noProof/>
                <w:webHidden/>
              </w:rPr>
              <w:tab/>
            </w:r>
            <w:r w:rsidR="00C05300">
              <w:rPr>
                <w:noProof/>
                <w:webHidden/>
              </w:rPr>
              <w:fldChar w:fldCharType="begin"/>
            </w:r>
            <w:r w:rsidR="00C05300">
              <w:rPr>
                <w:noProof/>
                <w:webHidden/>
              </w:rPr>
              <w:instrText xml:space="preserve"> PAGEREF _Toc463007281 \h </w:instrText>
            </w:r>
            <w:r w:rsidR="00C05300">
              <w:rPr>
                <w:noProof/>
                <w:webHidden/>
              </w:rPr>
            </w:r>
            <w:r w:rsidR="00C05300">
              <w:rPr>
                <w:noProof/>
                <w:webHidden/>
              </w:rPr>
              <w:fldChar w:fldCharType="separate"/>
            </w:r>
            <w:r w:rsidR="00C05300">
              <w:rPr>
                <w:noProof/>
                <w:webHidden/>
              </w:rPr>
              <w:t>9</w:t>
            </w:r>
            <w:r w:rsidR="00C05300">
              <w:rPr>
                <w:noProof/>
                <w:webHidden/>
              </w:rPr>
              <w:fldChar w:fldCharType="end"/>
            </w:r>
          </w:hyperlink>
        </w:p>
        <w:p w14:paraId="7CFC48CC" w14:textId="77777777" w:rsidR="00C05300" w:rsidRDefault="00243406">
          <w:pPr>
            <w:pStyle w:val="TOC1"/>
            <w:rPr>
              <w:rFonts w:cstheme="minorBidi"/>
              <w:noProof/>
              <w:sz w:val="22"/>
              <w:szCs w:val="22"/>
            </w:rPr>
          </w:pPr>
          <w:hyperlink w:anchor="_Toc463007282" w:history="1">
            <w:r w:rsidR="00C05300" w:rsidRPr="006C1AFC">
              <w:rPr>
                <w:rStyle w:val="Hyperlink"/>
                <w:rFonts w:asciiTheme="majorHAnsi" w:eastAsia="Times New Roman" w:hAnsiTheme="majorHAnsi" w:cstheme="majorBidi"/>
                <w:noProof/>
              </w:rPr>
              <w:t>IV.</w:t>
            </w:r>
            <w:r w:rsidR="00C05300">
              <w:rPr>
                <w:rFonts w:cstheme="minorBidi"/>
                <w:noProof/>
                <w:sz w:val="22"/>
                <w:szCs w:val="22"/>
              </w:rPr>
              <w:tab/>
            </w:r>
            <w:r w:rsidR="00C05300" w:rsidRPr="006C1AFC">
              <w:rPr>
                <w:rStyle w:val="Hyperlink"/>
                <w:rFonts w:ascii="Times New Roman" w:eastAsiaTheme="majorEastAsia" w:hAnsi="Times New Roman"/>
                <w:noProof/>
              </w:rPr>
              <w:t>Methodology for Allocating Legacy CETC  and MF-I Support Amounts</w:t>
            </w:r>
            <w:r w:rsidR="00C05300">
              <w:rPr>
                <w:noProof/>
                <w:webHidden/>
              </w:rPr>
              <w:tab/>
            </w:r>
            <w:r w:rsidR="00C05300">
              <w:rPr>
                <w:noProof/>
                <w:webHidden/>
              </w:rPr>
              <w:fldChar w:fldCharType="begin"/>
            </w:r>
            <w:r w:rsidR="00C05300">
              <w:rPr>
                <w:noProof/>
                <w:webHidden/>
              </w:rPr>
              <w:instrText xml:space="preserve"> PAGEREF _Toc463007282 \h </w:instrText>
            </w:r>
            <w:r w:rsidR="00C05300">
              <w:rPr>
                <w:noProof/>
                <w:webHidden/>
              </w:rPr>
            </w:r>
            <w:r w:rsidR="00C05300">
              <w:rPr>
                <w:noProof/>
                <w:webHidden/>
              </w:rPr>
              <w:fldChar w:fldCharType="separate"/>
            </w:r>
            <w:r w:rsidR="00C05300">
              <w:rPr>
                <w:noProof/>
                <w:webHidden/>
              </w:rPr>
              <w:t>21</w:t>
            </w:r>
            <w:r w:rsidR="00C05300">
              <w:rPr>
                <w:noProof/>
                <w:webHidden/>
              </w:rPr>
              <w:fldChar w:fldCharType="end"/>
            </w:r>
          </w:hyperlink>
        </w:p>
        <w:p w14:paraId="4728D5B6" w14:textId="77777777" w:rsidR="00EB1C1E" w:rsidRDefault="00EB1C1E" w:rsidP="0094758B">
          <w:pPr>
            <w:tabs>
              <w:tab w:val="left" w:pos="720"/>
              <w:tab w:val="right" w:leader="dot" w:pos="9720"/>
            </w:tabs>
            <w:ind w:left="720" w:hanging="720"/>
            <w:rPr>
              <w:rFonts w:ascii="Times New Roman" w:hAnsi="Times New Roman" w:cs="Times New Roman"/>
              <w:b/>
              <w:bCs/>
              <w:noProof/>
              <w:sz w:val="28"/>
              <w:szCs w:val="28"/>
            </w:rPr>
          </w:pPr>
          <w:r w:rsidRPr="00193AA9">
            <w:rPr>
              <w:rFonts w:ascii="Times New Roman" w:hAnsi="Times New Roman" w:cs="Times New Roman"/>
              <w:b/>
              <w:bCs/>
              <w:noProof/>
              <w:color w:val="17365D" w:themeColor="text2" w:themeShade="BF"/>
              <w:sz w:val="32"/>
              <w:szCs w:val="32"/>
            </w:rPr>
            <w:fldChar w:fldCharType="end"/>
          </w:r>
        </w:p>
      </w:sdtContent>
    </w:sdt>
    <w:p w14:paraId="21FEC415" w14:textId="77777777" w:rsidR="00FB40CF" w:rsidRDefault="00FB40CF" w:rsidP="00EB1C1E">
      <w:pPr>
        <w:spacing w:after="0" w:line="360" w:lineRule="auto"/>
        <w:contextualSpacing/>
        <w:rPr>
          <w:rFonts w:ascii="Times New Roman" w:hAnsi="Times New Roman" w:cs="Times New Roman"/>
          <w:sz w:val="24"/>
          <w:szCs w:val="24"/>
        </w:rPr>
        <w:sectPr w:rsidR="00FB40CF" w:rsidSect="00F42C5F">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1008" w:bottom="720" w:left="1008" w:header="720" w:footer="720" w:gutter="0"/>
          <w:cols w:space="720"/>
          <w:docGrid w:linePitch="360"/>
        </w:sectPr>
      </w:pPr>
    </w:p>
    <w:p w14:paraId="6F2088FD" w14:textId="4104B657" w:rsidR="00EB1C1E" w:rsidRPr="006A51A9" w:rsidRDefault="00EB1C1E" w:rsidP="00FB40CF">
      <w:pPr>
        <w:pStyle w:val="Heading1"/>
        <w:numPr>
          <w:ilvl w:val="0"/>
          <w:numId w:val="5"/>
        </w:numPr>
        <w:spacing w:after="240"/>
        <w:ind w:left="360"/>
        <w:rPr>
          <w:rFonts w:ascii="Times New Roman" w:eastAsia="Times New Roman" w:hAnsi="Times New Roman" w:cs="Times New Roman"/>
          <w:snapToGrid w:val="0"/>
        </w:rPr>
      </w:pPr>
      <w:bookmarkStart w:id="1" w:name="_Toc463007279"/>
      <w:r w:rsidRPr="006A51A9">
        <w:rPr>
          <w:rFonts w:ascii="Times New Roman" w:eastAsia="Times New Roman" w:hAnsi="Times New Roman" w:cs="Times New Roman"/>
          <w:snapToGrid w:val="0"/>
        </w:rPr>
        <w:lastRenderedPageBreak/>
        <w:t>Introduction</w:t>
      </w:r>
      <w:bookmarkEnd w:id="1"/>
    </w:p>
    <w:p w14:paraId="4E34321E" w14:textId="4F9DA6AE" w:rsidR="00EB1C1E" w:rsidRDefault="00EB1C1E" w:rsidP="00702196">
      <w:pPr>
        <w:pStyle w:val="ListParagraph"/>
        <w:numPr>
          <w:ilvl w:val="0"/>
          <w:numId w:val="16"/>
        </w:numPr>
        <w:spacing w:line="360" w:lineRule="auto"/>
        <w:ind w:hanging="450"/>
        <w:contextualSpacing w:val="0"/>
        <w:rPr>
          <w:rFonts w:ascii="Times New Roman" w:eastAsia="Times New Roman" w:hAnsi="Times New Roman" w:cs="Times New Roman"/>
          <w:snapToGrid w:val="0"/>
          <w:kern w:val="28"/>
          <w:sz w:val="24"/>
          <w:szCs w:val="24"/>
        </w:rPr>
      </w:pPr>
      <w:r>
        <w:rPr>
          <w:rFonts w:ascii="Times New Roman" w:eastAsia="Times New Roman" w:hAnsi="Times New Roman" w:cs="Times New Roman"/>
          <w:snapToGrid w:val="0"/>
          <w:kern w:val="28"/>
          <w:sz w:val="24"/>
          <w:szCs w:val="24"/>
        </w:rPr>
        <w:t>The primary goal of the Mobility Fund Phase II (</w:t>
      </w:r>
      <w:r w:rsidR="00B524E8">
        <w:rPr>
          <w:rFonts w:ascii="Times New Roman" w:eastAsia="Times New Roman" w:hAnsi="Times New Roman" w:cs="Times New Roman"/>
          <w:snapToGrid w:val="0"/>
          <w:kern w:val="28"/>
          <w:sz w:val="24"/>
          <w:szCs w:val="24"/>
        </w:rPr>
        <w:t>MF-II</w:t>
      </w:r>
      <w:r>
        <w:rPr>
          <w:rFonts w:ascii="Times New Roman" w:eastAsia="Times New Roman" w:hAnsi="Times New Roman" w:cs="Times New Roman"/>
          <w:snapToGrid w:val="0"/>
          <w:kern w:val="28"/>
          <w:sz w:val="24"/>
          <w:szCs w:val="24"/>
        </w:rPr>
        <w:t xml:space="preserve">) established by the Commission in the 2011 </w:t>
      </w:r>
      <w:r w:rsidR="00C95B45">
        <w:rPr>
          <w:rFonts w:ascii="Times New Roman" w:eastAsia="Times New Roman" w:hAnsi="Times New Roman" w:cs="Times New Roman"/>
          <w:i/>
          <w:snapToGrid w:val="0"/>
          <w:kern w:val="28"/>
          <w:sz w:val="24"/>
          <w:szCs w:val="24"/>
        </w:rPr>
        <w:t xml:space="preserve">USF/ICC </w:t>
      </w:r>
      <w:r w:rsidRPr="00E71F9C">
        <w:rPr>
          <w:rFonts w:ascii="Times New Roman" w:eastAsia="Times New Roman" w:hAnsi="Times New Roman" w:cs="Times New Roman"/>
          <w:i/>
          <w:snapToGrid w:val="0"/>
          <w:kern w:val="28"/>
          <w:sz w:val="24"/>
          <w:szCs w:val="24"/>
        </w:rPr>
        <w:t>Transformation Order</w:t>
      </w:r>
      <w:r>
        <w:rPr>
          <w:rFonts w:ascii="Times New Roman" w:eastAsia="Times New Roman" w:hAnsi="Times New Roman" w:cs="Times New Roman"/>
          <w:snapToGrid w:val="0"/>
          <w:kern w:val="28"/>
          <w:sz w:val="24"/>
          <w:szCs w:val="24"/>
        </w:rPr>
        <w:t xml:space="preserve"> is t</w:t>
      </w:r>
      <w:r w:rsidRPr="003C3357">
        <w:rPr>
          <w:rFonts w:ascii="Times New Roman" w:eastAsia="Times New Roman" w:hAnsi="Times New Roman" w:cs="Times New Roman"/>
          <w:snapToGrid w:val="0"/>
          <w:kern w:val="28"/>
          <w:sz w:val="24"/>
          <w:szCs w:val="24"/>
        </w:rPr>
        <w:t xml:space="preserve">o </w:t>
      </w:r>
      <w:r>
        <w:rPr>
          <w:rFonts w:ascii="Times New Roman" w:eastAsia="Times New Roman" w:hAnsi="Times New Roman" w:cs="Times New Roman"/>
          <w:snapToGrid w:val="0"/>
          <w:kern w:val="28"/>
          <w:sz w:val="24"/>
          <w:szCs w:val="24"/>
        </w:rPr>
        <w:t xml:space="preserve">provide ongoing support where needed to </w:t>
      </w:r>
      <w:r w:rsidRPr="003C3357">
        <w:rPr>
          <w:rFonts w:ascii="Times New Roman" w:eastAsia="Times New Roman" w:hAnsi="Times New Roman" w:cs="Times New Roman"/>
          <w:snapToGrid w:val="0"/>
          <w:kern w:val="28"/>
          <w:sz w:val="24"/>
          <w:szCs w:val="24"/>
        </w:rPr>
        <w:t xml:space="preserve">expand the availability of </w:t>
      </w:r>
      <w:r>
        <w:rPr>
          <w:rFonts w:ascii="Times New Roman" w:eastAsia="Times New Roman" w:hAnsi="Times New Roman" w:cs="Times New Roman"/>
          <w:snapToGrid w:val="0"/>
          <w:kern w:val="28"/>
          <w:sz w:val="24"/>
          <w:szCs w:val="24"/>
        </w:rPr>
        <w:t xml:space="preserve">mobile voice and broadband services in </w:t>
      </w:r>
      <w:r w:rsidRPr="003C3357">
        <w:rPr>
          <w:rFonts w:ascii="Times New Roman" w:eastAsia="Times New Roman" w:hAnsi="Times New Roman" w:cs="Times New Roman"/>
          <w:snapToGrid w:val="0"/>
          <w:kern w:val="28"/>
          <w:sz w:val="24"/>
          <w:szCs w:val="24"/>
        </w:rPr>
        <w:t>areas where co</w:t>
      </w:r>
      <w:r>
        <w:rPr>
          <w:rFonts w:ascii="Times New Roman" w:eastAsia="Times New Roman" w:hAnsi="Times New Roman" w:cs="Times New Roman"/>
          <w:snapToGrid w:val="0"/>
          <w:kern w:val="28"/>
          <w:sz w:val="24"/>
          <w:szCs w:val="24"/>
        </w:rPr>
        <w:t>nsumers live, work, and travel.</w:t>
      </w:r>
      <w:r>
        <w:rPr>
          <w:rStyle w:val="FootnoteReference"/>
          <w:rFonts w:eastAsia="Times New Roman" w:cs="Times New Roman"/>
          <w:snapToGrid w:val="0"/>
          <w:kern w:val="28"/>
          <w:szCs w:val="24"/>
        </w:rPr>
        <w:footnoteReference w:id="2"/>
      </w:r>
      <w:r>
        <w:rPr>
          <w:rFonts w:ascii="Times New Roman" w:eastAsia="Times New Roman" w:hAnsi="Times New Roman" w:cs="Times New Roman"/>
          <w:snapToGrid w:val="0"/>
          <w:kern w:val="28"/>
          <w:sz w:val="24"/>
          <w:szCs w:val="24"/>
        </w:rPr>
        <w:t xml:space="preserve">  </w:t>
      </w:r>
      <w:r w:rsidR="003259CD">
        <w:rPr>
          <w:rFonts w:ascii="Times New Roman" w:eastAsia="Times New Roman" w:hAnsi="Times New Roman" w:cs="Times New Roman"/>
          <w:snapToGrid w:val="0"/>
          <w:kern w:val="28"/>
          <w:sz w:val="24"/>
          <w:szCs w:val="24"/>
        </w:rPr>
        <w:t>Consistent with the principle of fiscal responsibility underlying its universal service reforms</w:t>
      </w:r>
      <w:r w:rsidR="009F6BF1">
        <w:rPr>
          <w:rFonts w:ascii="Times New Roman" w:eastAsia="Times New Roman" w:hAnsi="Times New Roman" w:cs="Times New Roman"/>
          <w:snapToGrid w:val="0"/>
          <w:kern w:val="28"/>
          <w:sz w:val="24"/>
          <w:szCs w:val="24"/>
        </w:rPr>
        <w:t>,</w:t>
      </w:r>
      <w:r>
        <w:rPr>
          <w:rFonts w:ascii="Times New Roman" w:eastAsia="Times New Roman" w:hAnsi="Times New Roman" w:cs="Times New Roman"/>
          <w:snapToGrid w:val="0"/>
          <w:kern w:val="28"/>
          <w:sz w:val="24"/>
          <w:szCs w:val="24"/>
        </w:rPr>
        <w:t xml:space="preserve"> the Commission proposed to identify areas that need ongoing support by excluding areas where service is provided without high</w:t>
      </w:r>
      <w:r w:rsidR="007F13A4">
        <w:rPr>
          <w:rFonts w:ascii="Times New Roman" w:eastAsia="Times New Roman" w:hAnsi="Times New Roman" w:cs="Times New Roman"/>
          <w:snapToGrid w:val="0"/>
          <w:kern w:val="28"/>
          <w:sz w:val="24"/>
          <w:szCs w:val="24"/>
        </w:rPr>
        <w:t>-</w:t>
      </w:r>
      <w:r>
        <w:rPr>
          <w:rFonts w:ascii="Times New Roman" w:eastAsia="Times New Roman" w:hAnsi="Times New Roman" w:cs="Times New Roman"/>
          <w:snapToGrid w:val="0"/>
          <w:kern w:val="28"/>
          <w:sz w:val="24"/>
          <w:szCs w:val="24"/>
        </w:rPr>
        <w:t xml:space="preserve">cost </w:t>
      </w:r>
      <w:r w:rsidR="00323E8E">
        <w:rPr>
          <w:rFonts w:ascii="Times New Roman" w:eastAsia="Times New Roman" w:hAnsi="Times New Roman" w:cs="Times New Roman"/>
          <w:snapToGrid w:val="0"/>
          <w:kern w:val="28"/>
          <w:sz w:val="24"/>
          <w:szCs w:val="24"/>
        </w:rPr>
        <w:t>support</w:t>
      </w:r>
      <w:r>
        <w:rPr>
          <w:rFonts w:ascii="Times New Roman" w:eastAsia="Times New Roman" w:hAnsi="Times New Roman" w:cs="Times New Roman"/>
          <w:snapToGrid w:val="0"/>
          <w:kern w:val="28"/>
          <w:sz w:val="24"/>
          <w:szCs w:val="24"/>
        </w:rPr>
        <w:t>.</w:t>
      </w:r>
      <w:r>
        <w:rPr>
          <w:rStyle w:val="FootnoteReference"/>
          <w:rFonts w:eastAsia="Times New Roman" w:cs="Times New Roman"/>
          <w:snapToGrid w:val="0"/>
          <w:kern w:val="28"/>
          <w:szCs w:val="24"/>
        </w:rPr>
        <w:footnoteReference w:id="3"/>
      </w:r>
      <w:r>
        <w:rPr>
          <w:rFonts w:ascii="Times New Roman" w:eastAsia="Times New Roman" w:hAnsi="Times New Roman" w:cs="Times New Roman"/>
          <w:snapToGrid w:val="0"/>
          <w:kern w:val="28"/>
          <w:sz w:val="24"/>
          <w:szCs w:val="24"/>
        </w:rPr>
        <w:t xml:space="preserve">  </w:t>
      </w:r>
      <w:r w:rsidR="001E5286">
        <w:rPr>
          <w:rFonts w:ascii="Times New Roman" w:eastAsia="Times New Roman" w:hAnsi="Times New Roman" w:cs="Times New Roman"/>
          <w:snapToGrid w:val="0"/>
          <w:kern w:val="28"/>
          <w:sz w:val="24"/>
          <w:szCs w:val="24"/>
        </w:rPr>
        <w:t>In 2014</w:t>
      </w:r>
      <w:r>
        <w:rPr>
          <w:rFonts w:ascii="Times New Roman" w:eastAsia="Times New Roman" w:hAnsi="Times New Roman" w:cs="Times New Roman"/>
          <w:snapToGrid w:val="0"/>
          <w:kern w:val="28"/>
          <w:sz w:val="24"/>
          <w:szCs w:val="24"/>
        </w:rPr>
        <w:t xml:space="preserve">, </w:t>
      </w:r>
      <w:r w:rsidR="00C41470">
        <w:rPr>
          <w:rFonts w:ascii="Times New Roman" w:eastAsia="Times New Roman" w:hAnsi="Times New Roman" w:cs="Times New Roman"/>
          <w:snapToGrid w:val="0"/>
          <w:kern w:val="28"/>
          <w:sz w:val="24"/>
          <w:szCs w:val="24"/>
        </w:rPr>
        <w:t xml:space="preserve">in light of changes that had occurred since 2011, </w:t>
      </w:r>
      <w:r>
        <w:rPr>
          <w:rFonts w:ascii="Times New Roman" w:eastAsia="Times New Roman" w:hAnsi="Times New Roman" w:cs="Times New Roman"/>
          <w:snapToGrid w:val="0"/>
          <w:kern w:val="28"/>
          <w:sz w:val="24"/>
          <w:szCs w:val="24"/>
        </w:rPr>
        <w:t xml:space="preserve">the Commission proposed that </w:t>
      </w:r>
      <w:r w:rsidR="00B524E8">
        <w:rPr>
          <w:rFonts w:ascii="Times New Roman" w:eastAsia="Times New Roman" w:hAnsi="Times New Roman" w:cs="Times New Roman"/>
          <w:snapToGrid w:val="0"/>
          <w:kern w:val="28"/>
          <w:sz w:val="24"/>
          <w:szCs w:val="24"/>
        </w:rPr>
        <w:t>MF-II</w:t>
      </w:r>
      <w:r>
        <w:rPr>
          <w:rFonts w:ascii="Times New Roman" w:eastAsia="Times New Roman" w:hAnsi="Times New Roman" w:cs="Times New Roman"/>
          <w:snapToGrid w:val="0"/>
          <w:kern w:val="28"/>
          <w:sz w:val="24"/>
          <w:szCs w:val="24"/>
        </w:rPr>
        <w:t xml:space="preserve"> should focus on </w:t>
      </w:r>
      <w:r w:rsidR="001E5286">
        <w:rPr>
          <w:rFonts w:ascii="Times New Roman" w:eastAsia="Times New Roman" w:hAnsi="Times New Roman" w:cs="Times New Roman"/>
          <w:snapToGrid w:val="0"/>
          <w:kern w:val="28"/>
          <w:sz w:val="24"/>
          <w:szCs w:val="24"/>
        </w:rPr>
        <w:t xml:space="preserve">expanding the availability of </w:t>
      </w:r>
      <w:r>
        <w:rPr>
          <w:rFonts w:ascii="Times New Roman" w:eastAsia="Times New Roman" w:hAnsi="Times New Roman" w:cs="Times New Roman"/>
          <w:snapToGrid w:val="0"/>
          <w:kern w:val="28"/>
          <w:sz w:val="24"/>
          <w:szCs w:val="24"/>
        </w:rPr>
        <w:t xml:space="preserve">4G </w:t>
      </w:r>
      <w:r w:rsidRPr="003C3357">
        <w:rPr>
          <w:rFonts w:ascii="Times New Roman" w:eastAsia="Times New Roman" w:hAnsi="Times New Roman" w:cs="Times New Roman"/>
          <w:snapToGrid w:val="0"/>
          <w:kern w:val="28"/>
          <w:sz w:val="24"/>
          <w:szCs w:val="24"/>
        </w:rPr>
        <w:t>LTE service</w:t>
      </w:r>
      <w:r>
        <w:rPr>
          <w:rFonts w:ascii="Times New Roman" w:eastAsia="Times New Roman" w:hAnsi="Times New Roman" w:cs="Times New Roman"/>
          <w:snapToGrid w:val="0"/>
          <w:kern w:val="28"/>
          <w:sz w:val="24"/>
          <w:szCs w:val="24"/>
        </w:rPr>
        <w:t xml:space="preserve"> and that areas eligible for </w:t>
      </w:r>
      <w:r w:rsidR="00B524E8">
        <w:rPr>
          <w:rFonts w:ascii="Times New Roman" w:eastAsia="Times New Roman" w:hAnsi="Times New Roman" w:cs="Times New Roman"/>
          <w:snapToGrid w:val="0"/>
          <w:kern w:val="28"/>
          <w:sz w:val="24"/>
          <w:szCs w:val="24"/>
        </w:rPr>
        <w:t>MF-II</w:t>
      </w:r>
      <w:r>
        <w:rPr>
          <w:rFonts w:ascii="Times New Roman" w:eastAsia="Times New Roman" w:hAnsi="Times New Roman" w:cs="Times New Roman"/>
          <w:snapToGrid w:val="0"/>
          <w:kern w:val="28"/>
          <w:sz w:val="24"/>
          <w:szCs w:val="24"/>
        </w:rPr>
        <w:t xml:space="preserve"> support should be identified based on data reported on the Commission’s </w:t>
      </w:r>
      <w:r w:rsidR="003259CD">
        <w:rPr>
          <w:rFonts w:ascii="Times New Roman" w:eastAsia="Times New Roman" w:hAnsi="Times New Roman" w:cs="Times New Roman"/>
          <w:snapToGrid w:val="0"/>
          <w:kern w:val="28"/>
          <w:sz w:val="24"/>
          <w:szCs w:val="24"/>
        </w:rPr>
        <w:t xml:space="preserve">new </w:t>
      </w:r>
      <w:r>
        <w:rPr>
          <w:rFonts w:ascii="Times New Roman" w:eastAsia="Times New Roman" w:hAnsi="Times New Roman" w:cs="Times New Roman"/>
          <w:snapToGrid w:val="0"/>
          <w:kern w:val="28"/>
          <w:sz w:val="24"/>
          <w:szCs w:val="24"/>
        </w:rPr>
        <w:t>Form 477.</w:t>
      </w:r>
      <w:r>
        <w:rPr>
          <w:rStyle w:val="FootnoteReference"/>
          <w:rFonts w:eastAsia="Times New Roman" w:cs="Times New Roman"/>
          <w:snapToGrid w:val="0"/>
          <w:kern w:val="28"/>
          <w:szCs w:val="24"/>
        </w:rPr>
        <w:footnoteReference w:id="4"/>
      </w:r>
      <w:r>
        <w:rPr>
          <w:rFonts w:ascii="Times New Roman" w:eastAsia="Times New Roman" w:hAnsi="Times New Roman" w:cs="Times New Roman"/>
          <w:snapToGrid w:val="0"/>
          <w:kern w:val="28"/>
          <w:sz w:val="24"/>
          <w:szCs w:val="24"/>
        </w:rPr>
        <w:t xml:space="preserve">  </w:t>
      </w:r>
    </w:p>
    <w:p w14:paraId="43738B6E" w14:textId="68B54FFD" w:rsidR="00EB1C1E" w:rsidRPr="007541F9" w:rsidRDefault="00A45A6F" w:rsidP="00702196">
      <w:pPr>
        <w:pStyle w:val="ListParagraph"/>
        <w:numPr>
          <w:ilvl w:val="0"/>
          <w:numId w:val="16"/>
        </w:numPr>
        <w:spacing w:line="360" w:lineRule="auto"/>
        <w:ind w:hanging="450"/>
        <w:contextualSpacing w:val="0"/>
        <w:rPr>
          <w:rFonts w:ascii="Times New Roman" w:eastAsia="Times New Roman" w:hAnsi="Times New Roman" w:cs="Times New Roman"/>
          <w:snapToGrid w:val="0"/>
          <w:kern w:val="28"/>
          <w:sz w:val="24"/>
          <w:szCs w:val="24"/>
        </w:rPr>
      </w:pPr>
      <w:r>
        <w:rPr>
          <w:rFonts w:ascii="Times New Roman" w:eastAsia="Times New Roman" w:hAnsi="Times New Roman" w:cs="Times New Roman"/>
          <w:snapToGrid w:val="0"/>
          <w:kern w:val="28"/>
          <w:sz w:val="24"/>
          <w:szCs w:val="24"/>
        </w:rPr>
        <w:t>T</w:t>
      </w:r>
      <w:r w:rsidR="00EB1C1E">
        <w:rPr>
          <w:rFonts w:ascii="Times New Roman" w:eastAsia="Times New Roman" w:hAnsi="Times New Roman" w:cs="Times New Roman"/>
          <w:snapToGrid w:val="0"/>
          <w:kern w:val="28"/>
          <w:sz w:val="24"/>
          <w:szCs w:val="24"/>
        </w:rPr>
        <w:t xml:space="preserve">his </w:t>
      </w:r>
      <w:r w:rsidR="001E5286">
        <w:rPr>
          <w:rFonts w:ascii="Times New Roman" w:eastAsia="Times New Roman" w:hAnsi="Times New Roman" w:cs="Times New Roman"/>
          <w:snapToGrid w:val="0"/>
          <w:kern w:val="28"/>
          <w:sz w:val="24"/>
          <w:szCs w:val="24"/>
        </w:rPr>
        <w:t xml:space="preserve">Report </w:t>
      </w:r>
      <w:r>
        <w:rPr>
          <w:rFonts w:ascii="Times New Roman" w:eastAsia="Times New Roman" w:hAnsi="Times New Roman" w:cs="Times New Roman"/>
          <w:snapToGrid w:val="0"/>
          <w:kern w:val="28"/>
          <w:sz w:val="24"/>
          <w:szCs w:val="24"/>
        </w:rPr>
        <w:t xml:space="preserve">reflects Commission staff work toward </w:t>
      </w:r>
      <w:r w:rsidR="00BA3D21">
        <w:rPr>
          <w:rFonts w:ascii="Times New Roman" w:eastAsia="Times New Roman" w:hAnsi="Times New Roman" w:cs="Times New Roman"/>
          <w:snapToGrid w:val="0"/>
          <w:kern w:val="28"/>
          <w:sz w:val="24"/>
          <w:szCs w:val="24"/>
        </w:rPr>
        <w:t>answering a number of</w:t>
      </w:r>
      <w:r>
        <w:rPr>
          <w:rFonts w:ascii="Times New Roman" w:eastAsia="Times New Roman" w:hAnsi="Times New Roman" w:cs="Times New Roman"/>
          <w:snapToGrid w:val="0"/>
          <w:kern w:val="28"/>
          <w:sz w:val="24"/>
          <w:szCs w:val="24"/>
        </w:rPr>
        <w:t xml:space="preserve"> threshold </w:t>
      </w:r>
      <w:r w:rsidR="00B524E8">
        <w:rPr>
          <w:rFonts w:ascii="Times New Roman" w:eastAsia="Times New Roman" w:hAnsi="Times New Roman" w:cs="Times New Roman"/>
          <w:snapToGrid w:val="0"/>
          <w:kern w:val="28"/>
          <w:sz w:val="24"/>
          <w:szCs w:val="24"/>
        </w:rPr>
        <w:t>MF-II</w:t>
      </w:r>
      <w:r>
        <w:rPr>
          <w:rFonts w:ascii="Times New Roman" w:eastAsia="Times New Roman" w:hAnsi="Times New Roman" w:cs="Times New Roman"/>
          <w:snapToGrid w:val="0"/>
          <w:kern w:val="28"/>
          <w:sz w:val="24"/>
          <w:szCs w:val="24"/>
        </w:rPr>
        <w:t xml:space="preserve"> </w:t>
      </w:r>
      <w:r w:rsidR="00BA3D21">
        <w:rPr>
          <w:rFonts w:ascii="Times New Roman" w:eastAsia="Times New Roman" w:hAnsi="Times New Roman" w:cs="Times New Roman"/>
          <w:snapToGrid w:val="0"/>
          <w:kern w:val="28"/>
          <w:sz w:val="24"/>
          <w:szCs w:val="24"/>
        </w:rPr>
        <w:t>questions</w:t>
      </w:r>
      <w:r>
        <w:rPr>
          <w:rFonts w:ascii="Times New Roman" w:eastAsia="Times New Roman" w:hAnsi="Times New Roman" w:cs="Times New Roman"/>
          <w:snapToGrid w:val="0"/>
          <w:kern w:val="28"/>
          <w:sz w:val="24"/>
          <w:szCs w:val="24"/>
        </w:rPr>
        <w:t xml:space="preserve">.  It </w:t>
      </w:r>
      <w:r w:rsidR="00EB1C1E">
        <w:rPr>
          <w:rFonts w:ascii="Times New Roman" w:eastAsia="Times New Roman" w:hAnsi="Times New Roman" w:cs="Times New Roman"/>
          <w:snapToGrid w:val="0"/>
          <w:kern w:val="28"/>
          <w:sz w:val="24"/>
          <w:szCs w:val="24"/>
        </w:rPr>
        <w:t>describes and analyzes data on mobile broadband coverage based on Form 477 submissions</w:t>
      </w:r>
      <w:r w:rsidR="001E5286">
        <w:rPr>
          <w:rFonts w:ascii="Times New Roman" w:eastAsia="Times New Roman" w:hAnsi="Times New Roman" w:cs="Times New Roman"/>
          <w:snapToGrid w:val="0"/>
          <w:kern w:val="28"/>
          <w:sz w:val="24"/>
          <w:szCs w:val="24"/>
        </w:rPr>
        <w:t>, which</w:t>
      </w:r>
      <w:r w:rsidR="00EB1C1E">
        <w:rPr>
          <w:rFonts w:ascii="Times New Roman" w:eastAsia="Times New Roman" w:hAnsi="Times New Roman" w:cs="Times New Roman"/>
          <w:snapToGrid w:val="0"/>
          <w:kern w:val="28"/>
          <w:sz w:val="24"/>
          <w:szCs w:val="24"/>
        </w:rPr>
        <w:t xml:space="preserve"> will enable the Commission to make fact-based decisions </w:t>
      </w:r>
      <w:r w:rsidR="00C95B45">
        <w:rPr>
          <w:rFonts w:ascii="Times New Roman" w:eastAsia="Times New Roman" w:hAnsi="Times New Roman" w:cs="Times New Roman"/>
          <w:snapToGrid w:val="0"/>
          <w:kern w:val="28"/>
          <w:sz w:val="24"/>
          <w:szCs w:val="24"/>
        </w:rPr>
        <w:t>regarding where and how high-cost support should be deployed through the Mobility Fund</w:t>
      </w:r>
      <w:r w:rsidR="00EB1C1E">
        <w:rPr>
          <w:rFonts w:ascii="Times New Roman" w:eastAsia="Times New Roman" w:hAnsi="Times New Roman" w:cs="Times New Roman"/>
          <w:snapToGrid w:val="0"/>
          <w:kern w:val="28"/>
          <w:sz w:val="24"/>
          <w:szCs w:val="24"/>
        </w:rPr>
        <w:t xml:space="preserve">.  In particular, </w:t>
      </w:r>
      <w:r w:rsidR="00BD2C01">
        <w:rPr>
          <w:rFonts w:ascii="Times New Roman" w:eastAsia="Times New Roman" w:hAnsi="Times New Roman" w:cs="Times New Roman"/>
          <w:snapToGrid w:val="0"/>
          <w:kern w:val="28"/>
          <w:sz w:val="24"/>
          <w:szCs w:val="24"/>
        </w:rPr>
        <w:t>staff has</w:t>
      </w:r>
      <w:r w:rsidR="00EB1C1E">
        <w:rPr>
          <w:rFonts w:ascii="Times New Roman" w:eastAsia="Times New Roman" w:hAnsi="Times New Roman" w:cs="Times New Roman"/>
          <w:snapToGrid w:val="0"/>
          <w:kern w:val="28"/>
          <w:sz w:val="24"/>
          <w:szCs w:val="24"/>
        </w:rPr>
        <w:t xml:space="preserve"> focused </w:t>
      </w:r>
      <w:r w:rsidR="00BD2C01">
        <w:rPr>
          <w:rFonts w:ascii="Times New Roman" w:eastAsia="Times New Roman" w:hAnsi="Times New Roman" w:cs="Times New Roman"/>
          <w:snapToGrid w:val="0"/>
          <w:kern w:val="28"/>
          <w:sz w:val="24"/>
          <w:szCs w:val="24"/>
        </w:rPr>
        <w:t>its</w:t>
      </w:r>
      <w:r w:rsidR="00EB1C1E">
        <w:rPr>
          <w:rFonts w:ascii="Times New Roman" w:eastAsia="Times New Roman" w:hAnsi="Times New Roman" w:cs="Times New Roman"/>
          <w:snapToGrid w:val="0"/>
          <w:kern w:val="28"/>
          <w:sz w:val="24"/>
          <w:szCs w:val="24"/>
        </w:rPr>
        <w:t xml:space="preserve"> efforts on analyzing the </w:t>
      </w:r>
      <w:r w:rsidR="009F6BF1">
        <w:rPr>
          <w:rFonts w:ascii="Times New Roman" w:eastAsia="Times New Roman" w:hAnsi="Times New Roman" w:cs="Times New Roman"/>
          <w:snapToGrid w:val="0"/>
          <w:kern w:val="28"/>
          <w:sz w:val="24"/>
          <w:szCs w:val="24"/>
        </w:rPr>
        <w:t xml:space="preserve">Form 477 </w:t>
      </w:r>
      <w:r w:rsidR="00EB1C1E">
        <w:rPr>
          <w:rFonts w:ascii="Times New Roman" w:eastAsia="Times New Roman" w:hAnsi="Times New Roman" w:cs="Times New Roman"/>
          <w:snapToGrid w:val="0"/>
          <w:kern w:val="28"/>
          <w:sz w:val="24"/>
          <w:szCs w:val="24"/>
        </w:rPr>
        <w:t xml:space="preserve">data to identify the specific areas that may require </w:t>
      </w:r>
      <w:r w:rsidR="00057561">
        <w:rPr>
          <w:rFonts w:ascii="Times New Roman" w:eastAsia="Times New Roman" w:hAnsi="Times New Roman" w:cs="Times New Roman"/>
          <w:snapToGrid w:val="0"/>
          <w:kern w:val="28"/>
          <w:sz w:val="24"/>
          <w:szCs w:val="24"/>
        </w:rPr>
        <w:t>support</w:t>
      </w:r>
      <w:r w:rsidR="00EB1C1E">
        <w:rPr>
          <w:rFonts w:ascii="Times New Roman" w:eastAsia="Times New Roman" w:hAnsi="Times New Roman" w:cs="Times New Roman"/>
          <w:snapToGrid w:val="0"/>
          <w:kern w:val="28"/>
          <w:sz w:val="24"/>
          <w:szCs w:val="24"/>
        </w:rPr>
        <w:t xml:space="preserve"> in</w:t>
      </w:r>
      <w:r w:rsidR="00D42D11">
        <w:rPr>
          <w:rFonts w:ascii="Times New Roman" w:eastAsia="Times New Roman" w:hAnsi="Times New Roman" w:cs="Times New Roman"/>
          <w:snapToGrid w:val="0"/>
          <w:kern w:val="28"/>
          <w:sz w:val="24"/>
          <w:szCs w:val="24"/>
        </w:rPr>
        <w:t xml:space="preserve"> order to have 4G LTE coverage.</w:t>
      </w:r>
      <w:r w:rsidR="00EB1C1E">
        <w:rPr>
          <w:rFonts w:ascii="Times New Roman" w:eastAsia="Times New Roman" w:hAnsi="Times New Roman" w:cs="Times New Roman"/>
          <w:snapToGrid w:val="0"/>
          <w:kern w:val="28"/>
          <w:sz w:val="24"/>
          <w:szCs w:val="24"/>
        </w:rPr>
        <w:t xml:space="preserve"> </w:t>
      </w:r>
      <w:r w:rsidR="001E5286">
        <w:rPr>
          <w:rFonts w:ascii="Times New Roman" w:eastAsia="Times New Roman" w:hAnsi="Times New Roman" w:cs="Times New Roman"/>
          <w:snapToGrid w:val="0"/>
          <w:kern w:val="28"/>
          <w:sz w:val="24"/>
          <w:szCs w:val="24"/>
        </w:rPr>
        <w:t xml:space="preserve"> </w:t>
      </w:r>
      <w:r w:rsidR="00C95B45">
        <w:rPr>
          <w:rFonts w:ascii="Times New Roman" w:eastAsia="Times New Roman" w:hAnsi="Times New Roman" w:cs="Times New Roman"/>
          <w:snapToGrid w:val="0"/>
          <w:kern w:val="28"/>
          <w:sz w:val="24"/>
          <w:szCs w:val="24"/>
        </w:rPr>
        <w:t>In accordance with</w:t>
      </w:r>
      <w:r w:rsidR="003259CD">
        <w:rPr>
          <w:rFonts w:ascii="Times New Roman" w:eastAsia="Times New Roman" w:hAnsi="Times New Roman" w:cs="Times New Roman"/>
          <w:snapToGrid w:val="0"/>
          <w:kern w:val="28"/>
          <w:sz w:val="24"/>
          <w:szCs w:val="24"/>
        </w:rPr>
        <w:t xml:space="preserve"> the Commission’s policies for reform of universal service</w:t>
      </w:r>
      <w:r w:rsidR="00ED755E">
        <w:rPr>
          <w:rFonts w:ascii="Times New Roman" w:eastAsia="Times New Roman" w:hAnsi="Times New Roman" w:cs="Times New Roman"/>
          <w:snapToGrid w:val="0"/>
          <w:kern w:val="28"/>
          <w:sz w:val="24"/>
          <w:szCs w:val="24"/>
        </w:rPr>
        <w:t>,</w:t>
      </w:r>
      <w:r w:rsidR="00C95B45">
        <w:rPr>
          <w:rFonts w:ascii="Times New Roman" w:eastAsia="Times New Roman" w:hAnsi="Times New Roman" w:cs="Times New Roman"/>
          <w:snapToGrid w:val="0"/>
          <w:kern w:val="28"/>
          <w:sz w:val="24"/>
          <w:szCs w:val="24"/>
        </w:rPr>
        <w:t xml:space="preserve"> as reflected in the 2011 and 2014 orders</w:t>
      </w:r>
      <w:r w:rsidR="003259CD">
        <w:rPr>
          <w:rFonts w:ascii="Times New Roman" w:eastAsia="Times New Roman" w:hAnsi="Times New Roman" w:cs="Times New Roman"/>
          <w:snapToGrid w:val="0"/>
          <w:kern w:val="28"/>
          <w:sz w:val="24"/>
          <w:szCs w:val="24"/>
        </w:rPr>
        <w:t xml:space="preserve">, </w:t>
      </w:r>
      <w:r w:rsidR="00BD2C01">
        <w:rPr>
          <w:rFonts w:ascii="Times New Roman" w:eastAsia="Times New Roman" w:hAnsi="Times New Roman" w:cs="Times New Roman"/>
          <w:snapToGrid w:val="0"/>
          <w:kern w:val="28"/>
          <w:sz w:val="24"/>
          <w:szCs w:val="24"/>
        </w:rPr>
        <w:t>staff</w:t>
      </w:r>
      <w:r w:rsidR="001E5286">
        <w:rPr>
          <w:rFonts w:ascii="Times New Roman" w:eastAsia="Times New Roman" w:hAnsi="Times New Roman" w:cs="Times New Roman"/>
          <w:snapToGrid w:val="0"/>
          <w:kern w:val="28"/>
          <w:sz w:val="24"/>
          <w:szCs w:val="24"/>
        </w:rPr>
        <w:t xml:space="preserve"> analysis</w:t>
      </w:r>
      <w:r w:rsidR="00EB1C1E">
        <w:rPr>
          <w:rFonts w:ascii="Times New Roman" w:eastAsia="Times New Roman" w:hAnsi="Times New Roman" w:cs="Times New Roman"/>
          <w:snapToGrid w:val="0"/>
          <w:kern w:val="28"/>
          <w:sz w:val="24"/>
          <w:szCs w:val="24"/>
        </w:rPr>
        <w:t xml:space="preserve"> </w:t>
      </w:r>
      <w:r w:rsidR="001E5286">
        <w:rPr>
          <w:rFonts w:ascii="Times New Roman" w:eastAsia="Times New Roman" w:hAnsi="Times New Roman" w:cs="Times New Roman"/>
          <w:snapToGrid w:val="0"/>
          <w:kern w:val="28"/>
          <w:sz w:val="24"/>
          <w:szCs w:val="24"/>
        </w:rPr>
        <w:t xml:space="preserve">identifies </w:t>
      </w:r>
      <w:r w:rsidR="00EB1C1E">
        <w:rPr>
          <w:rFonts w:ascii="Times New Roman" w:eastAsia="Times New Roman" w:hAnsi="Times New Roman" w:cs="Times New Roman"/>
          <w:snapToGrid w:val="0"/>
          <w:kern w:val="28"/>
          <w:sz w:val="24"/>
          <w:szCs w:val="24"/>
        </w:rPr>
        <w:t>areas within census blocks that do not today have unsubsidized 4G LTE coverage (</w:t>
      </w:r>
      <w:r w:rsidR="00EB1C1E" w:rsidRPr="003D035F">
        <w:rPr>
          <w:rFonts w:ascii="Times New Roman" w:eastAsia="Times New Roman" w:hAnsi="Times New Roman" w:cs="Times New Roman"/>
          <w:i/>
          <w:snapToGrid w:val="0"/>
          <w:kern w:val="28"/>
          <w:sz w:val="24"/>
          <w:szCs w:val="24"/>
        </w:rPr>
        <w:t>i.e.,</w:t>
      </w:r>
      <w:r w:rsidR="00EB1C1E">
        <w:rPr>
          <w:rFonts w:ascii="Times New Roman" w:eastAsia="Times New Roman" w:hAnsi="Times New Roman" w:cs="Times New Roman"/>
          <w:snapToGrid w:val="0"/>
          <w:kern w:val="28"/>
          <w:sz w:val="24"/>
          <w:szCs w:val="24"/>
        </w:rPr>
        <w:t xml:space="preserve"> 4G LTE </w:t>
      </w:r>
      <w:r w:rsidR="001E5286">
        <w:rPr>
          <w:rFonts w:ascii="Times New Roman" w:eastAsia="Times New Roman" w:hAnsi="Times New Roman" w:cs="Times New Roman"/>
          <w:snapToGrid w:val="0"/>
          <w:kern w:val="28"/>
          <w:sz w:val="24"/>
          <w:szCs w:val="24"/>
        </w:rPr>
        <w:t xml:space="preserve">coverage </w:t>
      </w:r>
      <w:r w:rsidR="00EB1C1E">
        <w:rPr>
          <w:rFonts w:ascii="Times New Roman" w:eastAsia="Times New Roman" w:hAnsi="Times New Roman" w:cs="Times New Roman"/>
          <w:snapToGrid w:val="0"/>
          <w:kern w:val="28"/>
          <w:sz w:val="24"/>
          <w:szCs w:val="24"/>
        </w:rPr>
        <w:t>provided without any form of high</w:t>
      </w:r>
      <w:r w:rsidR="00323E8E">
        <w:rPr>
          <w:rFonts w:ascii="Times New Roman" w:eastAsia="Times New Roman" w:hAnsi="Times New Roman" w:cs="Times New Roman"/>
          <w:snapToGrid w:val="0"/>
          <w:kern w:val="28"/>
          <w:sz w:val="24"/>
          <w:szCs w:val="24"/>
        </w:rPr>
        <w:t>-</w:t>
      </w:r>
      <w:r w:rsidR="00EB1C1E">
        <w:rPr>
          <w:rFonts w:ascii="Times New Roman" w:eastAsia="Times New Roman" w:hAnsi="Times New Roman" w:cs="Times New Roman"/>
          <w:snapToGrid w:val="0"/>
          <w:kern w:val="28"/>
          <w:sz w:val="24"/>
          <w:szCs w:val="24"/>
        </w:rPr>
        <w:t xml:space="preserve">cost universal service support).  This </w:t>
      </w:r>
      <w:r w:rsidR="00056C63">
        <w:rPr>
          <w:rFonts w:ascii="Times New Roman" w:eastAsia="Times New Roman" w:hAnsi="Times New Roman" w:cs="Times New Roman"/>
          <w:snapToGrid w:val="0"/>
          <w:kern w:val="28"/>
          <w:sz w:val="24"/>
          <w:szCs w:val="24"/>
        </w:rPr>
        <w:t>R</w:t>
      </w:r>
      <w:r w:rsidR="00EB1C1E">
        <w:rPr>
          <w:rFonts w:ascii="Times New Roman" w:eastAsia="Times New Roman" w:hAnsi="Times New Roman" w:cs="Times New Roman"/>
          <w:snapToGrid w:val="0"/>
          <w:kern w:val="28"/>
          <w:sz w:val="24"/>
          <w:szCs w:val="24"/>
        </w:rPr>
        <w:t xml:space="preserve">eport presents </w:t>
      </w:r>
      <w:r w:rsidR="00D55098">
        <w:rPr>
          <w:rFonts w:ascii="Times New Roman" w:eastAsia="Times New Roman" w:hAnsi="Times New Roman" w:cs="Times New Roman"/>
          <w:snapToGrid w:val="0"/>
          <w:kern w:val="28"/>
          <w:sz w:val="24"/>
          <w:szCs w:val="24"/>
        </w:rPr>
        <w:t xml:space="preserve">the most accurate </w:t>
      </w:r>
      <w:r w:rsidR="00287BA0">
        <w:rPr>
          <w:rFonts w:ascii="Times New Roman" w:eastAsia="Times New Roman" w:hAnsi="Times New Roman" w:cs="Times New Roman"/>
          <w:snapToGrid w:val="0"/>
          <w:kern w:val="28"/>
          <w:sz w:val="24"/>
          <w:szCs w:val="24"/>
        </w:rPr>
        <w:t xml:space="preserve">data </w:t>
      </w:r>
      <w:r w:rsidR="00D55098">
        <w:rPr>
          <w:rFonts w:ascii="Times New Roman" w:eastAsia="Times New Roman" w:hAnsi="Times New Roman" w:cs="Times New Roman"/>
          <w:snapToGrid w:val="0"/>
          <w:kern w:val="28"/>
          <w:sz w:val="24"/>
          <w:szCs w:val="24"/>
        </w:rPr>
        <w:t xml:space="preserve">available </w:t>
      </w:r>
      <w:r w:rsidR="00287BA0">
        <w:rPr>
          <w:rFonts w:ascii="Times New Roman" w:eastAsia="Times New Roman" w:hAnsi="Times New Roman" w:cs="Times New Roman"/>
          <w:snapToGrid w:val="0"/>
          <w:kern w:val="28"/>
          <w:sz w:val="24"/>
          <w:szCs w:val="24"/>
        </w:rPr>
        <w:t xml:space="preserve">on </w:t>
      </w:r>
      <w:r w:rsidR="00EB1C1E">
        <w:rPr>
          <w:rFonts w:ascii="Times New Roman" w:eastAsia="Times New Roman" w:hAnsi="Times New Roman" w:cs="Times New Roman"/>
          <w:snapToGrid w:val="0"/>
          <w:kern w:val="28"/>
          <w:sz w:val="24"/>
          <w:szCs w:val="24"/>
        </w:rPr>
        <w:t>actual area</w:t>
      </w:r>
      <w:r w:rsidR="001E5286">
        <w:rPr>
          <w:rFonts w:ascii="Times New Roman" w:eastAsia="Times New Roman" w:hAnsi="Times New Roman" w:cs="Times New Roman"/>
          <w:snapToGrid w:val="0"/>
          <w:kern w:val="28"/>
          <w:sz w:val="24"/>
          <w:szCs w:val="24"/>
        </w:rPr>
        <w:t>s</w:t>
      </w:r>
      <w:r w:rsidR="00EB1C1E">
        <w:rPr>
          <w:rFonts w:ascii="Times New Roman" w:eastAsia="Times New Roman" w:hAnsi="Times New Roman" w:cs="Times New Roman"/>
          <w:snapToGrid w:val="0"/>
          <w:kern w:val="28"/>
          <w:sz w:val="24"/>
          <w:szCs w:val="24"/>
        </w:rPr>
        <w:t xml:space="preserve"> </w:t>
      </w:r>
      <w:r w:rsidR="00BD2C01">
        <w:rPr>
          <w:rFonts w:ascii="Times New Roman" w:eastAsia="Times New Roman" w:hAnsi="Times New Roman" w:cs="Times New Roman"/>
          <w:snapToGrid w:val="0"/>
          <w:kern w:val="28"/>
          <w:sz w:val="24"/>
          <w:szCs w:val="24"/>
        </w:rPr>
        <w:t xml:space="preserve">that </w:t>
      </w:r>
      <w:r w:rsidR="00EB1C1E">
        <w:rPr>
          <w:rFonts w:ascii="Times New Roman" w:eastAsia="Times New Roman" w:hAnsi="Times New Roman" w:cs="Times New Roman"/>
          <w:snapToGrid w:val="0"/>
          <w:kern w:val="28"/>
          <w:sz w:val="24"/>
          <w:szCs w:val="24"/>
        </w:rPr>
        <w:t xml:space="preserve">currently </w:t>
      </w:r>
      <w:r w:rsidR="00BD2C01">
        <w:rPr>
          <w:rFonts w:ascii="Times New Roman" w:eastAsia="Times New Roman" w:hAnsi="Times New Roman" w:cs="Times New Roman"/>
          <w:snapToGrid w:val="0"/>
          <w:kern w:val="28"/>
          <w:sz w:val="24"/>
          <w:szCs w:val="24"/>
        </w:rPr>
        <w:t>have</w:t>
      </w:r>
      <w:r w:rsidR="00EB1C1E">
        <w:rPr>
          <w:rFonts w:ascii="Times New Roman" w:eastAsia="Times New Roman" w:hAnsi="Times New Roman" w:cs="Times New Roman"/>
          <w:snapToGrid w:val="0"/>
          <w:kern w:val="28"/>
          <w:sz w:val="24"/>
          <w:szCs w:val="24"/>
        </w:rPr>
        <w:t xml:space="preserve"> 4G LTE coverage, and, based on that</w:t>
      </w:r>
      <w:r w:rsidR="001E353A">
        <w:rPr>
          <w:rFonts w:ascii="Times New Roman" w:eastAsia="Times New Roman" w:hAnsi="Times New Roman" w:cs="Times New Roman"/>
          <w:snapToGrid w:val="0"/>
          <w:kern w:val="28"/>
          <w:sz w:val="24"/>
          <w:szCs w:val="24"/>
        </w:rPr>
        <w:t xml:space="preserve"> data</w:t>
      </w:r>
      <w:r w:rsidR="00EB1C1E">
        <w:rPr>
          <w:rFonts w:ascii="Times New Roman" w:eastAsia="Times New Roman" w:hAnsi="Times New Roman" w:cs="Times New Roman"/>
          <w:snapToGrid w:val="0"/>
          <w:kern w:val="28"/>
          <w:sz w:val="24"/>
          <w:szCs w:val="24"/>
        </w:rPr>
        <w:t xml:space="preserve">, </w:t>
      </w:r>
      <w:r w:rsidR="00D55098">
        <w:rPr>
          <w:rFonts w:ascii="Times New Roman" w:eastAsia="Times New Roman" w:hAnsi="Times New Roman" w:cs="Times New Roman"/>
          <w:snapToGrid w:val="0"/>
          <w:kern w:val="28"/>
          <w:sz w:val="24"/>
          <w:szCs w:val="24"/>
        </w:rPr>
        <w:t>using assumptions</w:t>
      </w:r>
      <w:r w:rsidR="0084432C">
        <w:rPr>
          <w:rFonts w:ascii="Times New Roman" w:eastAsia="Times New Roman" w:hAnsi="Times New Roman" w:cs="Times New Roman"/>
          <w:snapToGrid w:val="0"/>
          <w:kern w:val="28"/>
          <w:sz w:val="24"/>
          <w:szCs w:val="24"/>
        </w:rPr>
        <w:t xml:space="preserve"> set out below</w:t>
      </w:r>
      <w:r w:rsidR="00D55098">
        <w:rPr>
          <w:rFonts w:ascii="Times New Roman" w:eastAsia="Times New Roman" w:hAnsi="Times New Roman" w:cs="Times New Roman"/>
          <w:snapToGrid w:val="0"/>
          <w:kern w:val="28"/>
          <w:sz w:val="24"/>
          <w:szCs w:val="24"/>
        </w:rPr>
        <w:t xml:space="preserve">, </w:t>
      </w:r>
      <w:r w:rsidR="009F6BF1">
        <w:rPr>
          <w:rFonts w:ascii="Times New Roman" w:eastAsia="Times New Roman" w:hAnsi="Times New Roman" w:cs="Times New Roman"/>
          <w:snapToGrid w:val="0"/>
          <w:kern w:val="28"/>
          <w:sz w:val="24"/>
          <w:szCs w:val="24"/>
        </w:rPr>
        <w:t>estimates</w:t>
      </w:r>
      <w:r w:rsidR="00EB1C1E">
        <w:rPr>
          <w:rFonts w:ascii="Times New Roman" w:eastAsia="Times New Roman" w:hAnsi="Times New Roman" w:cs="Times New Roman"/>
          <w:snapToGrid w:val="0"/>
          <w:kern w:val="28"/>
          <w:sz w:val="24"/>
          <w:szCs w:val="24"/>
        </w:rPr>
        <w:t xml:space="preserve"> coverage data </w:t>
      </w:r>
      <w:r w:rsidR="00BA3D21">
        <w:rPr>
          <w:rFonts w:ascii="Times New Roman" w:eastAsia="Times New Roman" w:hAnsi="Times New Roman" w:cs="Times New Roman"/>
          <w:snapToGrid w:val="0"/>
          <w:kern w:val="28"/>
          <w:sz w:val="24"/>
          <w:szCs w:val="24"/>
        </w:rPr>
        <w:t>within each of the more than 1</w:t>
      </w:r>
      <w:r w:rsidR="00DD6099">
        <w:rPr>
          <w:rFonts w:ascii="Times New Roman" w:eastAsia="Times New Roman" w:hAnsi="Times New Roman" w:cs="Times New Roman"/>
          <w:snapToGrid w:val="0"/>
          <w:kern w:val="28"/>
          <w:sz w:val="24"/>
          <w:szCs w:val="24"/>
        </w:rPr>
        <w:t>1</w:t>
      </w:r>
      <w:r w:rsidR="00BA3D21">
        <w:rPr>
          <w:rFonts w:ascii="Times New Roman" w:eastAsia="Times New Roman" w:hAnsi="Times New Roman" w:cs="Times New Roman"/>
          <w:snapToGrid w:val="0"/>
          <w:kern w:val="28"/>
          <w:sz w:val="24"/>
          <w:szCs w:val="24"/>
        </w:rPr>
        <w:t xml:space="preserve"> million U.S. census blocks </w:t>
      </w:r>
      <w:r w:rsidR="00EB1C1E">
        <w:rPr>
          <w:rFonts w:ascii="Times New Roman" w:eastAsia="Times New Roman" w:hAnsi="Times New Roman" w:cs="Times New Roman"/>
          <w:snapToGrid w:val="0"/>
          <w:kern w:val="28"/>
          <w:sz w:val="24"/>
          <w:szCs w:val="24"/>
        </w:rPr>
        <w:t>in terms of</w:t>
      </w:r>
      <w:r w:rsidR="00EB1C1E" w:rsidRPr="007541F9">
        <w:rPr>
          <w:rFonts w:ascii="Times New Roman" w:eastAsia="Times New Roman" w:hAnsi="Times New Roman" w:cs="Times New Roman"/>
          <w:snapToGrid w:val="0"/>
          <w:kern w:val="28"/>
          <w:sz w:val="24"/>
          <w:szCs w:val="24"/>
        </w:rPr>
        <w:t xml:space="preserve"> population</w:t>
      </w:r>
      <w:r w:rsidR="00EB1C1E">
        <w:rPr>
          <w:rFonts w:ascii="Times New Roman" w:eastAsia="Times New Roman" w:hAnsi="Times New Roman" w:cs="Times New Roman"/>
          <w:snapToGrid w:val="0"/>
          <w:kern w:val="28"/>
          <w:sz w:val="24"/>
          <w:szCs w:val="24"/>
        </w:rPr>
        <w:t xml:space="preserve"> and</w:t>
      </w:r>
      <w:r w:rsidR="00EB1C1E" w:rsidRPr="007541F9">
        <w:rPr>
          <w:rFonts w:ascii="Times New Roman" w:eastAsia="Times New Roman" w:hAnsi="Times New Roman" w:cs="Times New Roman"/>
          <w:snapToGrid w:val="0"/>
          <w:kern w:val="28"/>
          <w:sz w:val="24"/>
          <w:szCs w:val="24"/>
        </w:rPr>
        <w:t xml:space="preserve"> road</w:t>
      </w:r>
      <w:r w:rsidR="00EB1C1E">
        <w:rPr>
          <w:rFonts w:ascii="Times New Roman" w:eastAsia="Times New Roman" w:hAnsi="Times New Roman" w:cs="Times New Roman"/>
          <w:snapToGrid w:val="0"/>
          <w:kern w:val="28"/>
          <w:sz w:val="24"/>
          <w:szCs w:val="24"/>
        </w:rPr>
        <w:t xml:space="preserve"> </w:t>
      </w:r>
      <w:r w:rsidR="00EB1C1E" w:rsidRPr="007541F9">
        <w:rPr>
          <w:rFonts w:ascii="Times New Roman" w:eastAsia="Times New Roman" w:hAnsi="Times New Roman" w:cs="Times New Roman"/>
          <w:snapToGrid w:val="0"/>
          <w:kern w:val="28"/>
          <w:sz w:val="24"/>
          <w:szCs w:val="24"/>
        </w:rPr>
        <w:t>miles</w:t>
      </w:r>
      <w:r w:rsidR="00EB1C1E">
        <w:rPr>
          <w:rFonts w:ascii="Times New Roman" w:eastAsia="Times New Roman" w:hAnsi="Times New Roman" w:cs="Times New Roman"/>
          <w:snapToGrid w:val="0"/>
          <w:kern w:val="28"/>
          <w:sz w:val="24"/>
          <w:szCs w:val="24"/>
        </w:rPr>
        <w:t>.  Th</w:t>
      </w:r>
      <w:r w:rsidR="00BD2C01">
        <w:rPr>
          <w:rFonts w:ascii="Times New Roman" w:eastAsia="Times New Roman" w:hAnsi="Times New Roman" w:cs="Times New Roman"/>
          <w:snapToGrid w:val="0"/>
          <w:kern w:val="28"/>
          <w:sz w:val="24"/>
          <w:szCs w:val="24"/>
        </w:rPr>
        <w:t>is</w:t>
      </w:r>
      <w:r w:rsidR="00EB1C1E">
        <w:rPr>
          <w:rFonts w:ascii="Times New Roman" w:eastAsia="Times New Roman" w:hAnsi="Times New Roman" w:cs="Times New Roman"/>
          <w:snapToGrid w:val="0"/>
          <w:kern w:val="28"/>
          <w:sz w:val="24"/>
          <w:szCs w:val="24"/>
        </w:rPr>
        <w:t xml:space="preserve"> actual area coverage </w:t>
      </w:r>
      <w:r w:rsidR="00FD4444">
        <w:rPr>
          <w:rFonts w:ascii="Times New Roman" w:eastAsia="Times New Roman" w:hAnsi="Times New Roman" w:cs="Times New Roman"/>
          <w:snapToGrid w:val="0"/>
          <w:kern w:val="28"/>
          <w:sz w:val="24"/>
          <w:szCs w:val="24"/>
        </w:rPr>
        <w:t xml:space="preserve">approach </w:t>
      </w:r>
      <w:r w:rsidR="001E5286">
        <w:rPr>
          <w:rFonts w:ascii="Times New Roman" w:eastAsia="Times New Roman" w:hAnsi="Times New Roman" w:cs="Times New Roman"/>
          <w:snapToGrid w:val="0"/>
          <w:kern w:val="28"/>
          <w:sz w:val="24"/>
          <w:szCs w:val="24"/>
        </w:rPr>
        <w:t>uses</w:t>
      </w:r>
      <w:r w:rsidR="00EB1C1E">
        <w:rPr>
          <w:rFonts w:ascii="Times New Roman" w:eastAsia="Times New Roman" w:hAnsi="Times New Roman" w:cs="Times New Roman"/>
          <w:snapToGrid w:val="0"/>
          <w:kern w:val="28"/>
          <w:sz w:val="24"/>
          <w:szCs w:val="24"/>
        </w:rPr>
        <w:t xml:space="preserve"> sub-</w:t>
      </w:r>
      <w:r w:rsidR="001E5286">
        <w:rPr>
          <w:rFonts w:ascii="Times New Roman" w:eastAsia="Times New Roman" w:hAnsi="Times New Roman" w:cs="Times New Roman"/>
          <w:snapToGrid w:val="0"/>
          <w:kern w:val="28"/>
          <w:sz w:val="24"/>
          <w:szCs w:val="24"/>
        </w:rPr>
        <w:t>census-</w:t>
      </w:r>
      <w:r w:rsidR="00EB1C1E">
        <w:rPr>
          <w:rFonts w:ascii="Times New Roman" w:eastAsia="Times New Roman" w:hAnsi="Times New Roman" w:cs="Times New Roman"/>
          <w:snapToGrid w:val="0"/>
          <w:kern w:val="28"/>
          <w:sz w:val="24"/>
          <w:szCs w:val="24"/>
        </w:rPr>
        <w:t xml:space="preserve">block level coverage </w:t>
      </w:r>
      <w:r w:rsidR="001E5286">
        <w:rPr>
          <w:rFonts w:ascii="Times New Roman" w:eastAsia="Times New Roman" w:hAnsi="Times New Roman" w:cs="Times New Roman"/>
          <w:snapToGrid w:val="0"/>
          <w:kern w:val="28"/>
          <w:sz w:val="24"/>
          <w:szCs w:val="24"/>
        </w:rPr>
        <w:t>reported directly by service providers on their Form 477 submissions</w:t>
      </w:r>
      <w:r w:rsidR="00F82954">
        <w:rPr>
          <w:rFonts w:ascii="Times New Roman" w:eastAsia="Times New Roman" w:hAnsi="Times New Roman" w:cs="Times New Roman"/>
          <w:snapToGrid w:val="0"/>
          <w:kern w:val="28"/>
          <w:sz w:val="24"/>
          <w:szCs w:val="24"/>
        </w:rPr>
        <w:t xml:space="preserve"> to get an accurate representation of coverage by providers</w:t>
      </w:r>
      <w:r w:rsidR="00C92C56">
        <w:rPr>
          <w:rFonts w:ascii="Times New Roman" w:eastAsia="Times New Roman" w:hAnsi="Times New Roman" w:cs="Times New Roman"/>
          <w:snapToGrid w:val="0"/>
          <w:kern w:val="28"/>
          <w:sz w:val="24"/>
          <w:szCs w:val="24"/>
        </w:rPr>
        <w:t>, rather than using analys</w:t>
      </w:r>
      <w:r w:rsidR="00FD4444">
        <w:rPr>
          <w:rFonts w:ascii="Times New Roman" w:eastAsia="Times New Roman" w:hAnsi="Times New Roman" w:cs="Times New Roman"/>
          <w:snapToGrid w:val="0"/>
          <w:kern w:val="28"/>
          <w:sz w:val="24"/>
          <w:szCs w:val="24"/>
        </w:rPr>
        <w:t>i</w:t>
      </w:r>
      <w:r w:rsidR="00C92C56">
        <w:rPr>
          <w:rFonts w:ascii="Times New Roman" w:eastAsia="Times New Roman" w:hAnsi="Times New Roman" w:cs="Times New Roman"/>
          <w:snapToGrid w:val="0"/>
          <w:kern w:val="28"/>
          <w:sz w:val="24"/>
          <w:szCs w:val="24"/>
        </w:rPr>
        <w:t xml:space="preserve">s </w:t>
      </w:r>
      <w:r w:rsidR="00FD4444">
        <w:rPr>
          <w:rFonts w:ascii="Times New Roman" w:eastAsia="Times New Roman" w:hAnsi="Times New Roman" w:cs="Times New Roman"/>
          <w:snapToGrid w:val="0"/>
          <w:kern w:val="28"/>
          <w:sz w:val="24"/>
          <w:szCs w:val="24"/>
        </w:rPr>
        <w:t xml:space="preserve">based on </w:t>
      </w:r>
      <w:r w:rsidR="00C92C56">
        <w:rPr>
          <w:rFonts w:ascii="Times New Roman" w:eastAsia="Times New Roman" w:hAnsi="Times New Roman" w:cs="Times New Roman"/>
          <w:snapToGrid w:val="0"/>
          <w:kern w:val="28"/>
          <w:sz w:val="24"/>
          <w:szCs w:val="24"/>
        </w:rPr>
        <w:t>proxies for coverage within census blocks, such as the centroid methodology</w:t>
      </w:r>
      <w:r w:rsidR="00EB1C1E">
        <w:rPr>
          <w:rFonts w:ascii="Times New Roman" w:eastAsia="Times New Roman" w:hAnsi="Times New Roman" w:cs="Times New Roman"/>
          <w:snapToGrid w:val="0"/>
          <w:kern w:val="28"/>
          <w:sz w:val="24"/>
          <w:szCs w:val="24"/>
        </w:rPr>
        <w:t>.</w:t>
      </w:r>
      <w:r w:rsidR="00ED755E">
        <w:rPr>
          <w:rStyle w:val="FootnoteReference"/>
          <w:rFonts w:eastAsia="Times New Roman" w:cs="Times New Roman"/>
          <w:snapToGrid w:val="0"/>
          <w:kern w:val="28"/>
          <w:szCs w:val="24"/>
        </w:rPr>
        <w:footnoteReference w:id="5"/>
      </w:r>
      <w:r w:rsidR="00EB1C1E">
        <w:rPr>
          <w:rFonts w:ascii="Times New Roman" w:eastAsia="Times New Roman" w:hAnsi="Times New Roman" w:cs="Times New Roman"/>
          <w:snapToGrid w:val="0"/>
          <w:kern w:val="28"/>
          <w:sz w:val="24"/>
          <w:szCs w:val="24"/>
        </w:rPr>
        <w:t xml:space="preserve">  Using the actual geographic area coverage based on the Form 477 data provides </w:t>
      </w:r>
      <w:r w:rsidR="00287BA0">
        <w:rPr>
          <w:rFonts w:ascii="Times New Roman" w:eastAsia="Times New Roman" w:hAnsi="Times New Roman" w:cs="Times New Roman"/>
          <w:snapToGrid w:val="0"/>
          <w:kern w:val="28"/>
          <w:sz w:val="24"/>
          <w:szCs w:val="24"/>
        </w:rPr>
        <w:t xml:space="preserve">a </w:t>
      </w:r>
      <w:r w:rsidR="00EB1C1E">
        <w:rPr>
          <w:rFonts w:ascii="Times New Roman" w:eastAsia="Times New Roman" w:hAnsi="Times New Roman" w:cs="Times New Roman"/>
          <w:snapToGrid w:val="0"/>
          <w:kern w:val="28"/>
          <w:sz w:val="24"/>
          <w:szCs w:val="24"/>
        </w:rPr>
        <w:t xml:space="preserve">significantly more </w:t>
      </w:r>
      <w:r w:rsidR="00287BA0">
        <w:rPr>
          <w:rFonts w:ascii="Times New Roman" w:eastAsia="Times New Roman" w:hAnsi="Times New Roman" w:cs="Times New Roman"/>
          <w:snapToGrid w:val="0"/>
          <w:kern w:val="28"/>
          <w:sz w:val="24"/>
          <w:szCs w:val="24"/>
        </w:rPr>
        <w:t>detailed</w:t>
      </w:r>
      <w:r w:rsidR="00EB1C1E">
        <w:rPr>
          <w:rFonts w:ascii="Times New Roman" w:eastAsia="Times New Roman" w:hAnsi="Times New Roman" w:cs="Times New Roman"/>
          <w:snapToGrid w:val="0"/>
          <w:kern w:val="28"/>
          <w:sz w:val="24"/>
          <w:szCs w:val="24"/>
        </w:rPr>
        <w:t xml:space="preserve"> basis for reforming universal service support for mobile services </w:t>
      </w:r>
      <w:r w:rsidR="00287BA0">
        <w:rPr>
          <w:rFonts w:ascii="Times New Roman" w:eastAsia="Times New Roman" w:hAnsi="Times New Roman" w:cs="Times New Roman"/>
          <w:snapToGrid w:val="0"/>
          <w:kern w:val="28"/>
          <w:sz w:val="24"/>
          <w:szCs w:val="24"/>
        </w:rPr>
        <w:t xml:space="preserve">to target support </w:t>
      </w:r>
      <w:r w:rsidR="00EB1C1E">
        <w:rPr>
          <w:rFonts w:ascii="Times New Roman" w:eastAsia="Times New Roman" w:hAnsi="Times New Roman" w:cs="Times New Roman"/>
          <w:snapToGrid w:val="0"/>
          <w:kern w:val="28"/>
          <w:sz w:val="24"/>
          <w:szCs w:val="24"/>
        </w:rPr>
        <w:t>where it is needed and thereby further our universal service objectives.</w:t>
      </w:r>
    </w:p>
    <w:p w14:paraId="42B8CF55" w14:textId="075EE092" w:rsidR="00EB1C1E" w:rsidRPr="003C3357" w:rsidRDefault="005A3B1D" w:rsidP="00702196">
      <w:pPr>
        <w:pStyle w:val="ListParagraph"/>
        <w:numPr>
          <w:ilvl w:val="0"/>
          <w:numId w:val="16"/>
        </w:numPr>
        <w:spacing w:line="360" w:lineRule="auto"/>
        <w:ind w:hanging="450"/>
        <w:contextualSpacing w:val="0"/>
        <w:rPr>
          <w:rFonts w:ascii="Times New Roman" w:eastAsia="Times New Roman" w:hAnsi="Times New Roman" w:cs="Times New Roman"/>
          <w:snapToGrid w:val="0"/>
          <w:kern w:val="28"/>
          <w:sz w:val="24"/>
          <w:szCs w:val="24"/>
        </w:rPr>
      </w:pPr>
      <w:r>
        <w:rPr>
          <w:rFonts w:ascii="Times New Roman" w:eastAsia="Times New Roman" w:hAnsi="Times New Roman" w:cs="Times New Roman"/>
          <w:snapToGrid w:val="0"/>
          <w:kern w:val="28"/>
          <w:sz w:val="24"/>
          <w:szCs w:val="24"/>
        </w:rPr>
        <w:t xml:space="preserve">This </w:t>
      </w:r>
      <w:r w:rsidR="00C95B45">
        <w:rPr>
          <w:rFonts w:ascii="Times New Roman" w:eastAsia="Times New Roman" w:hAnsi="Times New Roman" w:cs="Times New Roman"/>
          <w:snapToGrid w:val="0"/>
          <w:kern w:val="28"/>
          <w:sz w:val="24"/>
          <w:szCs w:val="24"/>
        </w:rPr>
        <w:t>R</w:t>
      </w:r>
      <w:r>
        <w:rPr>
          <w:rFonts w:ascii="Times New Roman" w:eastAsia="Times New Roman" w:hAnsi="Times New Roman" w:cs="Times New Roman"/>
          <w:snapToGrid w:val="0"/>
          <w:kern w:val="28"/>
          <w:sz w:val="24"/>
          <w:szCs w:val="24"/>
        </w:rPr>
        <w:t>eport</w:t>
      </w:r>
      <w:r w:rsidR="008E333D">
        <w:rPr>
          <w:rFonts w:ascii="Times New Roman" w:eastAsia="Times New Roman" w:hAnsi="Times New Roman" w:cs="Times New Roman"/>
          <w:snapToGrid w:val="0"/>
          <w:kern w:val="28"/>
          <w:sz w:val="24"/>
          <w:szCs w:val="24"/>
        </w:rPr>
        <w:t xml:space="preserve"> first describe</w:t>
      </w:r>
      <w:r>
        <w:rPr>
          <w:rFonts w:ascii="Times New Roman" w:eastAsia="Times New Roman" w:hAnsi="Times New Roman" w:cs="Times New Roman"/>
          <w:snapToGrid w:val="0"/>
          <w:kern w:val="28"/>
          <w:sz w:val="24"/>
          <w:szCs w:val="24"/>
        </w:rPr>
        <w:t>s</w:t>
      </w:r>
      <w:r w:rsidR="008E333D">
        <w:rPr>
          <w:rFonts w:ascii="Times New Roman" w:eastAsia="Times New Roman" w:hAnsi="Times New Roman" w:cs="Times New Roman"/>
          <w:snapToGrid w:val="0"/>
          <w:kern w:val="28"/>
          <w:sz w:val="24"/>
          <w:szCs w:val="24"/>
        </w:rPr>
        <w:t xml:space="preserve"> the </w:t>
      </w:r>
      <w:r w:rsidR="00B11708">
        <w:rPr>
          <w:rFonts w:ascii="Times New Roman" w:eastAsia="Times New Roman" w:hAnsi="Times New Roman" w:cs="Times New Roman"/>
          <w:snapToGrid w:val="0"/>
          <w:kern w:val="28"/>
          <w:sz w:val="24"/>
          <w:szCs w:val="24"/>
        </w:rPr>
        <w:t>sources of the data underlying our analysis</w:t>
      </w:r>
      <w:r w:rsidR="004876E6">
        <w:rPr>
          <w:rFonts w:ascii="Times New Roman" w:eastAsia="Times New Roman" w:hAnsi="Times New Roman" w:cs="Times New Roman"/>
          <w:snapToGrid w:val="0"/>
          <w:kern w:val="28"/>
          <w:sz w:val="24"/>
          <w:szCs w:val="24"/>
        </w:rPr>
        <w:t xml:space="preserve"> of coverage and subsidies</w:t>
      </w:r>
      <w:r w:rsidR="00B11708">
        <w:rPr>
          <w:rFonts w:ascii="Times New Roman" w:eastAsia="Times New Roman" w:hAnsi="Times New Roman" w:cs="Times New Roman"/>
          <w:snapToGrid w:val="0"/>
          <w:kern w:val="28"/>
          <w:sz w:val="24"/>
          <w:szCs w:val="24"/>
        </w:rPr>
        <w:t xml:space="preserve">.  </w:t>
      </w:r>
      <w:r>
        <w:rPr>
          <w:rFonts w:ascii="Times New Roman" w:eastAsia="Times New Roman" w:hAnsi="Times New Roman" w:cs="Times New Roman"/>
          <w:snapToGrid w:val="0"/>
          <w:kern w:val="28"/>
          <w:sz w:val="24"/>
          <w:szCs w:val="24"/>
        </w:rPr>
        <w:t>Next, it</w:t>
      </w:r>
      <w:r w:rsidR="00B11708">
        <w:rPr>
          <w:rFonts w:ascii="Times New Roman" w:eastAsia="Times New Roman" w:hAnsi="Times New Roman" w:cs="Times New Roman"/>
          <w:snapToGrid w:val="0"/>
          <w:kern w:val="28"/>
          <w:sz w:val="24"/>
          <w:szCs w:val="24"/>
        </w:rPr>
        <w:t xml:space="preserve"> describe</w:t>
      </w:r>
      <w:r>
        <w:rPr>
          <w:rFonts w:ascii="Times New Roman" w:eastAsia="Times New Roman" w:hAnsi="Times New Roman" w:cs="Times New Roman"/>
          <w:snapToGrid w:val="0"/>
          <w:kern w:val="28"/>
          <w:sz w:val="24"/>
          <w:szCs w:val="24"/>
        </w:rPr>
        <w:t>s</w:t>
      </w:r>
      <w:r w:rsidR="00B11708">
        <w:rPr>
          <w:rFonts w:ascii="Times New Roman" w:eastAsia="Times New Roman" w:hAnsi="Times New Roman" w:cs="Times New Roman"/>
          <w:snapToGrid w:val="0"/>
          <w:kern w:val="28"/>
          <w:sz w:val="24"/>
          <w:szCs w:val="24"/>
        </w:rPr>
        <w:t xml:space="preserve"> how </w:t>
      </w:r>
      <w:r>
        <w:rPr>
          <w:rFonts w:ascii="Times New Roman" w:eastAsia="Times New Roman" w:hAnsi="Times New Roman" w:cs="Times New Roman"/>
          <w:snapToGrid w:val="0"/>
          <w:kern w:val="28"/>
          <w:sz w:val="24"/>
          <w:szCs w:val="24"/>
        </w:rPr>
        <w:t xml:space="preserve">the data </w:t>
      </w:r>
      <w:r w:rsidR="0084432C">
        <w:rPr>
          <w:rFonts w:ascii="Times New Roman" w:eastAsia="Times New Roman" w:hAnsi="Times New Roman" w:cs="Times New Roman"/>
          <w:snapToGrid w:val="0"/>
          <w:kern w:val="28"/>
          <w:sz w:val="24"/>
          <w:szCs w:val="24"/>
        </w:rPr>
        <w:t xml:space="preserve">are </w:t>
      </w:r>
      <w:r>
        <w:rPr>
          <w:rFonts w:ascii="Times New Roman" w:eastAsia="Times New Roman" w:hAnsi="Times New Roman" w:cs="Times New Roman"/>
          <w:snapToGrid w:val="0"/>
          <w:kern w:val="28"/>
          <w:sz w:val="24"/>
          <w:szCs w:val="24"/>
        </w:rPr>
        <w:t>used</w:t>
      </w:r>
      <w:r w:rsidR="00B11708">
        <w:rPr>
          <w:rFonts w:ascii="Times New Roman" w:eastAsia="Times New Roman" w:hAnsi="Times New Roman" w:cs="Times New Roman"/>
          <w:snapToGrid w:val="0"/>
          <w:kern w:val="28"/>
          <w:sz w:val="24"/>
          <w:szCs w:val="24"/>
        </w:rPr>
        <w:t xml:space="preserve"> to identify </w:t>
      </w:r>
      <w:r w:rsidR="009F6BF1">
        <w:rPr>
          <w:rFonts w:ascii="Times New Roman" w:eastAsia="Times New Roman" w:hAnsi="Times New Roman" w:cs="Times New Roman"/>
          <w:snapToGrid w:val="0"/>
          <w:kern w:val="28"/>
          <w:sz w:val="24"/>
          <w:szCs w:val="24"/>
        </w:rPr>
        <w:t xml:space="preserve">the areas </w:t>
      </w:r>
      <w:r w:rsidR="004876E6">
        <w:rPr>
          <w:rFonts w:ascii="Times New Roman" w:eastAsia="Times New Roman" w:hAnsi="Times New Roman" w:cs="Times New Roman"/>
          <w:snapToGrid w:val="0"/>
          <w:kern w:val="28"/>
          <w:sz w:val="24"/>
          <w:szCs w:val="24"/>
        </w:rPr>
        <w:t xml:space="preserve">within census blocks </w:t>
      </w:r>
      <w:r w:rsidR="009F6BF1">
        <w:rPr>
          <w:rFonts w:ascii="Times New Roman" w:eastAsia="Times New Roman" w:hAnsi="Times New Roman" w:cs="Times New Roman"/>
          <w:snapToGrid w:val="0"/>
          <w:kern w:val="28"/>
          <w:sz w:val="24"/>
          <w:szCs w:val="24"/>
        </w:rPr>
        <w:t>that lack</w:t>
      </w:r>
      <w:r w:rsidR="00B11708">
        <w:rPr>
          <w:rFonts w:ascii="Times New Roman" w:eastAsia="Times New Roman" w:hAnsi="Times New Roman" w:cs="Times New Roman"/>
          <w:snapToGrid w:val="0"/>
          <w:kern w:val="28"/>
          <w:sz w:val="24"/>
          <w:szCs w:val="24"/>
        </w:rPr>
        <w:t xml:space="preserve"> </w:t>
      </w:r>
      <w:r w:rsidR="004876E6">
        <w:rPr>
          <w:rFonts w:ascii="Times New Roman" w:eastAsia="Times New Roman" w:hAnsi="Times New Roman" w:cs="Times New Roman"/>
          <w:snapToGrid w:val="0"/>
          <w:kern w:val="28"/>
          <w:sz w:val="24"/>
          <w:szCs w:val="24"/>
        </w:rPr>
        <w:t xml:space="preserve">unsubsidized </w:t>
      </w:r>
      <w:r w:rsidR="00B11708">
        <w:rPr>
          <w:rFonts w:ascii="Times New Roman" w:eastAsia="Times New Roman" w:hAnsi="Times New Roman" w:cs="Times New Roman"/>
          <w:snapToGrid w:val="0"/>
          <w:kern w:val="28"/>
          <w:sz w:val="24"/>
          <w:szCs w:val="24"/>
        </w:rPr>
        <w:t>4G</w:t>
      </w:r>
      <w:r w:rsidR="009F6BF1">
        <w:rPr>
          <w:rFonts w:ascii="Times New Roman" w:eastAsia="Times New Roman" w:hAnsi="Times New Roman" w:cs="Times New Roman"/>
          <w:snapToGrid w:val="0"/>
          <w:kern w:val="28"/>
          <w:sz w:val="24"/>
          <w:szCs w:val="24"/>
        </w:rPr>
        <w:t xml:space="preserve"> </w:t>
      </w:r>
      <w:r w:rsidR="00B11708">
        <w:rPr>
          <w:rFonts w:ascii="Times New Roman" w:eastAsia="Times New Roman" w:hAnsi="Times New Roman" w:cs="Times New Roman"/>
          <w:snapToGrid w:val="0"/>
          <w:kern w:val="28"/>
          <w:sz w:val="24"/>
          <w:szCs w:val="24"/>
        </w:rPr>
        <w:t>LTE coverage</w:t>
      </w:r>
      <w:r w:rsidR="004876E6">
        <w:rPr>
          <w:rFonts w:ascii="Times New Roman" w:eastAsia="Times New Roman" w:hAnsi="Times New Roman" w:cs="Times New Roman"/>
          <w:snapToGrid w:val="0"/>
          <w:kern w:val="28"/>
          <w:sz w:val="24"/>
          <w:szCs w:val="24"/>
        </w:rPr>
        <w:t xml:space="preserve">.  This entails identifying the actual areas </w:t>
      </w:r>
      <w:r w:rsidR="009F6BF1">
        <w:rPr>
          <w:rFonts w:ascii="Times New Roman" w:eastAsia="Times New Roman" w:hAnsi="Times New Roman" w:cs="Times New Roman"/>
          <w:snapToGrid w:val="0"/>
          <w:kern w:val="28"/>
          <w:sz w:val="24"/>
          <w:szCs w:val="24"/>
        </w:rPr>
        <w:t>where there is</w:t>
      </w:r>
      <w:r w:rsidR="004876E6">
        <w:rPr>
          <w:rFonts w:ascii="Times New Roman" w:eastAsia="Times New Roman" w:hAnsi="Times New Roman" w:cs="Times New Roman"/>
          <w:snapToGrid w:val="0"/>
          <w:kern w:val="28"/>
          <w:sz w:val="24"/>
          <w:szCs w:val="24"/>
        </w:rPr>
        <w:t xml:space="preserve"> 4G</w:t>
      </w:r>
      <w:r w:rsidR="009F6BF1">
        <w:rPr>
          <w:rFonts w:ascii="Times New Roman" w:eastAsia="Times New Roman" w:hAnsi="Times New Roman" w:cs="Times New Roman"/>
          <w:snapToGrid w:val="0"/>
          <w:kern w:val="28"/>
          <w:sz w:val="24"/>
          <w:szCs w:val="24"/>
        </w:rPr>
        <w:t xml:space="preserve"> </w:t>
      </w:r>
      <w:r w:rsidR="004876E6">
        <w:rPr>
          <w:rFonts w:ascii="Times New Roman" w:eastAsia="Times New Roman" w:hAnsi="Times New Roman" w:cs="Times New Roman"/>
          <w:snapToGrid w:val="0"/>
          <w:kern w:val="28"/>
          <w:sz w:val="24"/>
          <w:szCs w:val="24"/>
        </w:rPr>
        <w:t xml:space="preserve">LTE coverage, using </w:t>
      </w:r>
      <w:r w:rsidR="00323E8E">
        <w:rPr>
          <w:rFonts w:ascii="Times New Roman" w:eastAsia="Times New Roman" w:hAnsi="Times New Roman" w:cs="Times New Roman"/>
          <w:snapToGrid w:val="0"/>
          <w:kern w:val="28"/>
          <w:sz w:val="24"/>
          <w:szCs w:val="24"/>
        </w:rPr>
        <w:t xml:space="preserve">high-cost support </w:t>
      </w:r>
      <w:r w:rsidR="0084432C">
        <w:rPr>
          <w:rFonts w:ascii="Times New Roman" w:eastAsia="Times New Roman" w:hAnsi="Times New Roman" w:cs="Times New Roman"/>
          <w:snapToGrid w:val="0"/>
          <w:kern w:val="28"/>
          <w:sz w:val="24"/>
          <w:szCs w:val="24"/>
        </w:rPr>
        <w:t>data</w:t>
      </w:r>
      <w:r w:rsidR="004876E6">
        <w:rPr>
          <w:rFonts w:ascii="Times New Roman" w:eastAsia="Times New Roman" w:hAnsi="Times New Roman" w:cs="Times New Roman"/>
          <w:snapToGrid w:val="0"/>
          <w:kern w:val="28"/>
          <w:sz w:val="24"/>
          <w:szCs w:val="24"/>
        </w:rPr>
        <w:t xml:space="preserve"> to determine where 4G</w:t>
      </w:r>
      <w:r w:rsidR="009F6BF1">
        <w:rPr>
          <w:rFonts w:ascii="Times New Roman" w:eastAsia="Times New Roman" w:hAnsi="Times New Roman" w:cs="Times New Roman"/>
          <w:snapToGrid w:val="0"/>
          <w:kern w:val="28"/>
          <w:sz w:val="24"/>
          <w:szCs w:val="24"/>
        </w:rPr>
        <w:t xml:space="preserve"> </w:t>
      </w:r>
      <w:r w:rsidR="004876E6">
        <w:rPr>
          <w:rFonts w:ascii="Times New Roman" w:eastAsia="Times New Roman" w:hAnsi="Times New Roman" w:cs="Times New Roman"/>
          <w:snapToGrid w:val="0"/>
          <w:kern w:val="28"/>
          <w:sz w:val="24"/>
          <w:szCs w:val="24"/>
        </w:rPr>
        <w:t xml:space="preserve">LTE is provided without subsidy, and </w:t>
      </w:r>
      <w:r w:rsidR="009F6BF1">
        <w:rPr>
          <w:rFonts w:ascii="Times New Roman" w:eastAsia="Times New Roman" w:hAnsi="Times New Roman" w:cs="Times New Roman"/>
          <w:snapToGrid w:val="0"/>
          <w:kern w:val="28"/>
          <w:sz w:val="24"/>
          <w:szCs w:val="24"/>
        </w:rPr>
        <w:t xml:space="preserve">then </w:t>
      </w:r>
      <w:r w:rsidR="008814EE">
        <w:rPr>
          <w:rFonts w:ascii="Times New Roman" w:eastAsia="Times New Roman" w:hAnsi="Times New Roman" w:cs="Times New Roman"/>
          <w:snapToGrid w:val="0"/>
          <w:kern w:val="28"/>
          <w:sz w:val="24"/>
          <w:szCs w:val="24"/>
        </w:rPr>
        <w:t xml:space="preserve">overlaying the coverage and </w:t>
      </w:r>
      <w:r w:rsidR="0084432C">
        <w:rPr>
          <w:rFonts w:ascii="Times New Roman" w:eastAsia="Times New Roman" w:hAnsi="Times New Roman" w:cs="Times New Roman"/>
          <w:snapToGrid w:val="0"/>
          <w:kern w:val="28"/>
          <w:sz w:val="24"/>
          <w:szCs w:val="24"/>
        </w:rPr>
        <w:t>the support data</w:t>
      </w:r>
      <w:r w:rsidR="0023712B">
        <w:rPr>
          <w:rFonts w:ascii="Times New Roman" w:eastAsia="Times New Roman" w:hAnsi="Times New Roman" w:cs="Times New Roman"/>
          <w:snapToGrid w:val="0"/>
          <w:kern w:val="28"/>
          <w:sz w:val="24"/>
          <w:szCs w:val="24"/>
        </w:rPr>
        <w:t xml:space="preserve"> </w:t>
      </w:r>
      <w:r w:rsidR="008814EE">
        <w:rPr>
          <w:rFonts w:ascii="Times New Roman" w:eastAsia="Times New Roman" w:hAnsi="Times New Roman" w:cs="Times New Roman"/>
          <w:snapToGrid w:val="0"/>
          <w:kern w:val="28"/>
          <w:sz w:val="24"/>
          <w:szCs w:val="24"/>
        </w:rPr>
        <w:t xml:space="preserve">to identify </w:t>
      </w:r>
      <w:r w:rsidR="00B76CBD">
        <w:rPr>
          <w:rFonts w:ascii="Times New Roman" w:eastAsia="Times New Roman" w:hAnsi="Times New Roman" w:cs="Times New Roman"/>
          <w:snapToGrid w:val="0"/>
          <w:kern w:val="28"/>
          <w:sz w:val="24"/>
          <w:szCs w:val="24"/>
        </w:rPr>
        <w:t xml:space="preserve">the actual areas </w:t>
      </w:r>
      <w:r w:rsidR="0084432C">
        <w:rPr>
          <w:rFonts w:ascii="Times New Roman" w:eastAsia="Times New Roman" w:hAnsi="Times New Roman" w:cs="Times New Roman"/>
          <w:snapToGrid w:val="0"/>
          <w:kern w:val="28"/>
          <w:sz w:val="24"/>
          <w:szCs w:val="24"/>
        </w:rPr>
        <w:t>lacking</w:t>
      </w:r>
      <w:r w:rsidR="00B76CBD">
        <w:rPr>
          <w:rFonts w:ascii="Times New Roman" w:eastAsia="Times New Roman" w:hAnsi="Times New Roman" w:cs="Times New Roman"/>
          <w:snapToGrid w:val="0"/>
          <w:kern w:val="28"/>
          <w:sz w:val="24"/>
          <w:szCs w:val="24"/>
        </w:rPr>
        <w:t xml:space="preserve"> unsubsidized 4G LTE.</w:t>
      </w:r>
      <w:r w:rsidR="00002216">
        <w:rPr>
          <w:rFonts w:ascii="Times New Roman" w:eastAsia="Times New Roman" w:hAnsi="Times New Roman" w:cs="Times New Roman"/>
          <w:snapToGrid w:val="0"/>
          <w:kern w:val="28"/>
          <w:sz w:val="24"/>
          <w:szCs w:val="24"/>
        </w:rPr>
        <w:t xml:space="preserve">  The resulting analysis, based on actual coverage data and reasonable assumptions, represents the most accurate information available on where universal service support may be needed on an ongoing basis to promote the </w:t>
      </w:r>
      <w:r w:rsidR="0084432C">
        <w:rPr>
          <w:rFonts w:ascii="Times New Roman" w:eastAsia="Times New Roman" w:hAnsi="Times New Roman" w:cs="Times New Roman"/>
          <w:snapToGrid w:val="0"/>
          <w:kern w:val="28"/>
          <w:sz w:val="24"/>
          <w:szCs w:val="24"/>
        </w:rPr>
        <w:t xml:space="preserve">universal </w:t>
      </w:r>
      <w:r w:rsidR="00002216">
        <w:rPr>
          <w:rFonts w:ascii="Times New Roman" w:eastAsia="Times New Roman" w:hAnsi="Times New Roman" w:cs="Times New Roman"/>
          <w:snapToGrid w:val="0"/>
          <w:kern w:val="28"/>
          <w:sz w:val="24"/>
          <w:szCs w:val="24"/>
        </w:rPr>
        <w:t xml:space="preserve">availability of 4G LTE mobile voice and broadband services. </w:t>
      </w:r>
    </w:p>
    <w:p w14:paraId="46F6B796" w14:textId="281A2A0A" w:rsidR="00EB1C1E" w:rsidRPr="006A51A9" w:rsidRDefault="0094758B" w:rsidP="00FB40CF">
      <w:pPr>
        <w:pStyle w:val="Heading1"/>
        <w:numPr>
          <w:ilvl w:val="0"/>
          <w:numId w:val="5"/>
        </w:numPr>
        <w:spacing w:after="240"/>
        <w:ind w:left="450" w:hanging="450"/>
        <w:rPr>
          <w:rFonts w:ascii="Times New Roman" w:eastAsia="Times New Roman" w:hAnsi="Times New Roman" w:cs="Times New Roman"/>
          <w:snapToGrid w:val="0"/>
        </w:rPr>
      </w:pPr>
      <w:bookmarkStart w:id="2" w:name="_Toc463007280"/>
      <w:r w:rsidRPr="006A51A9">
        <w:rPr>
          <w:rFonts w:ascii="Times New Roman" w:eastAsia="Times New Roman" w:hAnsi="Times New Roman" w:cs="Times New Roman"/>
          <w:snapToGrid w:val="0"/>
        </w:rPr>
        <w:t>U</w:t>
      </w:r>
      <w:r w:rsidR="00EB1C1E" w:rsidRPr="006A51A9">
        <w:rPr>
          <w:rFonts w:ascii="Times New Roman" w:eastAsia="Times New Roman" w:hAnsi="Times New Roman" w:cs="Times New Roman"/>
          <w:snapToGrid w:val="0"/>
        </w:rPr>
        <w:t>nderlying Data</w:t>
      </w:r>
      <w:bookmarkEnd w:id="2"/>
    </w:p>
    <w:p w14:paraId="01EDC8D1" w14:textId="6BEDB11F" w:rsidR="00EB1C1E" w:rsidRDefault="00C92C56" w:rsidP="00702196">
      <w:pPr>
        <w:pStyle w:val="ListParagraph"/>
        <w:numPr>
          <w:ilvl w:val="0"/>
          <w:numId w:val="16"/>
        </w:numPr>
        <w:spacing w:line="360" w:lineRule="auto"/>
        <w:ind w:hanging="450"/>
        <w:rPr>
          <w:rFonts w:ascii="Times New Roman" w:eastAsia="Times New Roman" w:hAnsi="Times New Roman" w:cs="Times New Roman"/>
          <w:snapToGrid w:val="0"/>
          <w:kern w:val="28"/>
          <w:sz w:val="24"/>
          <w:szCs w:val="24"/>
        </w:rPr>
      </w:pPr>
      <w:r>
        <w:rPr>
          <w:rFonts w:ascii="Times New Roman" w:eastAsia="Times New Roman" w:hAnsi="Times New Roman" w:cs="Times New Roman"/>
          <w:snapToGrid w:val="0"/>
          <w:kern w:val="28"/>
          <w:sz w:val="24"/>
          <w:szCs w:val="24"/>
        </w:rPr>
        <w:t xml:space="preserve">This Report relies on </w:t>
      </w:r>
      <w:r w:rsidR="00EB1C1E" w:rsidRPr="00563FA5">
        <w:rPr>
          <w:rFonts w:ascii="Times New Roman" w:eastAsia="Times New Roman" w:hAnsi="Times New Roman" w:cs="Times New Roman"/>
          <w:snapToGrid w:val="0"/>
          <w:kern w:val="28"/>
          <w:sz w:val="24"/>
          <w:szCs w:val="24"/>
        </w:rPr>
        <w:t xml:space="preserve">three main data </w:t>
      </w:r>
      <w:r>
        <w:rPr>
          <w:rFonts w:ascii="Times New Roman" w:eastAsia="Times New Roman" w:hAnsi="Times New Roman" w:cs="Times New Roman"/>
          <w:snapToGrid w:val="0"/>
          <w:kern w:val="28"/>
          <w:sz w:val="24"/>
          <w:szCs w:val="24"/>
        </w:rPr>
        <w:t>sources</w:t>
      </w:r>
      <w:r w:rsidR="00EB1C1E">
        <w:rPr>
          <w:rFonts w:ascii="Times New Roman" w:eastAsia="Times New Roman" w:hAnsi="Times New Roman" w:cs="Times New Roman"/>
          <w:snapToGrid w:val="0"/>
          <w:kern w:val="28"/>
          <w:sz w:val="24"/>
          <w:szCs w:val="24"/>
        </w:rPr>
        <w:t>:</w:t>
      </w:r>
    </w:p>
    <w:p w14:paraId="1A3DACCE" w14:textId="77777777" w:rsidR="00EB1C1E" w:rsidRDefault="00EB1C1E" w:rsidP="00EB1C1E">
      <w:pPr>
        <w:pStyle w:val="ListParagraph"/>
        <w:numPr>
          <w:ilvl w:val="0"/>
          <w:numId w:val="22"/>
        </w:numPr>
        <w:spacing w:line="360" w:lineRule="auto"/>
        <w:rPr>
          <w:rFonts w:ascii="Times New Roman" w:eastAsia="Times New Roman" w:hAnsi="Times New Roman" w:cs="Times New Roman"/>
          <w:snapToGrid w:val="0"/>
          <w:kern w:val="28"/>
          <w:sz w:val="24"/>
          <w:szCs w:val="24"/>
        </w:rPr>
      </w:pPr>
      <w:r w:rsidRPr="003D035F">
        <w:rPr>
          <w:rFonts w:ascii="Times New Roman" w:eastAsia="Times New Roman" w:hAnsi="Times New Roman" w:cs="Times New Roman"/>
          <w:snapToGrid w:val="0"/>
          <w:kern w:val="28"/>
          <w:sz w:val="24"/>
          <w:szCs w:val="24"/>
        </w:rPr>
        <w:t xml:space="preserve"> </w:t>
      </w:r>
      <w:r>
        <w:rPr>
          <w:rFonts w:ascii="Times New Roman" w:eastAsia="Times New Roman" w:hAnsi="Times New Roman" w:cs="Times New Roman"/>
          <w:snapToGrid w:val="0"/>
          <w:kern w:val="28"/>
          <w:sz w:val="24"/>
          <w:szCs w:val="24"/>
        </w:rPr>
        <w:t>4G LTE c</w:t>
      </w:r>
      <w:r w:rsidRPr="003D035F">
        <w:rPr>
          <w:rFonts w:ascii="Times New Roman" w:eastAsia="Times New Roman" w:hAnsi="Times New Roman" w:cs="Times New Roman"/>
          <w:snapToGrid w:val="0"/>
          <w:kern w:val="28"/>
          <w:sz w:val="24"/>
          <w:szCs w:val="24"/>
        </w:rPr>
        <w:t xml:space="preserve">overage data provided by carriers in their Form 477 submissions; </w:t>
      </w:r>
    </w:p>
    <w:p w14:paraId="4B1B1B20" w14:textId="18B0F59D" w:rsidR="00EB1C1E" w:rsidRDefault="00EB1C1E" w:rsidP="00EB1C1E">
      <w:pPr>
        <w:pStyle w:val="ListParagraph"/>
        <w:numPr>
          <w:ilvl w:val="0"/>
          <w:numId w:val="22"/>
        </w:numPr>
        <w:spacing w:line="360" w:lineRule="auto"/>
        <w:rPr>
          <w:rFonts w:ascii="Times New Roman" w:eastAsia="Times New Roman" w:hAnsi="Times New Roman" w:cs="Times New Roman"/>
          <w:snapToGrid w:val="0"/>
          <w:kern w:val="28"/>
          <w:sz w:val="24"/>
          <w:szCs w:val="24"/>
        </w:rPr>
      </w:pPr>
      <w:r>
        <w:rPr>
          <w:rFonts w:ascii="Times New Roman" w:eastAsia="Times New Roman" w:hAnsi="Times New Roman" w:cs="Times New Roman"/>
          <w:snapToGrid w:val="0"/>
          <w:kern w:val="28"/>
          <w:sz w:val="24"/>
          <w:szCs w:val="24"/>
        </w:rPr>
        <w:t>Geographic area, p</w:t>
      </w:r>
      <w:r w:rsidRPr="003D035F">
        <w:rPr>
          <w:rFonts w:ascii="Times New Roman" w:eastAsia="Times New Roman" w:hAnsi="Times New Roman" w:cs="Times New Roman"/>
          <w:snapToGrid w:val="0"/>
          <w:kern w:val="28"/>
          <w:sz w:val="24"/>
          <w:szCs w:val="24"/>
        </w:rPr>
        <w:t>opulation and road mile</w:t>
      </w:r>
      <w:r>
        <w:rPr>
          <w:rFonts w:ascii="Times New Roman" w:eastAsia="Times New Roman" w:hAnsi="Times New Roman" w:cs="Times New Roman"/>
          <w:snapToGrid w:val="0"/>
          <w:kern w:val="28"/>
          <w:sz w:val="24"/>
          <w:szCs w:val="24"/>
        </w:rPr>
        <w:t xml:space="preserve"> data</w:t>
      </w:r>
      <w:r w:rsidRPr="003D035F">
        <w:rPr>
          <w:rFonts w:ascii="Times New Roman" w:eastAsia="Times New Roman" w:hAnsi="Times New Roman" w:cs="Times New Roman"/>
          <w:snapToGrid w:val="0"/>
          <w:kern w:val="28"/>
          <w:sz w:val="24"/>
          <w:szCs w:val="24"/>
        </w:rPr>
        <w:t xml:space="preserve"> from the Census Bureau</w:t>
      </w:r>
      <w:r>
        <w:rPr>
          <w:rFonts w:ascii="Times New Roman" w:eastAsia="Times New Roman" w:hAnsi="Times New Roman" w:cs="Times New Roman"/>
          <w:snapToGrid w:val="0"/>
          <w:kern w:val="28"/>
          <w:sz w:val="24"/>
          <w:szCs w:val="24"/>
        </w:rPr>
        <w:t>;</w:t>
      </w:r>
      <w:r w:rsidRPr="003D035F">
        <w:rPr>
          <w:rFonts w:ascii="Times New Roman" w:eastAsia="Times New Roman" w:hAnsi="Times New Roman" w:cs="Times New Roman"/>
          <w:snapToGrid w:val="0"/>
          <w:kern w:val="28"/>
          <w:sz w:val="24"/>
          <w:szCs w:val="24"/>
        </w:rPr>
        <w:t xml:space="preserve"> and </w:t>
      </w:r>
    </w:p>
    <w:p w14:paraId="69EC859F" w14:textId="0D159551" w:rsidR="00EB1C1E" w:rsidRDefault="00F10C35" w:rsidP="00EB1C1E">
      <w:pPr>
        <w:pStyle w:val="ListParagraph"/>
        <w:numPr>
          <w:ilvl w:val="0"/>
          <w:numId w:val="22"/>
        </w:numPr>
        <w:spacing w:line="360" w:lineRule="auto"/>
        <w:rPr>
          <w:rFonts w:ascii="Times New Roman" w:eastAsia="Times New Roman" w:hAnsi="Times New Roman" w:cs="Times New Roman"/>
          <w:snapToGrid w:val="0"/>
          <w:kern w:val="28"/>
          <w:sz w:val="24"/>
          <w:szCs w:val="24"/>
        </w:rPr>
      </w:pPr>
      <w:r>
        <w:rPr>
          <w:rFonts w:ascii="Times New Roman" w:eastAsia="Times New Roman" w:hAnsi="Times New Roman" w:cs="Times New Roman"/>
          <w:snapToGrid w:val="0"/>
          <w:kern w:val="28"/>
          <w:sz w:val="24"/>
          <w:szCs w:val="24"/>
        </w:rPr>
        <w:t xml:space="preserve">Support </w:t>
      </w:r>
      <w:r w:rsidR="00EB1C1E" w:rsidRPr="003D035F">
        <w:rPr>
          <w:rFonts w:ascii="Times New Roman" w:eastAsia="Times New Roman" w:hAnsi="Times New Roman" w:cs="Times New Roman"/>
          <w:snapToGrid w:val="0"/>
          <w:kern w:val="28"/>
          <w:sz w:val="24"/>
          <w:szCs w:val="24"/>
        </w:rPr>
        <w:t xml:space="preserve">data from </w:t>
      </w:r>
      <w:r w:rsidR="00EB1C1E">
        <w:rPr>
          <w:rFonts w:ascii="Times New Roman" w:eastAsia="Times New Roman" w:hAnsi="Times New Roman" w:cs="Times New Roman"/>
          <w:snapToGrid w:val="0"/>
          <w:kern w:val="28"/>
          <w:sz w:val="24"/>
          <w:szCs w:val="24"/>
        </w:rPr>
        <w:t>the Universal Service Administrative Corporation (</w:t>
      </w:r>
      <w:r w:rsidR="00EB1C1E" w:rsidRPr="003D035F">
        <w:rPr>
          <w:rFonts w:ascii="Times New Roman" w:eastAsia="Times New Roman" w:hAnsi="Times New Roman" w:cs="Times New Roman"/>
          <w:snapToGrid w:val="0"/>
          <w:kern w:val="28"/>
          <w:sz w:val="24"/>
          <w:szCs w:val="24"/>
        </w:rPr>
        <w:t>USAC</w:t>
      </w:r>
      <w:r w:rsidR="00EB1C1E">
        <w:rPr>
          <w:rFonts w:ascii="Times New Roman" w:eastAsia="Times New Roman" w:hAnsi="Times New Roman" w:cs="Times New Roman"/>
          <w:snapToGrid w:val="0"/>
          <w:kern w:val="28"/>
          <w:sz w:val="24"/>
          <w:szCs w:val="24"/>
        </w:rPr>
        <w:t xml:space="preserve">) </w:t>
      </w:r>
      <w:r w:rsidR="009F6BF1">
        <w:rPr>
          <w:rFonts w:ascii="Times New Roman" w:eastAsia="Times New Roman" w:hAnsi="Times New Roman" w:cs="Times New Roman"/>
          <w:snapToGrid w:val="0"/>
          <w:kern w:val="28"/>
          <w:sz w:val="24"/>
          <w:szCs w:val="24"/>
        </w:rPr>
        <w:t xml:space="preserve">and the FCC’s website </w:t>
      </w:r>
      <w:r w:rsidR="0084432C">
        <w:rPr>
          <w:rFonts w:ascii="Times New Roman" w:eastAsia="Times New Roman" w:hAnsi="Times New Roman" w:cs="Times New Roman"/>
          <w:snapToGrid w:val="0"/>
          <w:kern w:val="28"/>
          <w:sz w:val="24"/>
          <w:szCs w:val="24"/>
        </w:rPr>
        <w:t>regarding where</w:t>
      </w:r>
      <w:r w:rsidR="00EB1C1E">
        <w:rPr>
          <w:rFonts w:ascii="Times New Roman" w:eastAsia="Times New Roman" w:hAnsi="Times New Roman" w:cs="Times New Roman"/>
          <w:snapToGrid w:val="0"/>
          <w:kern w:val="28"/>
          <w:sz w:val="24"/>
          <w:szCs w:val="24"/>
        </w:rPr>
        <w:t xml:space="preserve"> high</w:t>
      </w:r>
      <w:r w:rsidR="007F13A4">
        <w:rPr>
          <w:rFonts w:ascii="Times New Roman" w:eastAsia="Times New Roman" w:hAnsi="Times New Roman" w:cs="Times New Roman"/>
          <w:snapToGrid w:val="0"/>
          <w:kern w:val="28"/>
          <w:sz w:val="24"/>
          <w:szCs w:val="24"/>
        </w:rPr>
        <w:t>-</w:t>
      </w:r>
      <w:r w:rsidR="00EB1C1E">
        <w:rPr>
          <w:rFonts w:ascii="Times New Roman" w:eastAsia="Times New Roman" w:hAnsi="Times New Roman" w:cs="Times New Roman"/>
          <w:snapToGrid w:val="0"/>
          <w:kern w:val="28"/>
          <w:sz w:val="24"/>
          <w:szCs w:val="24"/>
        </w:rPr>
        <w:t>cost universal service support</w:t>
      </w:r>
      <w:r w:rsidR="0037453D">
        <w:rPr>
          <w:rFonts w:ascii="Times New Roman" w:eastAsia="Times New Roman" w:hAnsi="Times New Roman" w:cs="Times New Roman"/>
          <w:snapToGrid w:val="0"/>
          <w:kern w:val="28"/>
          <w:sz w:val="24"/>
          <w:szCs w:val="24"/>
        </w:rPr>
        <w:t xml:space="preserve"> </w:t>
      </w:r>
      <w:r w:rsidR="0084432C">
        <w:rPr>
          <w:rFonts w:ascii="Times New Roman" w:eastAsia="Times New Roman" w:hAnsi="Times New Roman" w:cs="Times New Roman"/>
          <w:snapToGrid w:val="0"/>
          <w:kern w:val="28"/>
          <w:sz w:val="24"/>
          <w:szCs w:val="24"/>
        </w:rPr>
        <w:t xml:space="preserve">is currently being provided </w:t>
      </w:r>
      <w:r w:rsidR="0037453D">
        <w:rPr>
          <w:rFonts w:ascii="Times New Roman" w:eastAsia="Times New Roman" w:hAnsi="Times New Roman" w:cs="Times New Roman"/>
          <w:snapToGrid w:val="0"/>
          <w:kern w:val="28"/>
          <w:sz w:val="24"/>
          <w:szCs w:val="24"/>
        </w:rPr>
        <w:t>to mobile service providers</w:t>
      </w:r>
      <w:r w:rsidR="00287BA0">
        <w:rPr>
          <w:rFonts w:ascii="Times New Roman" w:eastAsia="Times New Roman" w:hAnsi="Times New Roman" w:cs="Times New Roman"/>
          <w:snapToGrid w:val="0"/>
          <w:kern w:val="28"/>
          <w:sz w:val="24"/>
          <w:szCs w:val="24"/>
        </w:rPr>
        <w:t>.</w:t>
      </w:r>
      <w:r w:rsidR="00EB1C1E" w:rsidRPr="003D035F">
        <w:rPr>
          <w:rFonts w:ascii="Times New Roman" w:eastAsia="Times New Roman" w:hAnsi="Times New Roman" w:cs="Times New Roman"/>
          <w:snapToGrid w:val="0"/>
          <w:kern w:val="28"/>
          <w:sz w:val="24"/>
          <w:szCs w:val="24"/>
        </w:rPr>
        <w:t xml:space="preserve"> </w:t>
      </w:r>
    </w:p>
    <w:p w14:paraId="31CF0D4A" w14:textId="2D1E0696" w:rsidR="00EB1C1E" w:rsidRDefault="005A3B1D" w:rsidP="00EB1C1E">
      <w:pPr>
        <w:spacing w:line="360" w:lineRule="auto"/>
        <w:ind w:left="360"/>
        <w:rPr>
          <w:rFonts w:ascii="Times New Roman" w:eastAsia="Times New Roman" w:hAnsi="Times New Roman" w:cs="Times New Roman"/>
          <w:snapToGrid w:val="0"/>
          <w:kern w:val="28"/>
          <w:sz w:val="24"/>
          <w:szCs w:val="24"/>
        </w:rPr>
      </w:pPr>
      <w:r>
        <w:rPr>
          <w:rFonts w:ascii="Times New Roman" w:eastAsia="Times New Roman" w:hAnsi="Times New Roman" w:cs="Times New Roman"/>
          <w:snapToGrid w:val="0"/>
          <w:kern w:val="28"/>
          <w:sz w:val="24"/>
          <w:szCs w:val="24"/>
        </w:rPr>
        <w:t>E</w:t>
      </w:r>
      <w:r w:rsidR="00EB1C1E" w:rsidRPr="003D035F">
        <w:rPr>
          <w:rFonts w:ascii="Times New Roman" w:eastAsia="Times New Roman" w:hAnsi="Times New Roman" w:cs="Times New Roman"/>
          <w:snapToGrid w:val="0"/>
          <w:kern w:val="28"/>
          <w:sz w:val="24"/>
          <w:szCs w:val="24"/>
        </w:rPr>
        <w:t>ach of these data sources</w:t>
      </w:r>
      <w:r>
        <w:rPr>
          <w:rFonts w:ascii="Times New Roman" w:eastAsia="Times New Roman" w:hAnsi="Times New Roman" w:cs="Times New Roman"/>
          <w:snapToGrid w:val="0"/>
          <w:kern w:val="28"/>
          <w:sz w:val="24"/>
          <w:szCs w:val="24"/>
        </w:rPr>
        <w:t xml:space="preserve"> is explained in greater detail below</w:t>
      </w:r>
      <w:r w:rsidR="00EB1C1E" w:rsidRPr="003D035F">
        <w:rPr>
          <w:rFonts w:ascii="Times New Roman" w:eastAsia="Times New Roman" w:hAnsi="Times New Roman" w:cs="Times New Roman"/>
          <w:snapToGrid w:val="0"/>
          <w:kern w:val="28"/>
          <w:sz w:val="24"/>
          <w:szCs w:val="24"/>
        </w:rPr>
        <w:t>.</w:t>
      </w:r>
    </w:p>
    <w:p w14:paraId="6F3D9244" w14:textId="77777777" w:rsidR="00EB1C1E" w:rsidRPr="00607313" w:rsidRDefault="00EB1C1E" w:rsidP="00FB40CF">
      <w:pPr>
        <w:pStyle w:val="Subtitle"/>
        <w:keepNext/>
        <w:numPr>
          <w:ilvl w:val="0"/>
          <w:numId w:val="15"/>
        </w:numPr>
        <w:ind w:left="360"/>
        <w:rPr>
          <w:rFonts w:ascii="Times New Roman" w:hAnsi="Times New Roman" w:cs="Times New Roman"/>
        </w:rPr>
      </w:pPr>
      <w:r w:rsidRPr="00A56236">
        <w:rPr>
          <w:rFonts w:ascii="Times New Roman" w:hAnsi="Times New Roman" w:cs="Times New Roman"/>
        </w:rPr>
        <w:t>Coverage Data</w:t>
      </w:r>
    </w:p>
    <w:p w14:paraId="7C68C3CC" w14:textId="7855DC81" w:rsidR="0037453D" w:rsidRDefault="0037453D" w:rsidP="00702196">
      <w:pPr>
        <w:pStyle w:val="ListParagraph"/>
        <w:numPr>
          <w:ilvl w:val="0"/>
          <w:numId w:val="16"/>
        </w:numPr>
        <w:spacing w:line="360" w:lineRule="auto"/>
        <w:ind w:hanging="450"/>
        <w:contextualSpacing w:val="0"/>
        <w:rPr>
          <w:rFonts w:ascii="Times New Roman" w:eastAsia="Times New Roman" w:hAnsi="Times New Roman" w:cs="Times New Roman"/>
          <w:snapToGrid w:val="0"/>
          <w:kern w:val="28"/>
          <w:sz w:val="24"/>
          <w:szCs w:val="24"/>
        </w:rPr>
      </w:pPr>
      <w:r>
        <w:rPr>
          <w:rFonts w:ascii="Times New Roman" w:eastAsia="Times New Roman" w:hAnsi="Times New Roman" w:cs="Times New Roman"/>
          <w:snapToGrid w:val="0"/>
          <w:kern w:val="28"/>
          <w:sz w:val="24"/>
          <w:szCs w:val="24"/>
        </w:rPr>
        <w:t xml:space="preserve">In 2013, the Commission took a significant step forward in its </w:t>
      </w:r>
      <w:r>
        <w:rPr>
          <w:rFonts w:ascii="Times New Roman" w:hAnsi="Times New Roman" w:cs="Times New Roman"/>
          <w:i/>
          <w:spacing w:val="-2"/>
          <w:sz w:val="24"/>
          <w:szCs w:val="24"/>
        </w:rPr>
        <w:t xml:space="preserve">Modernizing the FCC Form 477 Data Program </w:t>
      </w:r>
      <w:r>
        <w:rPr>
          <w:rFonts w:ascii="Times New Roman" w:hAnsi="Times New Roman" w:cs="Times New Roman"/>
          <w:spacing w:val="-2"/>
          <w:sz w:val="24"/>
          <w:szCs w:val="24"/>
        </w:rPr>
        <w:t>Order, which substantially revised and enhanced its collection of mobile voice and broadband coverage data.</w:t>
      </w:r>
      <w:r w:rsidR="00F71F47">
        <w:rPr>
          <w:rStyle w:val="FootnoteReference"/>
          <w:rFonts w:cs="Times New Roman"/>
          <w:spacing w:val="-2"/>
          <w:szCs w:val="24"/>
        </w:rPr>
        <w:footnoteReference w:id="6"/>
      </w:r>
      <w:r>
        <w:rPr>
          <w:rFonts w:ascii="Times New Roman" w:hAnsi="Times New Roman" w:cs="Times New Roman"/>
          <w:spacing w:val="-2"/>
          <w:sz w:val="24"/>
          <w:szCs w:val="24"/>
        </w:rPr>
        <w:t xml:space="preserve"> </w:t>
      </w:r>
      <w:r w:rsidRPr="00E8246C">
        <w:t xml:space="preserve"> </w:t>
      </w:r>
      <w:r w:rsidRPr="00E8246C">
        <w:rPr>
          <w:rFonts w:ascii="Times New Roman" w:eastAsia="Times New Roman" w:hAnsi="Times New Roman" w:cs="Times New Roman"/>
          <w:snapToGrid w:val="0"/>
          <w:kern w:val="28"/>
          <w:sz w:val="24"/>
          <w:szCs w:val="24"/>
        </w:rPr>
        <w:t>The scope and nature of the new Form 477 data on mobile services coverage was an improvement over earlier data sources in key respects, such as the</w:t>
      </w:r>
      <w:r>
        <w:rPr>
          <w:rFonts w:ascii="Times New Roman" w:eastAsia="Times New Roman" w:hAnsi="Times New Roman" w:cs="Times New Roman"/>
          <w:snapToGrid w:val="0"/>
          <w:kern w:val="28"/>
          <w:sz w:val="24"/>
          <w:szCs w:val="24"/>
        </w:rPr>
        <w:t xml:space="preserve"> uniformity of data reporting.</w:t>
      </w:r>
      <w:r w:rsidR="006C39B4">
        <w:rPr>
          <w:rStyle w:val="FootnoteReference"/>
          <w:rFonts w:eastAsia="Times New Roman" w:cs="Times New Roman"/>
          <w:snapToGrid w:val="0"/>
          <w:kern w:val="28"/>
          <w:szCs w:val="24"/>
        </w:rPr>
        <w:footnoteReference w:id="7"/>
      </w:r>
      <w:r>
        <w:rPr>
          <w:rFonts w:ascii="Times New Roman" w:eastAsia="Times New Roman" w:hAnsi="Times New Roman" w:cs="Times New Roman"/>
          <w:snapToGrid w:val="0"/>
          <w:kern w:val="28"/>
          <w:sz w:val="24"/>
          <w:szCs w:val="24"/>
        </w:rPr>
        <w:t xml:space="preserve"> </w:t>
      </w:r>
      <w:r w:rsidR="006C39B4">
        <w:rPr>
          <w:rFonts w:ascii="Times New Roman" w:eastAsia="Times New Roman" w:hAnsi="Times New Roman" w:cs="Times New Roman"/>
          <w:snapToGrid w:val="0"/>
          <w:kern w:val="28"/>
          <w:sz w:val="24"/>
          <w:szCs w:val="24"/>
        </w:rPr>
        <w:t xml:space="preserve"> </w:t>
      </w:r>
      <w:r>
        <w:rPr>
          <w:rFonts w:ascii="Times New Roman" w:eastAsia="Times New Roman" w:hAnsi="Times New Roman" w:cs="Times New Roman"/>
          <w:snapToGrid w:val="0"/>
          <w:kern w:val="28"/>
          <w:sz w:val="24"/>
          <w:szCs w:val="24"/>
        </w:rPr>
        <w:t>In 2014</w:t>
      </w:r>
      <w:r w:rsidRPr="00E8246C">
        <w:rPr>
          <w:rFonts w:ascii="Times New Roman" w:eastAsia="Times New Roman" w:hAnsi="Times New Roman" w:cs="Times New Roman"/>
          <w:snapToGrid w:val="0"/>
          <w:kern w:val="28"/>
          <w:sz w:val="24"/>
          <w:szCs w:val="24"/>
        </w:rPr>
        <w:t>, the Commission proposed to use Form 477 mobile deployment data, rather than earlier sources, as it moved forward on mobile broadband universal service issues.</w:t>
      </w:r>
      <w:r w:rsidR="00FC137E">
        <w:rPr>
          <w:rStyle w:val="FootnoteReference"/>
          <w:rFonts w:eastAsia="Times New Roman" w:cs="Times New Roman"/>
          <w:snapToGrid w:val="0"/>
          <w:kern w:val="28"/>
          <w:szCs w:val="24"/>
        </w:rPr>
        <w:footnoteReference w:id="8"/>
      </w:r>
    </w:p>
    <w:p w14:paraId="1D7BEC6D" w14:textId="35B6C8AD" w:rsidR="00EB1C1E" w:rsidRPr="00524A86" w:rsidRDefault="00E055D5" w:rsidP="00702196">
      <w:pPr>
        <w:pStyle w:val="ListParagraph"/>
        <w:numPr>
          <w:ilvl w:val="0"/>
          <w:numId w:val="16"/>
        </w:numPr>
        <w:spacing w:line="360" w:lineRule="auto"/>
        <w:ind w:hanging="450"/>
        <w:contextualSpacing w:val="0"/>
        <w:rPr>
          <w:rFonts w:ascii="Times New Roman" w:eastAsia="Times New Roman" w:hAnsi="Times New Roman" w:cs="Times New Roman"/>
          <w:snapToGrid w:val="0"/>
          <w:kern w:val="28"/>
          <w:sz w:val="24"/>
          <w:szCs w:val="24"/>
        </w:rPr>
      </w:pPr>
      <w:r>
        <w:rPr>
          <w:rFonts w:ascii="Times New Roman" w:eastAsia="Times New Roman" w:hAnsi="Times New Roman" w:cs="Times New Roman"/>
          <w:snapToGrid w:val="0"/>
          <w:kern w:val="28"/>
          <w:sz w:val="24"/>
          <w:szCs w:val="24"/>
        </w:rPr>
        <w:t xml:space="preserve">Before </w:t>
      </w:r>
      <w:r w:rsidR="00B845BC">
        <w:rPr>
          <w:rFonts w:ascii="Times New Roman" w:eastAsia="Times New Roman" w:hAnsi="Times New Roman" w:cs="Times New Roman"/>
          <w:snapToGrid w:val="0"/>
          <w:kern w:val="28"/>
          <w:sz w:val="24"/>
          <w:szCs w:val="24"/>
        </w:rPr>
        <w:t xml:space="preserve">the new </w:t>
      </w:r>
      <w:r>
        <w:rPr>
          <w:rFonts w:ascii="Times New Roman" w:eastAsia="Times New Roman" w:hAnsi="Times New Roman" w:cs="Times New Roman"/>
          <w:snapToGrid w:val="0"/>
          <w:kern w:val="28"/>
          <w:sz w:val="24"/>
          <w:szCs w:val="24"/>
        </w:rPr>
        <w:t xml:space="preserve">Form 477 data were available, </w:t>
      </w:r>
      <w:r w:rsidR="00EB1C1E" w:rsidRPr="00494399">
        <w:rPr>
          <w:rFonts w:ascii="Times New Roman" w:eastAsia="Times New Roman" w:hAnsi="Times New Roman" w:cs="Times New Roman"/>
          <w:snapToGrid w:val="0"/>
          <w:kern w:val="28"/>
          <w:sz w:val="24"/>
          <w:szCs w:val="24"/>
        </w:rPr>
        <w:t>the Commission relied o</w:t>
      </w:r>
      <w:r w:rsidR="00EB1C1E">
        <w:rPr>
          <w:rFonts w:ascii="Times New Roman" w:eastAsia="Times New Roman" w:hAnsi="Times New Roman" w:cs="Times New Roman"/>
          <w:snapToGrid w:val="0"/>
          <w:kern w:val="28"/>
          <w:sz w:val="24"/>
          <w:szCs w:val="24"/>
        </w:rPr>
        <w:t>n</w:t>
      </w:r>
      <w:r w:rsidR="00EB1C1E" w:rsidRPr="00494399">
        <w:rPr>
          <w:rFonts w:ascii="Times New Roman" w:eastAsia="Times New Roman" w:hAnsi="Times New Roman" w:cs="Times New Roman"/>
          <w:snapToGrid w:val="0"/>
          <w:kern w:val="28"/>
          <w:sz w:val="24"/>
          <w:szCs w:val="24"/>
        </w:rPr>
        <w:t xml:space="preserve"> coverage data from Mosaik Solutions (formerly known as American Roamer),</w:t>
      </w:r>
      <w:r>
        <w:rPr>
          <w:rStyle w:val="FootnoteReference"/>
          <w:rFonts w:eastAsia="Times New Roman" w:cs="Times New Roman"/>
          <w:snapToGrid w:val="0"/>
          <w:kern w:val="28"/>
          <w:szCs w:val="24"/>
        </w:rPr>
        <w:footnoteReference w:id="9"/>
      </w:r>
      <w:r w:rsidR="00EB1C1E" w:rsidRPr="00494399">
        <w:rPr>
          <w:rFonts w:ascii="Times New Roman" w:eastAsia="Times New Roman" w:hAnsi="Times New Roman" w:cs="Times New Roman"/>
          <w:snapToGrid w:val="0"/>
          <w:kern w:val="28"/>
          <w:sz w:val="24"/>
          <w:szCs w:val="24"/>
        </w:rPr>
        <w:t xml:space="preserve"> </w:t>
      </w:r>
      <w:r w:rsidR="00B845BC">
        <w:rPr>
          <w:rFonts w:ascii="Times New Roman" w:eastAsia="Times New Roman" w:hAnsi="Times New Roman" w:cs="Times New Roman"/>
          <w:snapToGrid w:val="0"/>
          <w:kern w:val="28"/>
          <w:sz w:val="24"/>
          <w:szCs w:val="24"/>
        </w:rPr>
        <w:t xml:space="preserve">to define </w:t>
      </w:r>
      <w:r>
        <w:rPr>
          <w:rFonts w:ascii="Times New Roman" w:eastAsia="Times New Roman" w:hAnsi="Times New Roman" w:cs="Times New Roman"/>
          <w:snapToGrid w:val="0"/>
          <w:kern w:val="28"/>
          <w:sz w:val="24"/>
          <w:szCs w:val="24"/>
        </w:rPr>
        <w:t>eligible areas for purposes of providing one-time support</w:t>
      </w:r>
      <w:r w:rsidR="00901BE9">
        <w:rPr>
          <w:rFonts w:ascii="Times New Roman" w:eastAsia="Times New Roman" w:hAnsi="Times New Roman" w:cs="Times New Roman"/>
          <w:snapToGrid w:val="0"/>
          <w:kern w:val="28"/>
          <w:sz w:val="24"/>
          <w:szCs w:val="24"/>
        </w:rPr>
        <w:t xml:space="preserve"> </w:t>
      </w:r>
      <w:r w:rsidR="002211F0">
        <w:rPr>
          <w:rFonts w:ascii="Times New Roman" w:eastAsia="Times New Roman" w:hAnsi="Times New Roman" w:cs="Times New Roman"/>
          <w:snapToGrid w:val="0"/>
          <w:kern w:val="28"/>
          <w:sz w:val="24"/>
          <w:szCs w:val="24"/>
        </w:rPr>
        <w:t xml:space="preserve">through reverse auctions </w:t>
      </w:r>
      <w:r w:rsidR="00901BE9">
        <w:rPr>
          <w:rFonts w:ascii="Times New Roman" w:eastAsia="Times New Roman" w:hAnsi="Times New Roman" w:cs="Times New Roman"/>
          <w:snapToGrid w:val="0"/>
          <w:kern w:val="28"/>
          <w:sz w:val="24"/>
          <w:szCs w:val="24"/>
        </w:rPr>
        <w:t>under Mobility Fund Phase I</w:t>
      </w:r>
      <w:r w:rsidR="00F71F47">
        <w:rPr>
          <w:rFonts w:ascii="Times New Roman" w:eastAsia="Times New Roman" w:hAnsi="Times New Roman" w:cs="Times New Roman"/>
          <w:snapToGrid w:val="0"/>
          <w:kern w:val="28"/>
          <w:sz w:val="24"/>
          <w:szCs w:val="24"/>
        </w:rPr>
        <w:t xml:space="preserve"> (</w:t>
      </w:r>
      <w:r w:rsidR="00B524E8">
        <w:rPr>
          <w:rFonts w:ascii="Times New Roman" w:eastAsia="Times New Roman" w:hAnsi="Times New Roman" w:cs="Times New Roman"/>
          <w:snapToGrid w:val="0"/>
          <w:kern w:val="28"/>
          <w:sz w:val="24"/>
          <w:szCs w:val="24"/>
        </w:rPr>
        <w:t>MF-I</w:t>
      </w:r>
      <w:r w:rsidR="00F71F47">
        <w:rPr>
          <w:rFonts w:ascii="Times New Roman" w:eastAsia="Times New Roman" w:hAnsi="Times New Roman" w:cs="Times New Roman"/>
          <w:snapToGrid w:val="0"/>
          <w:kern w:val="28"/>
          <w:sz w:val="24"/>
          <w:szCs w:val="24"/>
        </w:rPr>
        <w:t>)</w:t>
      </w:r>
      <w:r>
        <w:rPr>
          <w:rFonts w:ascii="Times New Roman" w:eastAsia="Times New Roman" w:hAnsi="Times New Roman" w:cs="Times New Roman"/>
          <w:snapToGrid w:val="0"/>
          <w:kern w:val="28"/>
          <w:sz w:val="24"/>
          <w:szCs w:val="24"/>
        </w:rPr>
        <w:t>.</w:t>
      </w:r>
      <w:r w:rsidR="00EB1C1E">
        <w:rPr>
          <w:rStyle w:val="FootnoteReference"/>
          <w:rFonts w:eastAsia="Times New Roman" w:cs="Times New Roman"/>
          <w:snapToGrid w:val="0"/>
          <w:kern w:val="28"/>
          <w:szCs w:val="24"/>
        </w:rPr>
        <w:footnoteReference w:id="10"/>
      </w:r>
      <w:r w:rsidR="00D42D11">
        <w:rPr>
          <w:rFonts w:ascii="Times New Roman" w:eastAsia="Times New Roman" w:hAnsi="Times New Roman" w:cs="Times New Roman"/>
          <w:snapToGrid w:val="0"/>
          <w:kern w:val="28"/>
          <w:sz w:val="24"/>
          <w:szCs w:val="24"/>
        </w:rPr>
        <w:t xml:space="preserve"> </w:t>
      </w:r>
      <w:r w:rsidR="00EB1C1E" w:rsidRPr="00494399">
        <w:rPr>
          <w:rFonts w:ascii="Times New Roman" w:eastAsia="Times New Roman" w:hAnsi="Times New Roman" w:cs="Times New Roman"/>
          <w:snapToGrid w:val="0"/>
          <w:kern w:val="28"/>
          <w:sz w:val="24"/>
          <w:szCs w:val="24"/>
        </w:rPr>
        <w:t xml:space="preserve"> While </w:t>
      </w:r>
      <w:r w:rsidR="00EB1C1E">
        <w:rPr>
          <w:rFonts w:ascii="Times New Roman" w:eastAsia="Times New Roman" w:hAnsi="Times New Roman" w:cs="Times New Roman"/>
          <w:snapToGrid w:val="0"/>
          <w:kern w:val="28"/>
          <w:sz w:val="24"/>
          <w:szCs w:val="24"/>
        </w:rPr>
        <w:t>this</w:t>
      </w:r>
      <w:r w:rsidR="00EB1C1E" w:rsidRPr="00494399">
        <w:rPr>
          <w:rFonts w:ascii="Times New Roman" w:eastAsia="Times New Roman" w:hAnsi="Times New Roman" w:cs="Times New Roman"/>
          <w:snapToGrid w:val="0"/>
          <w:kern w:val="28"/>
          <w:sz w:val="24"/>
          <w:szCs w:val="24"/>
        </w:rPr>
        <w:t xml:space="preserve"> dataset was one of the best available, it still had various shor</w:t>
      </w:r>
      <w:r w:rsidR="00EB1C1E">
        <w:rPr>
          <w:rFonts w:ascii="Times New Roman" w:eastAsia="Times New Roman" w:hAnsi="Times New Roman" w:cs="Times New Roman"/>
          <w:snapToGrid w:val="0"/>
          <w:kern w:val="28"/>
          <w:sz w:val="24"/>
          <w:szCs w:val="24"/>
        </w:rPr>
        <w:t xml:space="preserve">tcomings. </w:t>
      </w:r>
      <w:r w:rsidR="004D1C9B">
        <w:rPr>
          <w:rFonts w:ascii="Times New Roman" w:eastAsia="Times New Roman" w:hAnsi="Times New Roman" w:cs="Times New Roman"/>
          <w:snapToGrid w:val="0"/>
          <w:kern w:val="28"/>
          <w:sz w:val="24"/>
          <w:szCs w:val="24"/>
        </w:rPr>
        <w:t xml:space="preserve"> </w:t>
      </w:r>
      <w:r w:rsidR="00EB1C1E" w:rsidRPr="00494399">
        <w:rPr>
          <w:rFonts w:ascii="Times New Roman" w:eastAsia="Times New Roman" w:hAnsi="Times New Roman" w:cs="Times New Roman"/>
          <w:snapToGrid w:val="0"/>
          <w:kern w:val="28"/>
          <w:sz w:val="24"/>
          <w:szCs w:val="24"/>
        </w:rPr>
        <w:t xml:space="preserve">For example, </w:t>
      </w:r>
      <w:r>
        <w:rPr>
          <w:rFonts w:ascii="Times New Roman" w:eastAsia="Times New Roman" w:hAnsi="Times New Roman" w:cs="Times New Roman"/>
          <w:snapToGrid w:val="0"/>
          <w:kern w:val="28"/>
          <w:sz w:val="24"/>
          <w:szCs w:val="24"/>
        </w:rPr>
        <w:t xml:space="preserve">its </w:t>
      </w:r>
      <w:r w:rsidR="00EB1C1E" w:rsidRPr="00494399">
        <w:rPr>
          <w:rFonts w:ascii="Times New Roman" w:eastAsia="Times New Roman" w:hAnsi="Times New Roman" w:cs="Times New Roman"/>
          <w:snapToGrid w:val="0"/>
          <w:kern w:val="28"/>
          <w:sz w:val="24"/>
          <w:szCs w:val="24"/>
        </w:rPr>
        <w:t xml:space="preserve">data </w:t>
      </w:r>
      <w:r>
        <w:rPr>
          <w:rFonts w:ascii="Times New Roman" w:eastAsia="Times New Roman" w:hAnsi="Times New Roman" w:cs="Times New Roman"/>
          <w:snapToGrid w:val="0"/>
          <w:kern w:val="28"/>
          <w:sz w:val="24"/>
          <w:szCs w:val="24"/>
        </w:rPr>
        <w:t>are</w:t>
      </w:r>
      <w:r w:rsidR="00EB1C1E">
        <w:rPr>
          <w:rFonts w:ascii="Times New Roman" w:eastAsia="Times New Roman" w:hAnsi="Times New Roman" w:cs="Times New Roman"/>
          <w:snapToGrid w:val="0"/>
          <w:kern w:val="28"/>
          <w:sz w:val="24"/>
          <w:szCs w:val="24"/>
        </w:rPr>
        <w:t xml:space="preserve"> not collected</w:t>
      </w:r>
      <w:r w:rsidR="00EB1C1E" w:rsidRPr="00494399">
        <w:rPr>
          <w:rFonts w:ascii="Times New Roman" w:eastAsia="Times New Roman" w:hAnsi="Times New Roman" w:cs="Times New Roman"/>
          <w:snapToGrid w:val="0"/>
          <w:kern w:val="28"/>
          <w:sz w:val="24"/>
          <w:szCs w:val="24"/>
        </w:rPr>
        <w:t xml:space="preserve"> </w:t>
      </w:r>
      <w:r w:rsidR="00EB1C1E">
        <w:rPr>
          <w:rFonts w:ascii="Times New Roman" w:eastAsia="Times New Roman" w:hAnsi="Times New Roman" w:cs="Times New Roman"/>
          <w:snapToGrid w:val="0"/>
          <w:kern w:val="28"/>
          <w:sz w:val="24"/>
          <w:szCs w:val="24"/>
        </w:rPr>
        <w:t xml:space="preserve">under a </w:t>
      </w:r>
      <w:r w:rsidR="00EB1C1E" w:rsidRPr="00494399">
        <w:rPr>
          <w:rFonts w:ascii="Times New Roman" w:eastAsia="Times New Roman" w:hAnsi="Times New Roman" w:cs="Times New Roman"/>
          <w:snapToGrid w:val="0"/>
          <w:kern w:val="28"/>
          <w:sz w:val="24"/>
          <w:szCs w:val="24"/>
        </w:rPr>
        <w:t xml:space="preserve">consistent </w:t>
      </w:r>
      <w:r w:rsidR="00EB1C1E">
        <w:rPr>
          <w:rFonts w:ascii="Times New Roman" w:eastAsia="Times New Roman" w:hAnsi="Times New Roman" w:cs="Times New Roman"/>
          <w:snapToGrid w:val="0"/>
          <w:kern w:val="28"/>
          <w:sz w:val="24"/>
          <w:szCs w:val="24"/>
        </w:rPr>
        <w:t xml:space="preserve">methodology </w:t>
      </w:r>
      <w:r w:rsidR="00EB1C1E" w:rsidRPr="00494399">
        <w:rPr>
          <w:rFonts w:ascii="Times New Roman" w:eastAsia="Times New Roman" w:hAnsi="Times New Roman" w:cs="Times New Roman"/>
          <w:snapToGrid w:val="0"/>
          <w:kern w:val="28"/>
          <w:sz w:val="24"/>
          <w:szCs w:val="24"/>
        </w:rPr>
        <w:t>across geographic areas and service providers.</w:t>
      </w:r>
      <w:r w:rsidR="00EB1C1E">
        <w:rPr>
          <w:rFonts w:ascii="Times New Roman" w:eastAsia="Times New Roman" w:hAnsi="Times New Roman" w:cs="Times New Roman"/>
          <w:snapToGrid w:val="0"/>
          <w:kern w:val="28"/>
          <w:sz w:val="24"/>
          <w:szCs w:val="24"/>
        </w:rPr>
        <w:t xml:space="preserve">  In addition, </w:t>
      </w:r>
      <w:r w:rsidR="00EB1C1E" w:rsidRPr="00B17292">
        <w:rPr>
          <w:rFonts w:ascii="Times New Roman" w:eastAsia="Times New Roman" w:hAnsi="Times New Roman" w:cs="Times New Roman"/>
          <w:snapToGrid w:val="0"/>
          <w:kern w:val="28"/>
          <w:sz w:val="24"/>
          <w:szCs w:val="24"/>
        </w:rPr>
        <w:t xml:space="preserve">Mosaik data </w:t>
      </w:r>
      <w:r>
        <w:rPr>
          <w:rFonts w:ascii="Times New Roman" w:eastAsia="Times New Roman" w:hAnsi="Times New Roman" w:cs="Times New Roman"/>
          <w:snapToGrid w:val="0"/>
          <w:kern w:val="28"/>
          <w:sz w:val="24"/>
          <w:szCs w:val="24"/>
        </w:rPr>
        <w:t>are</w:t>
      </w:r>
      <w:r w:rsidR="00EB1C1E" w:rsidRPr="00B17292">
        <w:rPr>
          <w:rFonts w:ascii="Times New Roman" w:eastAsia="Times New Roman" w:hAnsi="Times New Roman" w:cs="Times New Roman"/>
          <w:snapToGrid w:val="0"/>
          <w:kern w:val="28"/>
          <w:sz w:val="24"/>
          <w:szCs w:val="24"/>
        </w:rPr>
        <w:t xml:space="preserve"> commercially</w:t>
      </w:r>
      <w:r>
        <w:rPr>
          <w:rFonts w:ascii="Times New Roman" w:eastAsia="Times New Roman" w:hAnsi="Times New Roman" w:cs="Times New Roman"/>
          <w:snapToGrid w:val="0"/>
          <w:kern w:val="28"/>
          <w:sz w:val="24"/>
          <w:szCs w:val="24"/>
        </w:rPr>
        <w:t xml:space="preserve"> </w:t>
      </w:r>
      <w:r w:rsidR="00EB1C1E" w:rsidRPr="00B17292">
        <w:rPr>
          <w:rFonts w:ascii="Times New Roman" w:eastAsia="Times New Roman" w:hAnsi="Times New Roman" w:cs="Times New Roman"/>
          <w:snapToGrid w:val="0"/>
          <w:kern w:val="28"/>
          <w:sz w:val="24"/>
          <w:szCs w:val="24"/>
        </w:rPr>
        <w:t>provided subject to intellectual property protections</w:t>
      </w:r>
      <w:r w:rsidR="00EB1C1E">
        <w:rPr>
          <w:rFonts w:ascii="Times New Roman" w:eastAsia="Times New Roman" w:hAnsi="Times New Roman" w:cs="Times New Roman"/>
          <w:snapToGrid w:val="0"/>
          <w:kern w:val="28"/>
          <w:sz w:val="24"/>
          <w:szCs w:val="24"/>
        </w:rPr>
        <w:t xml:space="preserve">, </w:t>
      </w:r>
      <w:r>
        <w:rPr>
          <w:rFonts w:ascii="Times New Roman" w:eastAsia="Times New Roman" w:hAnsi="Times New Roman" w:cs="Times New Roman"/>
          <w:snapToGrid w:val="0"/>
          <w:kern w:val="28"/>
          <w:sz w:val="24"/>
          <w:szCs w:val="24"/>
        </w:rPr>
        <w:t xml:space="preserve">somewhat limiting </w:t>
      </w:r>
      <w:r w:rsidR="005A3B1D">
        <w:rPr>
          <w:rFonts w:ascii="Times New Roman" w:eastAsia="Times New Roman" w:hAnsi="Times New Roman" w:cs="Times New Roman"/>
          <w:snapToGrid w:val="0"/>
          <w:kern w:val="28"/>
          <w:sz w:val="24"/>
          <w:szCs w:val="24"/>
        </w:rPr>
        <w:t>their</w:t>
      </w:r>
      <w:r w:rsidR="00EB1C1E" w:rsidRPr="00B17292">
        <w:rPr>
          <w:rFonts w:ascii="Times New Roman" w:eastAsia="Times New Roman" w:hAnsi="Times New Roman" w:cs="Times New Roman"/>
          <w:snapToGrid w:val="0"/>
          <w:kern w:val="28"/>
          <w:sz w:val="24"/>
          <w:szCs w:val="24"/>
        </w:rPr>
        <w:t xml:space="preserve"> utility in the public policy sphere. </w:t>
      </w:r>
      <w:r w:rsidR="004D1C9B">
        <w:rPr>
          <w:rFonts w:ascii="Times New Roman" w:eastAsia="Times New Roman" w:hAnsi="Times New Roman" w:cs="Times New Roman"/>
          <w:snapToGrid w:val="0"/>
          <w:kern w:val="28"/>
          <w:sz w:val="24"/>
          <w:szCs w:val="24"/>
        </w:rPr>
        <w:t xml:space="preserve"> </w:t>
      </w:r>
      <w:r w:rsidR="00EB1C1E" w:rsidRPr="00524A86">
        <w:rPr>
          <w:rFonts w:ascii="Times New Roman" w:eastAsia="Times New Roman" w:hAnsi="Times New Roman" w:cs="Times New Roman"/>
          <w:snapToGrid w:val="0"/>
          <w:kern w:val="28"/>
          <w:sz w:val="24"/>
          <w:szCs w:val="24"/>
        </w:rPr>
        <w:t xml:space="preserve">The Commission has long </w:t>
      </w:r>
      <w:r w:rsidRPr="00524A86">
        <w:rPr>
          <w:rFonts w:ascii="Times New Roman" w:eastAsia="Times New Roman" w:hAnsi="Times New Roman" w:cs="Times New Roman"/>
          <w:snapToGrid w:val="0"/>
          <w:kern w:val="28"/>
          <w:sz w:val="24"/>
          <w:szCs w:val="24"/>
        </w:rPr>
        <w:t xml:space="preserve">expressed concern </w:t>
      </w:r>
      <w:r w:rsidR="00EB1C1E" w:rsidRPr="00524A86">
        <w:rPr>
          <w:rFonts w:ascii="Times New Roman" w:eastAsia="Times New Roman" w:hAnsi="Times New Roman" w:cs="Times New Roman"/>
          <w:snapToGrid w:val="0"/>
          <w:kern w:val="28"/>
          <w:sz w:val="24"/>
          <w:szCs w:val="24"/>
        </w:rPr>
        <w:t>that Mosaik data</w:t>
      </w:r>
      <w:r w:rsidR="004D1C9B" w:rsidRPr="00524A86">
        <w:rPr>
          <w:rFonts w:ascii="Times New Roman" w:eastAsia="Times New Roman" w:hAnsi="Times New Roman" w:cs="Times New Roman"/>
          <w:snapToGrid w:val="0"/>
          <w:kern w:val="28"/>
          <w:sz w:val="24"/>
          <w:szCs w:val="24"/>
        </w:rPr>
        <w:t>, for various reasons,</w:t>
      </w:r>
      <w:r w:rsidR="00EB1C1E" w:rsidRPr="00524A86">
        <w:rPr>
          <w:rFonts w:ascii="Times New Roman" w:eastAsia="Times New Roman" w:hAnsi="Times New Roman" w:cs="Times New Roman"/>
          <w:snapToGrid w:val="0"/>
          <w:kern w:val="28"/>
          <w:sz w:val="24"/>
          <w:szCs w:val="24"/>
        </w:rPr>
        <w:t xml:space="preserve"> likely overstate</w:t>
      </w:r>
      <w:r w:rsidR="004C4D2E">
        <w:rPr>
          <w:rFonts w:ascii="Times New Roman" w:eastAsia="Times New Roman" w:hAnsi="Times New Roman" w:cs="Times New Roman"/>
          <w:snapToGrid w:val="0"/>
          <w:kern w:val="28"/>
          <w:sz w:val="24"/>
          <w:szCs w:val="24"/>
        </w:rPr>
        <w:t>s</w:t>
      </w:r>
      <w:r w:rsidR="00EB1C1E" w:rsidRPr="00524A86">
        <w:rPr>
          <w:rFonts w:ascii="Times New Roman" w:eastAsia="Times New Roman" w:hAnsi="Times New Roman" w:cs="Times New Roman"/>
          <w:snapToGrid w:val="0"/>
          <w:kern w:val="28"/>
          <w:sz w:val="24"/>
          <w:szCs w:val="24"/>
        </w:rPr>
        <w:t xml:space="preserve"> the extent of mobile broadband coverage.  </w:t>
      </w:r>
      <w:r w:rsidR="004D1C9B" w:rsidRPr="00524A86">
        <w:rPr>
          <w:rFonts w:ascii="Times New Roman" w:eastAsia="Times New Roman" w:hAnsi="Times New Roman" w:cs="Times New Roman"/>
          <w:snapToGrid w:val="0"/>
          <w:kern w:val="28"/>
          <w:sz w:val="24"/>
          <w:szCs w:val="24"/>
        </w:rPr>
        <w:t>For instance, i</w:t>
      </w:r>
      <w:r w:rsidR="00EB1C1E" w:rsidRPr="00524A86">
        <w:rPr>
          <w:rFonts w:ascii="Times New Roman" w:eastAsia="Times New Roman" w:hAnsi="Times New Roman" w:cs="Times New Roman"/>
          <w:snapToGrid w:val="0"/>
          <w:kern w:val="28"/>
          <w:sz w:val="24"/>
          <w:szCs w:val="24"/>
        </w:rPr>
        <w:t xml:space="preserve">n 2010, the Commission’s National Broadband Plan relied on American Roamer data with respect to mobile broadband availability, but pointed out that the coverage </w:t>
      </w:r>
      <w:r w:rsidR="004D1C9B" w:rsidRPr="00524A86">
        <w:rPr>
          <w:rFonts w:ascii="Times New Roman" w:eastAsia="Times New Roman" w:hAnsi="Times New Roman" w:cs="Times New Roman"/>
          <w:snapToGrid w:val="0"/>
          <w:kern w:val="28"/>
          <w:sz w:val="24"/>
          <w:szCs w:val="24"/>
        </w:rPr>
        <w:t>wa</w:t>
      </w:r>
      <w:r w:rsidR="00EB1C1E" w:rsidRPr="00524A86">
        <w:rPr>
          <w:rFonts w:ascii="Times New Roman" w:eastAsia="Times New Roman" w:hAnsi="Times New Roman" w:cs="Times New Roman"/>
          <w:snapToGrid w:val="0"/>
          <w:kern w:val="28"/>
          <w:sz w:val="24"/>
          <w:szCs w:val="24"/>
        </w:rPr>
        <w:t>s likely overstated.</w:t>
      </w:r>
      <w:r w:rsidR="00EB1C1E">
        <w:rPr>
          <w:rStyle w:val="FootnoteReference"/>
          <w:rFonts w:eastAsia="Times New Roman" w:cs="Times New Roman"/>
          <w:snapToGrid w:val="0"/>
          <w:kern w:val="28"/>
          <w:szCs w:val="24"/>
        </w:rPr>
        <w:footnoteReference w:id="11"/>
      </w:r>
      <w:r w:rsidR="00D42D11">
        <w:rPr>
          <w:rFonts w:ascii="Times New Roman" w:eastAsia="Times New Roman" w:hAnsi="Times New Roman" w:cs="Times New Roman"/>
          <w:snapToGrid w:val="0"/>
          <w:kern w:val="28"/>
          <w:sz w:val="24"/>
          <w:szCs w:val="24"/>
        </w:rPr>
        <w:t xml:space="preserve">  </w:t>
      </w:r>
    </w:p>
    <w:p w14:paraId="3629E49E" w14:textId="250DCDA5" w:rsidR="00EB1C1E" w:rsidRPr="00524A86" w:rsidRDefault="004D1C9B" w:rsidP="00702196">
      <w:pPr>
        <w:pStyle w:val="ListParagraph"/>
        <w:numPr>
          <w:ilvl w:val="0"/>
          <w:numId w:val="16"/>
        </w:numPr>
        <w:spacing w:line="360" w:lineRule="auto"/>
        <w:ind w:hanging="450"/>
        <w:contextualSpacing w:val="0"/>
        <w:rPr>
          <w:rFonts w:ascii="Times New Roman" w:eastAsia="Times New Roman" w:hAnsi="Times New Roman" w:cs="Times New Roman"/>
          <w:snapToGrid w:val="0"/>
          <w:kern w:val="28"/>
          <w:sz w:val="24"/>
          <w:szCs w:val="24"/>
        </w:rPr>
      </w:pPr>
      <w:r>
        <w:rPr>
          <w:rFonts w:ascii="Times New Roman" w:eastAsia="Times New Roman" w:hAnsi="Times New Roman" w:cs="Times New Roman"/>
          <w:snapToGrid w:val="0"/>
          <w:kern w:val="28"/>
          <w:sz w:val="24"/>
          <w:szCs w:val="24"/>
        </w:rPr>
        <w:t>In light of the limitations of the Mosaik data and the importance of using the most accurate coverage data available for targeting</w:t>
      </w:r>
      <w:r w:rsidR="00603E13">
        <w:rPr>
          <w:rFonts w:ascii="Times New Roman" w:eastAsia="Times New Roman" w:hAnsi="Times New Roman" w:cs="Times New Roman"/>
          <w:snapToGrid w:val="0"/>
          <w:kern w:val="28"/>
          <w:sz w:val="24"/>
          <w:szCs w:val="24"/>
        </w:rPr>
        <w:t xml:space="preserve"> </w:t>
      </w:r>
      <w:r>
        <w:rPr>
          <w:rFonts w:ascii="Times New Roman" w:eastAsia="Times New Roman" w:hAnsi="Times New Roman" w:cs="Times New Roman"/>
          <w:snapToGrid w:val="0"/>
          <w:kern w:val="28"/>
          <w:sz w:val="24"/>
          <w:szCs w:val="24"/>
        </w:rPr>
        <w:t>universal service support, t</w:t>
      </w:r>
      <w:r w:rsidRPr="00FB32CA">
        <w:rPr>
          <w:rFonts w:ascii="Times New Roman" w:eastAsia="Times New Roman" w:hAnsi="Times New Roman" w:cs="Times New Roman"/>
          <w:snapToGrid w:val="0"/>
          <w:kern w:val="28"/>
          <w:sz w:val="24"/>
          <w:szCs w:val="24"/>
        </w:rPr>
        <w:t xml:space="preserve">he </w:t>
      </w:r>
      <w:r>
        <w:rPr>
          <w:rFonts w:ascii="Times New Roman" w:eastAsia="Times New Roman" w:hAnsi="Times New Roman" w:cs="Times New Roman"/>
          <w:snapToGrid w:val="0"/>
          <w:kern w:val="28"/>
          <w:sz w:val="24"/>
          <w:szCs w:val="24"/>
        </w:rPr>
        <w:t>Commission</w:t>
      </w:r>
      <w:r w:rsidRPr="00FB32CA">
        <w:rPr>
          <w:rFonts w:ascii="Times New Roman" w:eastAsia="Times New Roman" w:hAnsi="Times New Roman" w:cs="Times New Roman"/>
          <w:snapToGrid w:val="0"/>
          <w:kern w:val="28"/>
          <w:sz w:val="24"/>
          <w:szCs w:val="24"/>
        </w:rPr>
        <w:t xml:space="preserve"> proposed </w:t>
      </w:r>
      <w:r>
        <w:rPr>
          <w:rFonts w:ascii="Times New Roman" w:eastAsia="Times New Roman" w:hAnsi="Times New Roman" w:cs="Times New Roman"/>
          <w:snapToGrid w:val="0"/>
          <w:kern w:val="28"/>
          <w:sz w:val="24"/>
          <w:szCs w:val="24"/>
        </w:rPr>
        <w:t xml:space="preserve">in 2014 </w:t>
      </w:r>
      <w:r w:rsidRPr="00FB32CA">
        <w:rPr>
          <w:rFonts w:ascii="Times New Roman" w:eastAsia="Times New Roman" w:hAnsi="Times New Roman" w:cs="Times New Roman"/>
          <w:snapToGrid w:val="0"/>
          <w:kern w:val="28"/>
          <w:sz w:val="24"/>
          <w:szCs w:val="24"/>
        </w:rPr>
        <w:t xml:space="preserve">to use Form 477 deployment data as the basis for determining eligibility for </w:t>
      </w:r>
      <w:r w:rsidR="00B524E8">
        <w:rPr>
          <w:rFonts w:ascii="Times New Roman" w:eastAsia="Times New Roman" w:hAnsi="Times New Roman" w:cs="Times New Roman"/>
          <w:snapToGrid w:val="0"/>
          <w:kern w:val="28"/>
          <w:sz w:val="24"/>
          <w:szCs w:val="24"/>
        </w:rPr>
        <w:t>MF-II</w:t>
      </w:r>
      <w:r w:rsidR="00774645">
        <w:rPr>
          <w:rFonts w:ascii="Times New Roman" w:eastAsia="Times New Roman" w:hAnsi="Times New Roman" w:cs="Times New Roman"/>
          <w:snapToGrid w:val="0"/>
          <w:kern w:val="28"/>
          <w:sz w:val="24"/>
          <w:szCs w:val="24"/>
        </w:rPr>
        <w:t>.</w:t>
      </w:r>
      <w:r w:rsidRPr="00FB32CA">
        <w:rPr>
          <w:rStyle w:val="FootnoteReference"/>
          <w:rFonts w:eastAsia="Times New Roman" w:cs="Times New Roman"/>
          <w:snapToGrid w:val="0"/>
          <w:kern w:val="28"/>
          <w:szCs w:val="24"/>
        </w:rPr>
        <w:t xml:space="preserve"> </w:t>
      </w:r>
      <w:r>
        <w:rPr>
          <w:rStyle w:val="FootnoteReference"/>
          <w:rFonts w:eastAsia="Times New Roman" w:cs="Times New Roman"/>
          <w:snapToGrid w:val="0"/>
          <w:kern w:val="28"/>
          <w:szCs w:val="24"/>
        </w:rPr>
        <w:footnoteReference w:id="12"/>
      </w:r>
      <w:r w:rsidRPr="00FB32CA">
        <w:rPr>
          <w:rFonts w:ascii="Times New Roman" w:eastAsia="Times New Roman" w:hAnsi="Times New Roman" w:cs="Times New Roman"/>
          <w:snapToGrid w:val="0"/>
          <w:kern w:val="28"/>
          <w:sz w:val="24"/>
          <w:szCs w:val="24"/>
        </w:rPr>
        <w:t xml:space="preserve">  </w:t>
      </w:r>
      <w:r w:rsidR="00F76A35">
        <w:rPr>
          <w:rFonts w:ascii="Times New Roman" w:hAnsi="Times New Roman" w:cs="Times New Roman"/>
          <w:spacing w:val="-2"/>
          <w:sz w:val="24"/>
          <w:szCs w:val="24"/>
        </w:rPr>
        <w:t xml:space="preserve">The Form 477 </w:t>
      </w:r>
      <w:r w:rsidR="00711F22">
        <w:rPr>
          <w:rFonts w:ascii="Times New Roman" w:hAnsi="Times New Roman" w:cs="Times New Roman"/>
          <w:spacing w:val="-2"/>
          <w:sz w:val="24"/>
          <w:szCs w:val="24"/>
        </w:rPr>
        <w:t>revisions</w:t>
      </w:r>
      <w:r w:rsidR="005854CA">
        <w:rPr>
          <w:rFonts w:ascii="Times New Roman" w:hAnsi="Times New Roman" w:cs="Times New Roman"/>
          <w:spacing w:val="-2"/>
          <w:sz w:val="24"/>
          <w:szCs w:val="24"/>
        </w:rPr>
        <w:t xml:space="preserve"> adopted the previous year</w:t>
      </w:r>
      <w:r w:rsidR="00711F22">
        <w:rPr>
          <w:rFonts w:ascii="Times New Roman" w:hAnsi="Times New Roman" w:cs="Times New Roman"/>
          <w:spacing w:val="-2"/>
          <w:sz w:val="24"/>
          <w:szCs w:val="24"/>
        </w:rPr>
        <w:t xml:space="preserve">, </w:t>
      </w:r>
      <w:r w:rsidR="00F76A35">
        <w:rPr>
          <w:rFonts w:ascii="Times New Roman" w:hAnsi="Times New Roman" w:cs="Times New Roman"/>
          <w:spacing w:val="-2"/>
          <w:sz w:val="24"/>
          <w:szCs w:val="24"/>
        </w:rPr>
        <w:t xml:space="preserve">among other things, </w:t>
      </w:r>
      <w:r w:rsidR="00711F22">
        <w:rPr>
          <w:rFonts w:ascii="Times New Roman" w:hAnsi="Times New Roman" w:cs="Times New Roman"/>
          <w:spacing w:val="-2"/>
          <w:sz w:val="24"/>
          <w:szCs w:val="24"/>
        </w:rPr>
        <w:t xml:space="preserve">enhanced </w:t>
      </w:r>
      <w:r w:rsidR="00EB1C1E" w:rsidRPr="00524A86">
        <w:rPr>
          <w:rFonts w:ascii="Times New Roman" w:hAnsi="Times New Roman" w:cs="Times New Roman"/>
          <w:spacing w:val="-2"/>
          <w:sz w:val="24"/>
          <w:szCs w:val="24"/>
        </w:rPr>
        <w:t>t</w:t>
      </w:r>
      <w:r w:rsidR="00EB1C1E" w:rsidRPr="00524A86">
        <w:rPr>
          <w:rFonts w:ascii="Times New Roman" w:eastAsia="Times New Roman" w:hAnsi="Times New Roman" w:cs="Times New Roman"/>
          <w:snapToGrid w:val="0"/>
          <w:kern w:val="28"/>
          <w:sz w:val="24"/>
          <w:szCs w:val="24"/>
        </w:rPr>
        <w:t xml:space="preserve">he reliability of </w:t>
      </w:r>
      <w:r w:rsidR="00F76A35">
        <w:rPr>
          <w:rFonts w:ascii="Times New Roman" w:eastAsia="Times New Roman" w:hAnsi="Times New Roman" w:cs="Times New Roman"/>
          <w:snapToGrid w:val="0"/>
          <w:kern w:val="28"/>
          <w:sz w:val="24"/>
          <w:szCs w:val="24"/>
        </w:rPr>
        <w:t>the</w:t>
      </w:r>
      <w:r w:rsidR="00EB1C1E" w:rsidRPr="00524A86">
        <w:rPr>
          <w:rFonts w:ascii="Times New Roman" w:eastAsia="Times New Roman" w:hAnsi="Times New Roman" w:cs="Times New Roman"/>
          <w:snapToGrid w:val="0"/>
          <w:kern w:val="28"/>
          <w:sz w:val="24"/>
          <w:szCs w:val="24"/>
        </w:rPr>
        <w:t xml:space="preserve"> data </w:t>
      </w:r>
      <w:r w:rsidR="007C2D54">
        <w:rPr>
          <w:rFonts w:ascii="Times New Roman" w:eastAsia="Times New Roman" w:hAnsi="Times New Roman" w:cs="Times New Roman"/>
          <w:snapToGrid w:val="0"/>
          <w:kern w:val="28"/>
          <w:sz w:val="24"/>
          <w:szCs w:val="24"/>
        </w:rPr>
        <w:t xml:space="preserve">collected </w:t>
      </w:r>
      <w:r w:rsidR="00711F22">
        <w:rPr>
          <w:rFonts w:ascii="Times New Roman" w:eastAsia="Times New Roman" w:hAnsi="Times New Roman" w:cs="Times New Roman"/>
          <w:snapToGrid w:val="0"/>
          <w:kern w:val="28"/>
          <w:sz w:val="24"/>
          <w:szCs w:val="24"/>
        </w:rPr>
        <w:t xml:space="preserve">by requiring that </w:t>
      </w:r>
      <w:r w:rsidR="00EB1C1E" w:rsidRPr="00524A86">
        <w:rPr>
          <w:rFonts w:ascii="Times New Roman" w:eastAsia="Times New Roman" w:hAnsi="Times New Roman" w:cs="Times New Roman"/>
          <w:snapToGrid w:val="0"/>
          <w:kern w:val="28"/>
          <w:sz w:val="24"/>
          <w:szCs w:val="24"/>
        </w:rPr>
        <w:t>deployment shapefiles</w:t>
      </w:r>
      <w:r w:rsidR="00002A62">
        <w:rPr>
          <w:rFonts w:ascii="Times New Roman" w:eastAsia="Times New Roman" w:hAnsi="Times New Roman" w:cs="Times New Roman"/>
          <w:snapToGrid w:val="0"/>
          <w:kern w:val="28"/>
          <w:sz w:val="24"/>
          <w:szCs w:val="24"/>
        </w:rPr>
        <w:t xml:space="preserve"> depict</w:t>
      </w:r>
      <w:r w:rsidR="00EB1C1E" w:rsidRPr="00524A86">
        <w:rPr>
          <w:rFonts w:ascii="Times New Roman" w:eastAsia="Times New Roman" w:hAnsi="Times New Roman" w:cs="Times New Roman"/>
          <w:snapToGrid w:val="0"/>
          <w:kern w:val="28"/>
          <w:sz w:val="24"/>
          <w:szCs w:val="24"/>
        </w:rPr>
        <w:t xml:space="preserve"> “the coverage boundaries where, according to providers, users should expect the minimum advertised upload and download data speeds associated with [a] network technology,” such as LTE.</w:t>
      </w:r>
      <w:r w:rsidR="00EB1C1E">
        <w:rPr>
          <w:rStyle w:val="FootnoteReference"/>
          <w:rFonts w:eastAsia="Times New Roman" w:cs="Times New Roman"/>
          <w:snapToGrid w:val="0"/>
          <w:kern w:val="28"/>
          <w:szCs w:val="24"/>
        </w:rPr>
        <w:footnoteReference w:id="13"/>
      </w:r>
      <w:r w:rsidR="00002A62">
        <w:rPr>
          <w:rFonts w:ascii="Times New Roman" w:eastAsia="Times New Roman" w:hAnsi="Times New Roman" w:cs="Times New Roman"/>
          <w:snapToGrid w:val="0"/>
          <w:kern w:val="28"/>
          <w:sz w:val="24"/>
          <w:szCs w:val="24"/>
        </w:rPr>
        <w:t xml:space="preserve">  Providers were also required to certify as to the accuracy of the data submitted.</w:t>
      </w:r>
      <w:r w:rsidR="00002A62">
        <w:rPr>
          <w:rStyle w:val="FootnoteReference"/>
          <w:rFonts w:eastAsia="Times New Roman" w:cs="Times New Roman"/>
          <w:snapToGrid w:val="0"/>
          <w:kern w:val="28"/>
          <w:szCs w:val="24"/>
        </w:rPr>
        <w:footnoteReference w:id="14"/>
      </w:r>
      <w:r w:rsidR="00002A62">
        <w:rPr>
          <w:rFonts w:ascii="Times New Roman" w:eastAsia="Times New Roman" w:hAnsi="Times New Roman" w:cs="Times New Roman"/>
          <w:snapToGrid w:val="0"/>
          <w:kern w:val="28"/>
          <w:sz w:val="24"/>
          <w:szCs w:val="24"/>
        </w:rPr>
        <w:t xml:space="preserve">  </w:t>
      </w:r>
    </w:p>
    <w:p w14:paraId="751873C2" w14:textId="11365751" w:rsidR="00EB1C1E" w:rsidRPr="00607313" w:rsidRDefault="00711F22" w:rsidP="00702196">
      <w:pPr>
        <w:pStyle w:val="ListParagraph"/>
        <w:numPr>
          <w:ilvl w:val="0"/>
          <w:numId w:val="16"/>
        </w:numPr>
        <w:spacing w:line="360" w:lineRule="auto"/>
        <w:ind w:hanging="450"/>
        <w:rPr>
          <w:rFonts w:ascii="Times New Roman" w:eastAsia="Times New Roman" w:hAnsi="Times New Roman" w:cs="Times New Roman"/>
          <w:snapToGrid w:val="0"/>
          <w:kern w:val="28"/>
          <w:sz w:val="24"/>
          <w:szCs w:val="24"/>
        </w:rPr>
      </w:pPr>
      <w:r>
        <w:rPr>
          <w:rFonts w:ascii="Times New Roman" w:hAnsi="Times New Roman" w:cs="Times New Roman"/>
          <w:spacing w:val="-2"/>
          <w:sz w:val="24"/>
          <w:szCs w:val="24"/>
        </w:rPr>
        <w:t xml:space="preserve">More </w:t>
      </w:r>
      <w:r w:rsidR="00A13BC6">
        <w:rPr>
          <w:rFonts w:ascii="Times New Roman" w:hAnsi="Times New Roman" w:cs="Times New Roman"/>
          <w:spacing w:val="-2"/>
          <w:sz w:val="24"/>
          <w:szCs w:val="24"/>
        </w:rPr>
        <w:t>specifically</w:t>
      </w:r>
      <w:r>
        <w:rPr>
          <w:rFonts w:ascii="Times New Roman" w:hAnsi="Times New Roman" w:cs="Times New Roman"/>
          <w:spacing w:val="-2"/>
          <w:sz w:val="24"/>
          <w:szCs w:val="24"/>
        </w:rPr>
        <w:t>, t</w:t>
      </w:r>
      <w:r w:rsidR="00EB1C1E" w:rsidRPr="00A56236">
        <w:rPr>
          <w:rFonts w:ascii="Times New Roman" w:eastAsia="Times New Roman" w:hAnsi="Times New Roman" w:cs="Times New Roman"/>
          <w:snapToGrid w:val="0"/>
          <w:kern w:val="28"/>
          <w:sz w:val="24"/>
          <w:szCs w:val="24"/>
        </w:rPr>
        <w:t>he new Form 477 collects network deployment data for fixed and mobile broadband as well as mobile voice network deployment data.</w:t>
      </w:r>
      <w:r w:rsidR="00EB1C1E">
        <w:rPr>
          <w:rStyle w:val="FootnoteReference"/>
          <w:rFonts w:eastAsia="Times New Roman" w:cs="Times New Roman"/>
          <w:snapToGrid w:val="0"/>
          <w:kern w:val="28"/>
          <w:szCs w:val="24"/>
        </w:rPr>
        <w:footnoteReference w:id="15"/>
      </w:r>
      <w:r w:rsidR="00EB1C1E" w:rsidRPr="00A56236">
        <w:rPr>
          <w:rFonts w:ascii="Times New Roman" w:eastAsia="Times New Roman" w:hAnsi="Times New Roman" w:cs="Times New Roman"/>
          <w:snapToGrid w:val="0"/>
          <w:kern w:val="28"/>
          <w:sz w:val="24"/>
          <w:szCs w:val="24"/>
        </w:rPr>
        <w:t xml:space="preserve">  </w:t>
      </w:r>
      <w:r w:rsidR="00EB1C1E">
        <w:rPr>
          <w:rFonts w:ascii="Times New Roman" w:eastAsia="Times New Roman" w:hAnsi="Times New Roman" w:cs="Times New Roman"/>
          <w:snapToGrid w:val="0"/>
          <w:kern w:val="28"/>
          <w:sz w:val="24"/>
          <w:szCs w:val="24"/>
        </w:rPr>
        <w:t xml:space="preserve">There </w:t>
      </w:r>
      <w:r w:rsidR="00EB1C1E" w:rsidRPr="00A56236">
        <w:rPr>
          <w:rFonts w:ascii="Times New Roman" w:eastAsia="Times New Roman" w:hAnsi="Times New Roman" w:cs="Times New Roman"/>
          <w:snapToGrid w:val="0"/>
          <w:kern w:val="28"/>
          <w:sz w:val="24"/>
          <w:szCs w:val="24"/>
        </w:rPr>
        <w:t xml:space="preserve">is a single, uniform filing </w:t>
      </w:r>
      <w:r w:rsidR="00EB1C1E">
        <w:rPr>
          <w:rFonts w:ascii="Times New Roman" w:eastAsia="Times New Roman" w:hAnsi="Times New Roman" w:cs="Times New Roman"/>
          <w:snapToGrid w:val="0"/>
          <w:kern w:val="28"/>
          <w:sz w:val="24"/>
          <w:szCs w:val="24"/>
        </w:rPr>
        <w:t xml:space="preserve">format </w:t>
      </w:r>
      <w:r w:rsidR="00EB1C1E" w:rsidRPr="00A56236">
        <w:rPr>
          <w:rFonts w:ascii="Times New Roman" w:eastAsia="Times New Roman" w:hAnsi="Times New Roman" w:cs="Times New Roman"/>
          <w:snapToGrid w:val="0"/>
          <w:kern w:val="28"/>
          <w:sz w:val="24"/>
          <w:szCs w:val="24"/>
        </w:rPr>
        <w:t xml:space="preserve">for </w:t>
      </w:r>
      <w:r w:rsidR="00731A17">
        <w:rPr>
          <w:rFonts w:ascii="Times New Roman" w:eastAsia="Times New Roman" w:hAnsi="Times New Roman" w:cs="Times New Roman"/>
          <w:snapToGrid w:val="0"/>
          <w:kern w:val="28"/>
          <w:sz w:val="24"/>
          <w:szCs w:val="24"/>
        </w:rPr>
        <w:t>the shapefiles submitted by mobile broadband and mobile voice</w:t>
      </w:r>
      <w:r w:rsidR="00EB1C1E" w:rsidRPr="00A56236">
        <w:rPr>
          <w:rFonts w:ascii="Times New Roman" w:eastAsia="Times New Roman" w:hAnsi="Times New Roman" w:cs="Times New Roman"/>
          <w:snapToGrid w:val="0"/>
          <w:kern w:val="28"/>
          <w:sz w:val="24"/>
          <w:szCs w:val="24"/>
        </w:rPr>
        <w:t xml:space="preserve"> providers</w:t>
      </w:r>
      <w:r w:rsidR="00731A17">
        <w:rPr>
          <w:rFonts w:ascii="Times New Roman" w:eastAsia="Times New Roman" w:hAnsi="Times New Roman" w:cs="Times New Roman"/>
          <w:snapToGrid w:val="0"/>
          <w:kern w:val="28"/>
          <w:sz w:val="24"/>
          <w:szCs w:val="24"/>
        </w:rPr>
        <w:t xml:space="preserve"> </w:t>
      </w:r>
      <w:r w:rsidR="00731A17" w:rsidRPr="00A56236">
        <w:rPr>
          <w:rFonts w:ascii="Times New Roman" w:eastAsia="Times New Roman" w:hAnsi="Times New Roman" w:cs="Times New Roman"/>
          <w:snapToGrid w:val="0"/>
          <w:kern w:val="28"/>
          <w:sz w:val="24"/>
          <w:szCs w:val="24"/>
        </w:rPr>
        <w:t>showing their network coverage areas</w:t>
      </w:r>
      <w:r w:rsidR="00EB1C1E" w:rsidRPr="00A56236">
        <w:rPr>
          <w:rFonts w:ascii="Times New Roman" w:eastAsia="Times New Roman" w:hAnsi="Times New Roman" w:cs="Times New Roman"/>
          <w:snapToGrid w:val="0"/>
          <w:kern w:val="28"/>
          <w:sz w:val="24"/>
          <w:szCs w:val="24"/>
        </w:rPr>
        <w:t xml:space="preserve">, which reduces the potential for distortion or misleading comparisons of the data.  All facilities-based broadband providers are required to file data </w:t>
      </w:r>
      <w:r w:rsidR="00EB1C1E">
        <w:rPr>
          <w:rFonts w:ascii="Times New Roman" w:eastAsia="Times New Roman" w:hAnsi="Times New Roman" w:cs="Times New Roman"/>
          <w:snapToGrid w:val="0"/>
          <w:kern w:val="28"/>
          <w:sz w:val="24"/>
          <w:szCs w:val="24"/>
        </w:rPr>
        <w:t xml:space="preserve">using Form 477 </w:t>
      </w:r>
      <w:r w:rsidR="00EB1C1E" w:rsidRPr="00A56236">
        <w:rPr>
          <w:rFonts w:ascii="Times New Roman" w:eastAsia="Times New Roman" w:hAnsi="Times New Roman" w:cs="Times New Roman"/>
          <w:snapToGrid w:val="0"/>
          <w:kern w:val="28"/>
          <w:sz w:val="24"/>
          <w:szCs w:val="24"/>
        </w:rPr>
        <w:t xml:space="preserve">with the FCC twice a year </w:t>
      </w:r>
      <w:r w:rsidR="00EB1C1E">
        <w:rPr>
          <w:rFonts w:ascii="Times New Roman" w:eastAsia="Times New Roman" w:hAnsi="Times New Roman" w:cs="Times New Roman"/>
          <w:snapToGrid w:val="0"/>
          <w:kern w:val="28"/>
          <w:sz w:val="24"/>
          <w:szCs w:val="24"/>
        </w:rPr>
        <w:t xml:space="preserve">identifying areas </w:t>
      </w:r>
      <w:r w:rsidR="00EB1C1E" w:rsidRPr="00A56236">
        <w:rPr>
          <w:rFonts w:ascii="Times New Roman" w:eastAsia="Times New Roman" w:hAnsi="Times New Roman" w:cs="Times New Roman"/>
          <w:snapToGrid w:val="0"/>
          <w:kern w:val="28"/>
          <w:sz w:val="24"/>
          <w:szCs w:val="24"/>
        </w:rPr>
        <w:t xml:space="preserve">where they offer Internet access service at speeds exceeding 200 </w:t>
      </w:r>
      <w:r w:rsidR="00EB1C1E">
        <w:rPr>
          <w:rFonts w:ascii="Times New Roman" w:eastAsia="Times New Roman" w:hAnsi="Times New Roman" w:cs="Times New Roman"/>
          <w:snapToGrid w:val="0"/>
          <w:kern w:val="28"/>
          <w:sz w:val="24"/>
          <w:szCs w:val="24"/>
        </w:rPr>
        <w:t>kbps in at least one direction.</w:t>
      </w:r>
      <w:r w:rsidR="00EB1C1E" w:rsidRPr="00A56236">
        <w:rPr>
          <w:rFonts w:ascii="Times New Roman" w:eastAsia="Times New Roman" w:hAnsi="Times New Roman" w:cs="Times New Roman"/>
          <w:snapToGrid w:val="0"/>
          <w:kern w:val="28"/>
          <w:sz w:val="24"/>
          <w:szCs w:val="24"/>
        </w:rPr>
        <w:t xml:space="preserve"> Specifically, for each mobile broadband network technology (</w:t>
      </w:r>
      <w:r w:rsidR="00EB1C1E" w:rsidRPr="003D035F">
        <w:rPr>
          <w:rFonts w:ascii="Times New Roman" w:eastAsia="Times New Roman" w:hAnsi="Times New Roman" w:cs="Times New Roman"/>
          <w:i/>
          <w:snapToGrid w:val="0"/>
          <w:kern w:val="28"/>
          <w:sz w:val="24"/>
          <w:szCs w:val="24"/>
        </w:rPr>
        <w:t>e.g.,</w:t>
      </w:r>
      <w:r w:rsidR="00EB1C1E" w:rsidRPr="00A56236">
        <w:rPr>
          <w:rFonts w:ascii="Times New Roman" w:eastAsia="Times New Roman" w:hAnsi="Times New Roman" w:cs="Times New Roman"/>
          <w:snapToGrid w:val="0"/>
          <w:kern w:val="28"/>
          <w:sz w:val="24"/>
          <w:szCs w:val="24"/>
        </w:rPr>
        <w:t xml:space="preserve"> EV-DO, WCDMA, HSPA+, LTE, WiMAX) deployed in each frequency band (</w:t>
      </w:r>
      <w:r w:rsidR="00EB1C1E" w:rsidRPr="003D035F">
        <w:rPr>
          <w:rFonts w:ascii="Times New Roman" w:eastAsia="Times New Roman" w:hAnsi="Times New Roman" w:cs="Times New Roman"/>
          <w:i/>
          <w:snapToGrid w:val="0"/>
          <w:kern w:val="28"/>
          <w:sz w:val="24"/>
          <w:szCs w:val="24"/>
        </w:rPr>
        <w:t>e.g.,</w:t>
      </w:r>
      <w:r w:rsidR="00EB1C1E" w:rsidRPr="00A56236">
        <w:rPr>
          <w:rFonts w:ascii="Times New Roman" w:eastAsia="Times New Roman" w:hAnsi="Times New Roman" w:cs="Times New Roman"/>
          <w:snapToGrid w:val="0"/>
          <w:kern w:val="28"/>
          <w:sz w:val="24"/>
          <w:szCs w:val="24"/>
        </w:rPr>
        <w:t xml:space="preserve"> 700 MHz, Cellular, AWS, PCS, BRS/EBS), </w:t>
      </w:r>
      <w:r w:rsidR="00EB1C1E">
        <w:rPr>
          <w:rFonts w:ascii="Times New Roman" w:eastAsia="Times New Roman" w:hAnsi="Times New Roman" w:cs="Times New Roman"/>
          <w:snapToGrid w:val="0"/>
          <w:kern w:val="28"/>
          <w:sz w:val="24"/>
          <w:szCs w:val="24"/>
        </w:rPr>
        <w:t xml:space="preserve">each </w:t>
      </w:r>
      <w:r w:rsidR="00EB1C1E" w:rsidRPr="00A56236">
        <w:rPr>
          <w:rFonts w:ascii="Times New Roman" w:eastAsia="Times New Roman" w:hAnsi="Times New Roman" w:cs="Times New Roman"/>
          <w:snapToGrid w:val="0"/>
          <w:kern w:val="28"/>
          <w:sz w:val="24"/>
          <w:szCs w:val="24"/>
        </w:rPr>
        <w:t>facilities-based mobile broadband provider submit</w:t>
      </w:r>
      <w:r w:rsidR="00EB1C1E">
        <w:rPr>
          <w:rFonts w:ascii="Times New Roman" w:eastAsia="Times New Roman" w:hAnsi="Times New Roman" w:cs="Times New Roman"/>
          <w:snapToGrid w:val="0"/>
          <w:kern w:val="28"/>
          <w:sz w:val="24"/>
          <w:szCs w:val="24"/>
        </w:rPr>
        <w:t>s</w:t>
      </w:r>
      <w:r w:rsidR="00EB1C1E" w:rsidRPr="00A56236">
        <w:rPr>
          <w:rFonts w:ascii="Times New Roman" w:eastAsia="Times New Roman" w:hAnsi="Times New Roman" w:cs="Times New Roman"/>
          <w:snapToGrid w:val="0"/>
          <w:kern w:val="28"/>
          <w:sz w:val="24"/>
          <w:szCs w:val="24"/>
        </w:rPr>
        <w:t xml:space="preserve"> polygons representing </w:t>
      </w:r>
      <w:r w:rsidR="00EB1C1E">
        <w:rPr>
          <w:rFonts w:ascii="Times New Roman" w:eastAsia="Times New Roman" w:hAnsi="Times New Roman" w:cs="Times New Roman"/>
          <w:snapToGrid w:val="0"/>
          <w:kern w:val="28"/>
          <w:sz w:val="24"/>
          <w:szCs w:val="24"/>
        </w:rPr>
        <w:t>its</w:t>
      </w:r>
      <w:r w:rsidR="00EB1C1E" w:rsidRPr="00A56236">
        <w:rPr>
          <w:rFonts w:ascii="Times New Roman" w:eastAsia="Times New Roman" w:hAnsi="Times New Roman" w:cs="Times New Roman"/>
          <w:snapToGrid w:val="0"/>
          <w:kern w:val="28"/>
          <w:sz w:val="24"/>
          <w:szCs w:val="24"/>
        </w:rPr>
        <w:t xml:space="preserve"> nationwide coverage area (including U.S. territories) of that technology.  </w:t>
      </w:r>
      <w:r w:rsidR="00A0679F">
        <w:rPr>
          <w:rFonts w:ascii="Times New Roman" w:eastAsia="Times New Roman" w:hAnsi="Times New Roman" w:cs="Times New Roman"/>
          <w:snapToGrid w:val="0"/>
          <w:kern w:val="28"/>
          <w:sz w:val="24"/>
          <w:szCs w:val="24"/>
        </w:rPr>
        <w:t>While t</w:t>
      </w:r>
      <w:r w:rsidR="00EB1C1E" w:rsidRPr="00A56236">
        <w:rPr>
          <w:rFonts w:ascii="Times New Roman" w:eastAsia="Times New Roman" w:hAnsi="Times New Roman" w:cs="Times New Roman"/>
          <w:snapToGrid w:val="0"/>
          <w:kern w:val="28"/>
          <w:sz w:val="24"/>
          <w:szCs w:val="24"/>
        </w:rPr>
        <w:t>hese coverage</w:t>
      </w:r>
      <w:r w:rsidR="00EB1C1E">
        <w:rPr>
          <w:rFonts w:ascii="Times New Roman" w:eastAsia="Times New Roman" w:hAnsi="Times New Roman" w:cs="Times New Roman"/>
          <w:snapToGrid w:val="0"/>
          <w:kern w:val="28"/>
          <w:sz w:val="24"/>
          <w:szCs w:val="24"/>
        </w:rPr>
        <w:t xml:space="preserve"> data</w:t>
      </w:r>
      <w:r w:rsidR="00EB1C1E" w:rsidRPr="00A56236">
        <w:rPr>
          <w:rFonts w:ascii="Times New Roman" w:eastAsia="Times New Roman" w:hAnsi="Times New Roman" w:cs="Times New Roman"/>
          <w:snapToGrid w:val="0"/>
          <w:kern w:val="28"/>
          <w:sz w:val="24"/>
          <w:szCs w:val="24"/>
        </w:rPr>
        <w:t xml:space="preserve"> </w:t>
      </w:r>
      <w:r w:rsidR="00A0679F">
        <w:rPr>
          <w:rFonts w:ascii="Times New Roman" w:eastAsia="Times New Roman" w:hAnsi="Times New Roman" w:cs="Times New Roman"/>
          <w:snapToGrid w:val="0"/>
          <w:kern w:val="28"/>
          <w:sz w:val="24"/>
          <w:szCs w:val="24"/>
        </w:rPr>
        <w:t xml:space="preserve">provide the most accurate depiction </w:t>
      </w:r>
      <w:r w:rsidR="00774645">
        <w:rPr>
          <w:rFonts w:ascii="Times New Roman" w:eastAsia="Times New Roman" w:hAnsi="Times New Roman" w:cs="Times New Roman"/>
          <w:snapToGrid w:val="0"/>
          <w:kern w:val="28"/>
          <w:sz w:val="24"/>
          <w:szCs w:val="24"/>
        </w:rPr>
        <w:t>the Commission</w:t>
      </w:r>
      <w:r w:rsidR="00A0679F">
        <w:rPr>
          <w:rFonts w:ascii="Times New Roman" w:eastAsia="Times New Roman" w:hAnsi="Times New Roman" w:cs="Times New Roman"/>
          <w:snapToGrid w:val="0"/>
          <w:kern w:val="28"/>
          <w:sz w:val="24"/>
          <w:szCs w:val="24"/>
        </w:rPr>
        <w:t xml:space="preserve"> ha</w:t>
      </w:r>
      <w:r w:rsidR="00774645">
        <w:rPr>
          <w:rFonts w:ascii="Times New Roman" w:eastAsia="Times New Roman" w:hAnsi="Times New Roman" w:cs="Times New Roman"/>
          <w:snapToGrid w:val="0"/>
          <w:kern w:val="28"/>
          <w:sz w:val="24"/>
          <w:szCs w:val="24"/>
        </w:rPr>
        <w:t>s</w:t>
      </w:r>
      <w:r w:rsidR="00A0679F">
        <w:rPr>
          <w:rFonts w:ascii="Times New Roman" w:eastAsia="Times New Roman" w:hAnsi="Times New Roman" w:cs="Times New Roman"/>
          <w:snapToGrid w:val="0"/>
          <w:kern w:val="28"/>
          <w:sz w:val="24"/>
          <w:szCs w:val="24"/>
        </w:rPr>
        <w:t xml:space="preserve"> on the </w:t>
      </w:r>
      <w:r w:rsidR="00EB1C1E" w:rsidRPr="00A56236">
        <w:rPr>
          <w:rFonts w:ascii="Times New Roman" w:eastAsia="Times New Roman" w:hAnsi="Times New Roman" w:cs="Times New Roman"/>
          <w:snapToGrid w:val="0"/>
          <w:kern w:val="28"/>
          <w:sz w:val="24"/>
          <w:szCs w:val="24"/>
        </w:rPr>
        <w:t>deployment of mobile networks</w:t>
      </w:r>
      <w:r w:rsidR="00A0679F">
        <w:rPr>
          <w:rFonts w:ascii="Times New Roman" w:eastAsia="Times New Roman" w:hAnsi="Times New Roman" w:cs="Times New Roman"/>
          <w:snapToGrid w:val="0"/>
          <w:kern w:val="28"/>
          <w:sz w:val="24"/>
          <w:szCs w:val="24"/>
        </w:rPr>
        <w:t>,</w:t>
      </w:r>
      <w:r w:rsidR="00EB1C1E" w:rsidRPr="00A56236">
        <w:rPr>
          <w:rFonts w:ascii="Times New Roman" w:eastAsia="Times New Roman" w:hAnsi="Times New Roman" w:cs="Times New Roman"/>
          <w:snapToGrid w:val="0"/>
          <w:kern w:val="28"/>
          <w:sz w:val="24"/>
          <w:szCs w:val="24"/>
        </w:rPr>
        <w:t xml:space="preserve"> </w:t>
      </w:r>
      <w:r w:rsidR="00A0679F">
        <w:rPr>
          <w:rFonts w:ascii="Times New Roman" w:eastAsia="Times New Roman" w:hAnsi="Times New Roman" w:cs="Times New Roman"/>
          <w:snapToGrid w:val="0"/>
          <w:kern w:val="28"/>
          <w:sz w:val="24"/>
          <w:szCs w:val="24"/>
        </w:rPr>
        <w:t xml:space="preserve">they </w:t>
      </w:r>
      <w:r w:rsidR="00EB1C1E" w:rsidRPr="00A56236">
        <w:rPr>
          <w:rFonts w:ascii="Times New Roman" w:eastAsia="Times New Roman" w:hAnsi="Times New Roman" w:cs="Times New Roman"/>
          <w:snapToGrid w:val="0"/>
          <w:kern w:val="28"/>
          <w:sz w:val="24"/>
          <w:szCs w:val="24"/>
        </w:rPr>
        <w:t>do not indicate the extent to which providers affirmatively offer service to residents in the covered areas.</w:t>
      </w:r>
      <w:r w:rsidR="00D42D11">
        <w:rPr>
          <w:rFonts w:ascii="Times New Roman" w:eastAsia="Times New Roman" w:hAnsi="Times New Roman" w:cs="Times New Roman"/>
          <w:snapToGrid w:val="0"/>
          <w:kern w:val="28"/>
          <w:sz w:val="24"/>
          <w:szCs w:val="24"/>
        </w:rPr>
        <w:t xml:space="preserve">  </w:t>
      </w:r>
    </w:p>
    <w:p w14:paraId="461DD256" w14:textId="77777777" w:rsidR="00EB1C1E" w:rsidRPr="00B072A4" w:rsidRDefault="00EB1C1E" w:rsidP="00FB40CF">
      <w:pPr>
        <w:pStyle w:val="Subtitle"/>
        <w:keepNext/>
        <w:numPr>
          <w:ilvl w:val="0"/>
          <w:numId w:val="15"/>
        </w:numPr>
        <w:ind w:left="360"/>
        <w:rPr>
          <w:rFonts w:ascii="Times New Roman" w:hAnsi="Times New Roman" w:cs="Times New Roman"/>
        </w:rPr>
      </w:pPr>
      <w:r w:rsidRPr="00B072A4">
        <w:rPr>
          <w:rFonts w:ascii="Times New Roman" w:hAnsi="Times New Roman" w:cs="Times New Roman"/>
        </w:rPr>
        <w:t>Census Block Level Data</w:t>
      </w:r>
    </w:p>
    <w:p w14:paraId="011B1506" w14:textId="2F271131" w:rsidR="00EB1C1E" w:rsidRPr="00795094" w:rsidRDefault="00EB1C1E" w:rsidP="00702196">
      <w:pPr>
        <w:pStyle w:val="ListParagraph"/>
        <w:numPr>
          <w:ilvl w:val="0"/>
          <w:numId w:val="16"/>
        </w:numPr>
        <w:spacing w:line="360" w:lineRule="auto"/>
        <w:ind w:hanging="450"/>
        <w:contextualSpacing w:val="0"/>
        <w:rPr>
          <w:rFonts w:ascii="Arial" w:eastAsia="Times New Roman" w:hAnsi="Arial" w:cs="Arial"/>
          <w:sz w:val="20"/>
          <w:szCs w:val="20"/>
        </w:rPr>
      </w:pPr>
      <w:r>
        <w:rPr>
          <w:rFonts w:ascii="Times New Roman" w:hAnsi="Times New Roman" w:cs="Times New Roman"/>
          <w:sz w:val="24"/>
          <w:szCs w:val="24"/>
        </w:rPr>
        <w:t xml:space="preserve">This </w:t>
      </w:r>
      <w:r w:rsidR="00711F22">
        <w:rPr>
          <w:rFonts w:ascii="Times New Roman" w:hAnsi="Times New Roman" w:cs="Times New Roman"/>
          <w:sz w:val="24"/>
          <w:szCs w:val="24"/>
        </w:rPr>
        <w:t>Report</w:t>
      </w:r>
      <w:r>
        <w:rPr>
          <w:rFonts w:ascii="Times New Roman" w:hAnsi="Times New Roman" w:cs="Times New Roman"/>
          <w:sz w:val="24"/>
          <w:szCs w:val="24"/>
        </w:rPr>
        <w:t xml:space="preserve"> uses </w:t>
      </w:r>
      <w:r w:rsidRPr="0099257F">
        <w:rPr>
          <w:rFonts w:ascii="Times New Roman" w:hAnsi="Times New Roman" w:cs="Times New Roman"/>
          <w:sz w:val="24"/>
          <w:szCs w:val="24"/>
        </w:rPr>
        <w:t xml:space="preserve">data </w:t>
      </w:r>
      <w:r w:rsidR="00711F22">
        <w:rPr>
          <w:rFonts w:ascii="Times New Roman" w:hAnsi="Times New Roman" w:cs="Times New Roman"/>
          <w:sz w:val="24"/>
          <w:szCs w:val="24"/>
        </w:rPr>
        <w:t xml:space="preserve">published by the U.S. Census Bureau regarding </w:t>
      </w:r>
      <w:r w:rsidRPr="0099257F">
        <w:rPr>
          <w:rFonts w:ascii="Times New Roman" w:hAnsi="Times New Roman" w:cs="Times New Roman"/>
          <w:sz w:val="24"/>
          <w:szCs w:val="24"/>
        </w:rPr>
        <w:t>land area, total area, road</w:t>
      </w:r>
      <w:r>
        <w:rPr>
          <w:rFonts w:ascii="Times New Roman" w:hAnsi="Times New Roman" w:cs="Times New Roman"/>
          <w:sz w:val="24"/>
          <w:szCs w:val="24"/>
        </w:rPr>
        <w:t xml:space="preserve"> </w:t>
      </w:r>
      <w:r w:rsidRPr="0099257F">
        <w:rPr>
          <w:rFonts w:ascii="Times New Roman" w:hAnsi="Times New Roman" w:cs="Times New Roman"/>
          <w:sz w:val="24"/>
          <w:szCs w:val="24"/>
        </w:rPr>
        <w:t>miles and population</w:t>
      </w:r>
      <w:r>
        <w:rPr>
          <w:rFonts w:ascii="Times New Roman" w:hAnsi="Times New Roman" w:cs="Times New Roman"/>
          <w:sz w:val="24"/>
          <w:szCs w:val="24"/>
        </w:rPr>
        <w:t xml:space="preserve"> (or “pops”)</w:t>
      </w:r>
      <w:r w:rsidR="00711F22">
        <w:rPr>
          <w:rFonts w:ascii="Times New Roman" w:hAnsi="Times New Roman" w:cs="Times New Roman"/>
          <w:sz w:val="24"/>
          <w:szCs w:val="24"/>
        </w:rPr>
        <w:t xml:space="preserve"> for every census block</w:t>
      </w:r>
      <w:r w:rsidRPr="0099257F">
        <w:rPr>
          <w:rFonts w:ascii="Times New Roman" w:hAnsi="Times New Roman" w:cs="Times New Roman"/>
          <w:sz w:val="24"/>
          <w:szCs w:val="24"/>
        </w:rPr>
        <w:t>. These data are based on the 2010 Census</w:t>
      </w:r>
      <w:r w:rsidR="00323312">
        <w:rPr>
          <w:rFonts w:ascii="Times New Roman" w:hAnsi="Times New Roman" w:cs="Times New Roman"/>
          <w:sz w:val="24"/>
          <w:szCs w:val="24"/>
        </w:rPr>
        <w:t xml:space="preserve"> and</w:t>
      </w:r>
      <w:r w:rsidRPr="0099257F">
        <w:rPr>
          <w:rFonts w:ascii="Times New Roman" w:hAnsi="Times New Roman" w:cs="Times New Roman"/>
          <w:sz w:val="24"/>
          <w:szCs w:val="24"/>
        </w:rPr>
        <w:t xml:space="preserve"> exclude all water</w:t>
      </w:r>
      <w:r w:rsidR="00711F22">
        <w:rPr>
          <w:rFonts w:ascii="Times New Roman" w:hAnsi="Times New Roman" w:cs="Times New Roman"/>
          <w:sz w:val="24"/>
          <w:szCs w:val="24"/>
        </w:rPr>
        <w:t>-</w:t>
      </w:r>
      <w:r w:rsidRPr="0099257F">
        <w:rPr>
          <w:rFonts w:ascii="Times New Roman" w:hAnsi="Times New Roman" w:cs="Times New Roman"/>
          <w:sz w:val="24"/>
          <w:szCs w:val="24"/>
        </w:rPr>
        <w:t xml:space="preserve">only blocks. There are </w:t>
      </w:r>
      <w:r w:rsidRPr="0099257F">
        <w:rPr>
          <w:rFonts w:ascii="Times New Roman" w:eastAsia="Times New Roman" w:hAnsi="Times New Roman" w:cs="Times New Roman"/>
          <w:sz w:val="24"/>
          <w:szCs w:val="24"/>
        </w:rPr>
        <w:t>10,619,346 blocks in the US</w:t>
      </w:r>
      <w:r>
        <w:rPr>
          <w:rFonts w:ascii="Times New Roman" w:eastAsia="Times New Roman" w:hAnsi="Times New Roman" w:cs="Times New Roman"/>
          <w:sz w:val="24"/>
          <w:szCs w:val="24"/>
        </w:rPr>
        <w:t xml:space="preserve"> with a total population of 3</w:t>
      </w:r>
      <w:r w:rsidRPr="0099257F">
        <w:rPr>
          <w:rFonts w:ascii="Times New Roman" w:eastAsia="Times New Roman" w:hAnsi="Times New Roman" w:cs="Times New Roman"/>
          <w:sz w:val="24"/>
          <w:szCs w:val="24"/>
        </w:rPr>
        <w:t>13 million. These comprise 3.54 million square miles of land area. Excluding Alaska,</w:t>
      </w:r>
      <w:r w:rsidR="00323312">
        <w:rPr>
          <w:rStyle w:val="FootnoteReference"/>
          <w:rFonts w:eastAsia="Times New Roman" w:cs="Times New Roman"/>
          <w:szCs w:val="24"/>
        </w:rPr>
        <w:footnoteReference w:id="16"/>
      </w:r>
      <w:r w:rsidRPr="0099257F">
        <w:rPr>
          <w:rFonts w:ascii="Times New Roman" w:eastAsia="Times New Roman" w:hAnsi="Times New Roman" w:cs="Times New Roman"/>
          <w:sz w:val="24"/>
          <w:szCs w:val="24"/>
        </w:rPr>
        <w:t xml:space="preserve"> th</w:t>
      </w:r>
      <w:r>
        <w:rPr>
          <w:rFonts w:ascii="Times New Roman" w:eastAsia="Times New Roman" w:hAnsi="Times New Roman" w:cs="Times New Roman"/>
          <w:sz w:val="24"/>
          <w:szCs w:val="24"/>
        </w:rPr>
        <w:t>ere are 10,592,327 blocks and 3</w:t>
      </w:r>
      <w:r w:rsidRPr="0099257F">
        <w:rPr>
          <w:rFonts w:ascii="Times New Roman" w:eastAsia="Times New Roman" w:hAnsi="Times New Roman" w:cs="Times New Roman"/>
          <w:sz w:val="24"/>
          <w:szCs w:val="24"/>
        </w:rPr>
        <w:t xml:space="preserve">12 million </w:t>
      </w:r>
      <w:r>
        <w:rPr>
          <w:rFonts w:ascii="Times New Roman" w:eastAsia="Times New Roman" w:hAnsi="Times New Roman" w:cs="Times New Roman"/>
          <w:sz w:val="24"/>
          <w:szCs w:val="24"/>
        </w:rPr>
        <w:t>p</w:t>
      </w:r>
      <w:r w:rsidRPr="0099257F">
        <w:rPr>
          <w:rFonts w:ascii="Times New Roman" w:eastAsia="Times New Roman" w:hAnsi="Times New Roman" w:cs="Times New Roman"/>
          <w:sz w:val="24"/>
          <w:szCs w:val="24"/>
        </w:rPr>
        <w:t xml:space="preserve">ops and 2.97 million square miles of land area. </w:t>
      </w:r>
    </w:p>
    <w:p w14:paraId="07022A40" w14:textId="23D7CBCE" w:rsidR="00EB1C1E" w:rsidRPr="00172501" w:rsidRDefault="00EB1C1E" w:rsidP="00702196">
      <w:pPr>
        <w:pStyle w:val="ListParagraph"/>
        <w:numPr>
          <w:ilvl w:val="0"/>
          <w:numId w:val="16"/>
        </w:numPr>
        <w:spacing w:line="360" w:lineRule="auto"/>
        <w:ind w:hanging="450"/>
        <w:rPr>
          <w:rFonts w:ascii="Arial" w:eastAsia="Times New Roman" w:hAnsi="Arial" w:cs="Arial"/>
          <w:sz w:val="20"/>
          <w:szCs w:val="20"/>
        </w:rPr>
      </w:pPr>
      <w:r w:rsidRPr="0099257F">
        <w:rPr>
          <w:rFonts w:ascii="Times New Roman" w:hAnsi="Times New Roman" w:cs="Times New Roman"/>
          <w:sz w:val="24"/>
          <w:szCs w:val="24"/>
        </w:rPr>
        <w:t>For road</w:t>
      </w:r>
      <w:r w:rsidR="00CC0BB4">
        <w:rPr>
          <w:rFonts w:ascii="Times New Roman" w:hAnsi="Times New Roman" w:cs="Times New Roman"/>
          <w:sz w:val="24"/>
          <w:szCs w:val="24"/>
        </w:rPr>
        <w:t xml:space="preserve"> </w:t>
      </w:r>
      <w:r w:rsidRPr="0099257F">
        <w:rPr>
          <w:rFonts w:ascii="Times New Roman" w:hAnsi="Times New Roman" w:cs="Times New Roman"/>
          <w:sz w:val="24"/>
          <w:szCs w:val="24"/>
        </w:rPr>
        <w:t>mile</w:t>
      </w:r>
      <w:r w:rsidR="003C74FD">
        <w:rPr>
          <w:rFonts w:ascii="Times New Roman" w:hAnsi="Times New Roman" w:cs="Times New Roman"/>
          <w:sz w:val="24"/>
          <w:szCs w:val="24"/>
        </w:rPr>
        <w:t xml:space="preserve"> data</w:t>
      </w:r>
      <w:r>
        <w:rPr>
          <w:rFonts w:ascii="Times New Roman" w:hAnsi="Times New Roman" w:cs="Times New Roman"/>
          <w:sz w:val="24"/>
          <w:szCs w:val="24"/>
        </w:rPr>
        <w:t>, th</w:t>
      </w:r>
      <w:r w:rsidR="00253D11">
        <w:rPr>
          <w:rFonts w:ascii="Times New Roman" w:hAnsi="Times New Roman" w:cs="Times New Roman"/>
          <w:sz w:val="24"/>
          <w:szCs w:val="24"/>
        </w:rPr>
        <w:t>is</w:t>
      </w:r>
      <w:r>
        <w:rPr>
          <w:rFonts w:ascii="Times New Roman" w:hAnsi="Times New Roman" w:cs="Times New Roman"/>
          <w:sz w:val="24"/>
          <w:szCs w:val="24"/>
        </w:rPr>
        <w:t xml:space="preserve"> </w:t>
      </w:r>
      <w:r w:rsidR="00A05FD1">
        <w:rPr>
          <w:rFonts w:ascii="Times New Roman" w:hAnsi="Times New Roman" w:cs="Times New Roman"/>
          <w:sz w:val="24"/>
          <w:szCs w:val="24"/>
        </w:rPr>
        <w:t>R</w:t>
      </w:r>
      <w:r>
        <w:rPr>
          <w:rFonts w:ascii="Times New Roman" w:hAnsi="Times New Roman" w:cs="Times New Roman"/>
          <w:sz w:val="24"/>
          <w:szCs w:val="24"/>
        </w:rPr>
        <w:t>eport</w:t>
      </w:r>
      <w:r w:rsidRPr="0099257F">
        <w:rPr>
          <w:rFonts w:ascii="Times New Roman" w:hAnsi="Times New Roman" w:cs="Times New Roman"/>
          <w:sz w:val="24"/>
          <w:szCs w:val="24"/>
        </w:rPr>
        <w:t xml:space="preserve"> </w:t>
      </w:r>
      <w:r w:rsidR="00CB7842">
        <w:rPr>
          <w:rFonts w:ascii="Times New Roman" w:hAnsi="Times New Roman" w:cs="Times New Roman"/>
          <w:sz w:val="24"/>
          <w:szCs w:val="24"/>
        </w:rPr>
        <w:t xml:space="preserve">uses </w:t>
      </w:r>
      <w:r w:rsidRPr="0099257F">
        <w:rPr>
          <w:rFonts w:ascii="Times New Roman" w:hAnsi="Times New Roman" w:cs="Times New Roman"/>
          <w:sz w:val="24"/>
          <w:szCs w:val="24"/>
        </w:rPr>
        <w:t xml:space="preserve">the </w:t>
      </w:r>
      <w:r>
        <w:rPr>
          <w:rFonts w:ascii="Times New Roman" w:hAnsi="Times New Roman" w:cs="Times New Roman"/>
          <w:sz w:val="24"/>
          <w:szCs w:val="24"/>
        </w:rPr>
        <w:t xml:space="preserve">same six </w:t>
      </w:r>
      <w:r w:rsidRPr="0099257F">
        <w:rPr>
          <w:rFonts w:ascii="Times New Roman" w:hAnsi="Times New Roman" w:cs="Times New Roman"/>
          <w:sz w:val="24"/>
          <w:szCs w:val="24"/>
        </w:rPr>
        <w:t xml:space="preserve">categories of roads </w:t>
      </w:r>
      <w:r>
        <w:rPr>
          <w:rFonts w:ascii="Times New Roman" w:hAnsi="Times New Roman" w:cs="Times New Roman"/>
          <w:sz w:val="24"/>
          <w:szCs w:val="24"/>
        </w:rPr>
        <w:t xml:space="preserve">that </w:t>
      </w:r>
      <w:r w:rsidR="000C7DE5">
        <w:rPr>
          <w:rFonts w:ascii="Times New Roman" w:hAnsi="Times New Roman" w:cs="Times New Roman"/>
          <w:sz w:val="24"/>
          <w:szCs w:val="24"/>
        </w:rPr>
        <w:t>were</w:t>
      </w:r>
      <w:r>
        <w:rPr>
          <w:rFonts w:ascii="Times New Roman" w:hAnsi="Times New Roman" w:cs="Times New Roman"/>
          <w:sz w:val="24"/>
          <w:szCs w:val="24"/>
        </w:rPr>
        <w:t xml:space="preserve"> </w:t>
      </w:r>
      <w:r w:rsidRPr="0099257F">
        <w:rPr>
          <w:rFonts w:ascii="Times New Roman" w:hAnsi="Times New Roman" w:cs="Times New Roman"/>
          <w:sz w:val="24"/>
          <w:szCs w:val="24"/>
        </w:rPr>
        <w:t xml:space="preserve">used in </w:t>
      </w:r>
      <w:r w:rsidR="00B524E8">
        <w:rPr>
          <w:rFonts w:ascii="Times New Roman" w:hAnsi="Times New Roman" w:cs="Times New Roman"/>
          <w:sz w:val="24"/>
          <w:szCs w:val="24"/>
        </w:rPr>
        <w:t>MF-I</w:t>
      </w:r>
      <w:r w:rsidR="00422005">
        <w:rPr>
          <w:rFonts w:ascii="Times New Roman" w:hAnsi="Times New Roman" w:cs="Times New Roman"/>
          <w:sz w:val="24"/>
          <w:szCs w:val="24"/>
        </w:rPr>
        <w:t xml:space="preserve"> Auction 901</w:t>
      </w:r>
      <w:r>
        <w:rPr>
          <w:rFonts w:ascii="Times New Roman" w:hAnsi="Times New Roman" w:cs="Times New Roman"/>
          <w:sz w:val="24"/>
          <w:szCs w:val="24"/>
        </w:rPr>
        <w:t>, based on Census Bureau’s TIGER database</w:t>
      </w:r>
      <w:r w:rsidRPr="0099257F">
        <w:rPr>
          <w:rFonts w:ascii="Times New Roman" w:hAnsi="Times New Roman" w:cs="Times New Roman"/>
          <w:sz w:val="24"/>
          <w:szCs w:val="24"/>
        </w:rPr>
        <w:t>.</w:t>
      </w:r>
      <w:r>
        <w:rPr>
          <w:rStyle w:val="FootnoteReference"/>
          <w:rFonts w:cs="Times New Roman"/>
          <w:szCs w:val="24"/>
        </w:rPr>
        <w:footnoteReference w:id="17"/>
      </w:r>
      <w:r w:rsidRPr="0099257F">
        <w:rPr>
          <w:rFonts w:ascii="Times New Roman" w:hAnsi="Times New Roman" w:cs="Times New Roman"/>
          <w:sz w:val="24"/>
          <w:szCs w:val="24"/>
        </w:rPr>
        <w:t xml:space="preserve"> </w:t>
      </w:r>
      <w:r w:rsidR="000C7DE5">
        <w:rPr>
          <w:rFonts w:ascii="Times New Roman" w:hAnsi="Times New Roman" w:cs="Times New Roman"/>
          <w:sz w:val="24"/>
          <w:szCs w:val="24"/>
        </w:rPr>
        <w:t xml:space="preserve"> At that time, </w:t>
      </w:r>
      <w:r w:rsidR="00A05FD1">
        <w:rPr>
          <w:rFonts w:ascii="Times New Roman" w:hAnsi="Times New Roman" w:cs="Times New Roman"/>
          <w:sz w:val="24"/>
          <w:szCs w:val="24"/>
        </w:rPr>
        <w:t>Commission</w:t>
      </w:r>
      <w:r w:rsidR="00F1141E">
        <w:rPr>
          <w:rFonts w:ascii="Times New Roman" w:hAnsi="Times New Roman" w:cs="Times New Roman"/>
          <w:sz w:val="24"/>
          <w:szCs w:val="24"/>
        </w:rPr>
        <w:t xml:space="preserve"> staff</w:t>
      </w:r>
      <w:r w:rsidR="00A05FD1">
        <w:rPr>
          <w:rFonts w:ascii="Times New Roman" w:hAnsi="Times New Roman" w:cs="Times New Roman"/>
          <w:sz w:val="24"/>
          <w:szCs w:val="24"/>
        </w:rPr>
        <w:t xml:space="preserve"> determined</w:t>
      </w:r>
      <w:r w:rsidR="000C7DE5">
        <w:rPr>
          <w:rFonts w:ascii="Times New Roman" w:hAnsi="Times New Roman" w:cs="Times New Roman"/>
          <w:sz w:val="24"/>
          <w:szCs w:val="24"/>
        </w:rPr>
        <w:t xml:space="preserve"> </w:t>
      </w:r>
      <w:r w:rsidR="00253D11">
        <w:rPr>
          <w:rFonts w:ascii="Times New Roman" w:hAnsi="Times New Roman" w:cs="Times New Roman"/>
          <w:sz w:val="24"/>
          <w:szCs w:val="24"/>
        </w:rPr>
        <w:t xml:space="preserve">in response to filings by interested parties </w:t>
      </w:r>
      <w:r w:rsidR="000C7DE5">
        <w:rPr>
          <w:rFonts w:ascii="Times New Roman" w:hAnsi="Times New Roman" w:cs="Times New Roman"/>
          <w:sz w:val="24"/>
          <w:szCs w:val="24"/>
        </w:rPr>
        <w:t xml:space="preserve">that these </w:t>
      </w:r>
      <w:r w:rsidR="00C1738C">
        <w:rPr>
          <w:rFonts w:ascii="Times New Roman" w:hAnsi="Times New Roman" w:cs="Times New Roman"/>
          <w:sz w:val="24"/>
          <w:szCs w:val="24"/>
        </w:rPr>
        <w:t xml:space="preserve">six </w:t>
      </w:r>
      <w:r w:rsidR="000C7DE5">
        <w:rPr>
          <w:rFonts w:ascii="Times New Roman" w:hAnsi="Times New Roman" w:cs="Times New Roman"/>
          <w:sz w:val="24"/>
          <w:szCs w:val="24"/>
        </w:rPr>
        <w:t xml:space="preserve">categories </w:t>
      </w:r>
      <w:r w:rsidR="0032719C">
        <w:rPr>
          <w:rFonts w:ascii="Times New Roman" w:hAnsi="Times New Roman" w:cs="Times New Roman"/>
          <w:sz w:val="24"/>
          <w:szCs w:val="24"/>
        </w:rPr>
        <w:t xml:space="preserve">included </w:t>
      </w:r>
      <w:r w:rsidR="00C1738C">
        <w:rPr>
          <w:rFonts w:ascii="Times New Roman" w:hAnsi="Times New Roman" w:cs="Times New Roman"/>
          <w:sz w:val="24"/>
          <w:szCs w:val="24"/>
        </w:rPr>
        <w:t xml:space="preserve">the </w:t>
      </w:r>
      <w:r w:rsidR="0032719C">
        <w:rPr>
          <w:rFonts w:ascii="Times New Roman" w:hAnsi="Times New Roman" w:cs="Times New Roman"/>
          <w:sz w:val="24"/>
          <w:szCs w:val="24"/>
        </w:rPr>
        <w:t>important types of roads in rural areas and thus well represented the roads where people live, work, and travel</w:t>
      </w:r>
      <w:r w:rsidR="003F0D75">
        <w:rPr>
          <w:rFonts w:ascii="Times New Roman" w:hAnsi="Times New Roman" w:cs="Times New Roman"/>
          <w:sz w:val="24"/>
          <w:szCs w:val="24"/>
        </w:rPr>
        <w:t>.</w:t>
      </w:r>
      <w:r w:rsidR="00A14EAF">
        <w:rPr>
          <w:rStyle w:val="FootnoteReference"/>
          <w:rFonts w:cs="Times New Roman"/>
          <w:szCs w:val="24"/>
        </w:rPr>
        <w:footnoteReference w:id="18"/>
      </w:r>
      <w:r w:rsidR="003F0D75">
        <w:rPr>
          <w:rFonts w:ascii="Times New Roman" w:hAnsi="Times New Roman" w:cs="Times New Roman"/>
          <w:sz w:val="24"/>
          <w:szCs w:val="24"/>
        </w:rPr>
        <w:t xml:space="preserve">  The </w:t>
      </w:r>
      <w:r w:rsidR="00F1141E">
        <w:rPr>
          <w:rFonts w:ascii="Times New Roman" w:hAnsi="Times New Roman" w:cs="Times New Roman"/>
          <w:sz w:val="24"/>
          <w:szCs w:val="24"/>
        </w:rPr>
        <w:t>use of the six categories</w:t>
      </w:r>
      <w:r w:rsidR="00253D11">
        <w:rPr>
          <w:rFonts w:ascii="Times New Roman" w:hAnsi="Times New Roman" w:cs="Times New Roman"/>
          <w:sz w:val="24"/>
          <w:szCs w:val="24"/>
        </w:rPr>
        <w:t xml:space="preserve"> promoted</w:t>
      </w:r>
      <w:r w:rsidR="00F1141E">
        <w:rPr>
          <w:rFonts w:ascii="Times New Roman" w:hAnsi="Times New Roman" w:cs="Times New Roman"/>
          <w:sz w:val="24"/>
          <w:szCs w:val="24"/>
        </w:rPr>
        <w:t xml:space="preserve"> </w:t>
      </w:r>
      <w:r w:rsidR="003F0D75">
        <w:rPr>
          <w:rFonts w:ascii="Times New Roman" w:hAnsi="Times New Roman" w:cs="Times New Roman"/>
          <w:sz w:val="24"/>
          <w:szCs w:val="24"/>
        </w:rPr>
        <w:t>parity among the states for eligible road miles, in light of the differences between states in the manner in which they classify their roads</w:t>
      </w:r>
      <w:r w:rsidR="000C7DE5">
        <w:rPr>
          <w:rFonts w:ascii="Times New Roman" w:hAnsi="Times New Roman" w:cs="Times New Roman"/>
          <w:sz w:val="24"/>
          <w:szCs w:val="24"/>
        </w:rPr>
        <w:t>.</w:t>
      </w:r>
      <w:r w:rsidR="00A14EAF">
        <w:rPr>
          <w:rStyle w:val="FootnoteReference"/>
          <w:rFonts w:cs="Times New Roman"/>
          <w:szCs w:val="24"/>
        </w:rPr>
        <w:footnoteReference w:id="19"/>
      </w:r>
      <w:r w:rsidR="003C74FD">
        <w:rPr>
          <w:rFonts w:ascii="Times New Roman" w:hAnsi="Times New Roman" w:cs="Times New Roman"/>
          <w:sz w:val="24"/>
          <w:szCs w:val="24"/>
        </w:rPr>
        <w:t xml:space="preserve"> </w:t>
      </w:r>
      <w:r w:rsidR="000C7DE5">
        <w:rPr>
          <w:rFonts w:ascii="Times New Roman" w:hAnsi="Times New Roman" w:cs="Times New Roman"/>
          <w:sz w:val="24"/>
          <w:szCs w:val="24"/>
        </w:rPr>
        <w:t xml:space="preserve"> </w:t>
      </w:r>
      <w:r w:rsidRPr="0099257F">
        <w:rPr>
          <w:rFonts w:ascii="Times New Roman" w:hAnsi="Times New Roman" w:cs="Times New Roman"/>
          <w:sz w:val="24"/>
          <w:szCs w:val="24"/>
        </w:rPr>
        <w:t>Including Alaska, there are 6.82 million road</w:t>
      </w:r>
      <w:r>
        <w:rPr>
          <w:rFonts w:ascii="Times New Roman" w:hAnsi="Times New Roman" w:cs="Times New Roman"/>
          <w:sz w:val="24"/>
          <w:szCs w:val="24"/>
        </w:rPr>
        <w:t xml:space="preserve"> </w:t>
      </w:r>
      <w:r w:rsidRPr="0099257F">
        <w:rPr>
          <w:rFonts w:ascii="Times New Roman" w:hAnsi="Times New Roman" w:cs="Times New Roman"/>
          <w:sz w:val="24"/>
          <w:szCs w:val="24"/>
        </w:rPr>
        <w:t xml:space="preserve">miles in the U.S. based on the </w:t>
      </w:r>
      <w:r>
        <w:rPr>
          <w:rFonts w:ascii="Times New Roman" w:hAnsi="Times New Roman" w:cs="Times New Roman"/>
          <w:sz w:val="24"/>
          <w:szCs w:val="24"/>
        </w:rPr>
        <w:t xml:space="preserve">six </w:t>
      </w:r>
      <w:r w:rsidRPr="0099257F">
        <w:rPr>
          <w:rFonts w:ascii="Times New Roman" w:hAnsi="Times New Roman" w:cs="Times New Roman"/>
          <w:sz w:val="24"/>
          <w:szCs w:val="24"/>
        </w:rPr>
        <w:t>categories listed below.</w:t>
      </w:r>
      <w:r>
        <w:t xml:space="preserve"> </w:t>
      </w:r>
      <w:r w:rsidR="00837F61">
        <w:t xml:space="preserve"> </w:t>
      </w:r>
      <w:r>
        <w:rPr>
          <w:rFonts w:ascii="Times New Roman" w:hAnsi="Times New Roman" w:cs="Times New Roman"/>
          <w:sz w:val="24"/>
          <w:szCs w:val="24"/>
        </w:rPr>
        <w:t>Exclud</w:t>
      </w:r>
      <w:r w:rsidRPr="0099257F">
        <w:rPr>
          <w:rFonts w:ascii="Times New Roman" w:hAnsi="Times New Roman" w:cs="Times New Roman"/>
          <w:sz w:val="24"/>
          <w:szCs w:val="24"/>
        </w:rPr>
        <w:t>ing Alaska, there are 6.79 million road</w:t>
      </w:r>
      <w:r>
        <w:rPr>
          <w:rFonts w:ascii="Times New Roman" w:hAnsi="Times New Roman" w:cs="Times New Roman"/>
          <w:sz w:val="24"/>
          <w:szCs w:val="24"/>
        </w:rPr>
        <w:t xml:space="preserve"> </w:t>
      </w:r>
      <w:r w:rsidRPr="0099257F">
        <w:rPr>
          <w:rFonts w:ascii="Times New Roman" w:hAnsi="Times New Roman" w:cs="Times New Roman"/>
          <w:sz w:val="24"/>
          <w:szCs w:val="24"/>
        </w:rPr>
        <w:t>miles in the U</w:t>
      </w:r>
      <w:r w:rsidR="0032719C">
        <w:rPr>
          <w:rFonts w:ascii="Times New Roman" w:hAnsi="Times New Roman" w:cs="Times New Roman"/>
          <w:sz w:val="24"/>
          <w:szCs w:val="24"/>
        </w:rPr>
        <w:t>.</w:t>
      </w:r>
      <w:r w:rsidRPr="0099257F">
        <w:rPr>
          <w:rFonts w:ascii="Times New Roman" w:hAnsi="Times New Roman" w:cs="Times New Roman"/>
          <w:sz w:val="24"/>
          <w:szCs w:val="24"/>
        </w:rPr>
        <w:t xml:space="preserve">S. </w:t>
      </w:r>
      <w:r w:rsidR="003C74FD">
        <w:rPr>
          <w:rFonts w:ascii="Times New Roman" w:hAnsi="Times New Roman" w:cs="Times New Roman"/>
          <w:sz w:val="24"/>
          <w:szCs w:val="24"/>
        </w:rPr>
        <w:t xml:space="preserve">For purposes of </w:t>
      </w:r>
      <w:r w:rsidR="00B524E8">
        <w:rPr>
          <w:rFonts w:ascii="Times New Roman" w:hAnsi="Times New Roman" w:cs="Times New Roman"/>
          <w:sz w:val="24"/>
          <w:szCs w:val="24"/>
        </w:rPr>
        <w:t>MF-I</w:t>
      </w:r>
      <w:r w:rsidR="003C74FD">
        <w:rPr>
          <w:rFonts w:ascii="Times New Roman" w:hAnsi="Times New Roman" w:cs="Times New Roman"/>
          <w:sz w:val="24"/>
          <w:szCs w:val="24"/>
        </w:rPr>
        <w:t xml:space="preserve">, Commission staff </w:t>
      </w:r>
      <w:r w:rsidR="00EB46BD">
        <w:rPr>
          <w:rFonts w:ascii="Times New Roman" w:hAnsi="Times New Roman" w:cs="Times New Roman"/>
          <w:sz w:val="24"/>
          <w:szCs w:val="24"/>
        </w:rPr>
        <w:t xml:space="preserve">assigned </w:t>
      </w:r>
      <w:r w:rsidR="003C74FD">
        <w:rPr>
          <w:rFonts w:ascii="Times New Roman" w:hAnsi="Times New Roman" w:cs="Times New Roman"/>
          <w:sz w:val="24"/>
          <w:szCs w:val="24"/>
        </w:rPr>
        <w:t xml:space="preserve">road miles </w:t>
      </w:r>
      <w:r w:rsidR="00EB46BD">
        <w:rPr>
          <w:rFonts w:ascii="Times New Roman" w:hAnsi="Times New Roman" w:cs="Times New Roman"/>
          <w:sz w:val="24"/>
          <w:szCs w:val="24"/>
        </w:rPr>
        <w:t xml:space="preserve">to </w:t>
      </w:r>
      <w:r>
        <w:rPr>
          <w:rFonts w:ascii="Times New Roman" w:hAnsi="Times New Roman" w:cs="Times New Roman"/>
          <w:sz w:val="24"/>
          <w:szCs w:val="24"/>
        </w:rPr>
        <w:t>census block</w:t>
      </w:r>
      <w:r w:rsidR="00EB46BD">
        <w:rPr>
          <w:rFonts w:ascii="Times New Roman" w:hAnsi="Times New Roman" w:cs="Times New Roman"/>
          <w:sz w:val="24"/>
          <w:szCs w:val="24"/>
        </w:rPr>
        <w:t>s so as</w:t>
      </w:r>
      <w:r>
        <w:rPr>
          <w:rFonts w:ascii="Times New Roman" w:hAnsi="Times New Roman" w:cs="Times New Roman"/>
          <w:sz w:val="24"/>
          <w:szCs w:val="24"/>
        </w:rPr>
        <w:t xml:space="preserve"> </w:t>
      </w:r>
      <w:r w:rsidR="003C74FD">
        <w:rPr>
          <w:rFonts w:ascii="Times New Roman" w:hAnsi="Times New Roman" w:cs="Times New Roman"/>
          <w:sz w:val="24"/>
          <w:szCs w:val="24"/>
        </w:rPr>
        <w:t>to</w:t>
      </w:r>
      <w:r>
        <w:rPr>
          <w:rFonts w:ascii="Times New Roman" w:hAnsi="Times New Roman" w:cs="Times New Roman"/>
          <w:sz w:val="24"/>
          <w:szCs w:val="24"/>
        </w:rPr>
        <w:t xml:space="preserve"> prevent double counting, </w:t>
      </w:r>
      <w:r w:rsidRPr="003D035F">
        <w:rPr>
          <w:rFonts w:ascii="Times New Roman" w:hAnsi="Times New Roman" w:cs="Times New Roman"/>
          <w:i/>
          <w:sz w:val="24"/>
          <w:szCs w:val="24"/>
        </w:rPr>
        <w:t>e.g.,</w:t>
      </w:r>
      <w:r>
        <w:rPr>
          <w:rFonts w:ascii="Times New Roman" w:hAnsi="Times New Roman" w:cs="Times New Roman"/>
          <w:sz w:val="24"/>
          <w:szCs w:val="24"/>
        </w:rPr>
        <w:t xml:space="preserve"> where a road forms the boundary between two census blocks</w:t>
      </w:r>
      <w:r w:rsidR="00253D11">
        <w:rPr>
          <w:rFonts w:ascii="Times New Roman" w:hAnsi="Times New Roman" w:cs="Times New Roman"/>
          <w:sz w:val="24"/>
          <w:szCs w:val="24"/>
        </w:rPr>
        <w:t>, and this Report uses those data</w:t>
      </w:r>
      <w:r w:rsidR="003C74FD">
        <w:rPr>
          <w:rFonts w:ascii="Times New Roman" w:hAnsi="Times New Roman" w:cs="Times New Roman"/>
          <w:sz w:val="24"/>
          <w:szCs w:val="24"/>
        </w:rPr>
        <w:t>.</w:t>
      </w:r>
      <w:r w:rsidR="00E32A46" w:rsidRPr="00E32A46">
        <w:rPr>
          <w:rStyle w:val="FootnoteReference"/>
          <w:rFonts w:cs="Times New Roman"/>
          <w:szCs w:val="24"/>
        </w:rPr>
        <w:t xml:space="preserve"> </w:t>
      </w:r>
      <w:r w:rsidR="00E32A46">
        <w:rPr>
          <w:rStyle w:val="FootnoteReference"/>
          <w:rFonts w:cs="Times New Roman"/>
          <w:szCs w:val="24"/>
        </w:rPr>
        <w:footnoteReference w:id="20"/>
      </w:r>
      <w:r w:rsidR="003C74FD">
        <w:rPr>
          <w:rFonts w:ascii="Times New Roman" w:hAnsi="Times New Roman" w:cs="Times New Roman"/>
          <w:sz w:val="24"/>
          <w:szCs w:val="24"/>
        </w:rPr>
        <w:t xml:space="preserve">  Commission </w:t>
      </w:r>
      <w:r>
        <w:rPr>
          <w:rFonts w:ascii="Times New Roman" w:hAnsi="Times New Roman" w:cs="Times New Roman"/>
          <w:sz w:val="24"/>
          <w:szCs w:val="24"/>
        </w:rPr>
        <w:t xml:space="preserve">staff has not yet mapped the roads </w:t>
      </w:r>
      <w:r w:rsidR="00253D11">
        <w:rPr>
          <w:rFonts w:ascii="Times New Roman" w:hAnsi="Times New Roman" w:cs="Times New Roman"/>
          <w:sz w:val="24"/>
          <w:szCs w:val="24"/>
        </w:rPr>
        <w:t>with</w:t>
      </w:r>
      <w:r>
        <w:rPr>
          <w:rFonts w:ascii="Times New Roman" w:hAnsi="Times New Roman" w:cs="Times New Roman"/>
          <w:sz w:val="24"/>
          <w:szCs w:val="24"/>
        </w:rPr>
        <w:t>in each census block</w:t>
      </w:r>
      <w:r w:rsidR="003C74FD">
        <w:rPr>
          <w:rFonts w:ascii="Times New Roman" w:hAnsi="Times New Roman" w:cs="Times New Roman"/>
          <w:sz w:val="24"/>
          <w:szCs w:val="24"/>
        </w:rPr>
        <w:t xml:space="preserve">, but anticipates </w:t>
      </w:r>
      <w:r w:rsidR="00E32A46">
        <w:rPr>
          <w:rFonts w:ascii="Times New Roman" w:hAnsi="Times New Roman" w:cs="Times New Roman"/>
          <w:sz w:val="24"/>
          <w:szCs w:val="24"/>
        </w:rPr>
        <w:t>doing so</w:t>
      </w:r>
      <w:r w:rsidR="003C74FD">
        <w:rPr>
          <w:rFonts w:ascii="Times New Roman" w:hAnsi="Times New Roman" w:cs="Times New Roman"/>
          <w:sz w:val="24"/>
          <w:szCs w:val="24"/>
        </w:rPr>
        <w:t xml:space="preserve"> for purposes of obtaining more accurate data on the coverage of road miles</w:t>
      </w:r>
      <w:r>
        <w:rPr>
          <w:rFonts w:ascii="Times New Roman" w:hAnsi="Times New Roman" w:cs="Times New Roman"/>
          <w:sz w:val="24"/>
          <w:szCs w:val="24"/>
        </w:rPr>
        <w:t xml:space="preserve">.  </w:t>
      </w:r>
      <w:r w:rsidR="003C74FD">
        <w:rPr>
          <w:rFonts w:ascii="Times New Roman" w:hAnsi="Times New Roman" w:cs="Times New Roman"/>
          <w:sz w:val="24"/>
          <w:szCs w:val="24"/>
        </w:rPr>
        <w:t>T</w:t>
      </w:r>
      <w:r w:rsidRPr="0099257F">
        <w:rPr>
          <w:rFonts w:ascii="Times New Roman" w:hAnsi="Times New Roman" w:cs="Times New Roman"/>
          <w:sz w:val="24"/>
          <w:szCs w:val="24"/>
        </w:rPr>
        <w:t xml:space="preserve">he </w:t>
      </w:r>
      <w:r w:rsidR="00BE6AFB">
        <w:rPr>
          <w:rFonts w:ascii="Times New Roman" w:hAnsi="Times New Roman" w:cs="Times New Roman"/>
          <w:sz w:val="24"/>
          <w:szCs w:val="24"/>
        </w:rPr>
        <w:t xml:space="preserve">descriptions of the </w:t>
      </w:r>
      <w:r w:rsidRPr="0099257F">
        <w:rPr>
          <w:rFonts w:ascii="Times New Roman" w:hAnsi="Times New Roman" w:cs="Times New Roman"/>
          <w:sz w:val="24"/>
          <w:szCs w:val="24"/>
        </w:rPr>
        <w:t>road</w:t>
      </w:r>
      <w:r w:rsidR="00837F61">
        <w:rPr>
          <w:rFonts w:ascii="Times New Roman" w:hAnsi="Times New Roman" w:cs="Times New Roman"/>
          <w:sz w:val="24"/>
          <w:szCs w:val="24"/>
        </w:rPr>
        <w:t xml:space="preserve"> </w:t>
      </w:r>
      <w:r w:rsidR="003C74FD">
        <w:rPr>
          <w:rFonts w:ascii="Times New Roman" w:hAnsi="Times New Roman" w:cs="Times New Roman"/>
          <w:sz w:val="24"/>
          <w:szCs w:val="24"/>
        </w:rPr>
        <w:t>mile categorie</w:t>
      </w:r>
      <w:r>
        <w:rPr>
          <w:rFonts w:ascii="Times New Roman" w:hAnsi="Times New Roman" w:cs="Times New Roman"/>
          <w:sz w:val="24"/>
          <w:szCs w:val="24"/>
        </w:rPr>
        <w:t>s</w:t>
      </w:r>
      <w:r w:rsidRPr="0099257F">
        <w:rPr>
          <w:rFonts w:ascii="Times New Roman" w:hAnsi="Times New Roman" w:cs="Times New Roman"/>
          <w:sz w:val="24"/>
          <w:szCs w:val="24"/>
        </w:rPr>
        <w:t xml:space="preserve"> included in </w:t>
      </w:r>
      <w:r w:rsidR="00C96BBB">
        <w:rPr>
          <w:rFonts w:ascii="Times New Roman" w:hAnsi="Times New Roman" w:cs="Times New Roman"/>
          <w:sz w:val="24"/>
          <w:szCs w:val="24"/>
        </w:rPr>
        <w:t xml:space="preserve">this Report’s </w:t>
      </w:r>
      <w:r w:rsidRPr="0099257F">
        <w:rPr>
          <w:rFonts w:ascii="Times New Roman" w:hAnsi="Times New Roman" w:cs="Times New Roman"/>
          <w:sz w:val="24"/>
          <w:szCs w:val="24"/>
        </w:rPr>
        <w:t xml:space="preserve">analysis </w:t>
      </w:r>
      <w:r w:rsidR="00CB7842">
        <w:rPr>
          <w:rFonts w:ascii="Times New Roman" w:hAnsi="Times New Roman" w:cs="Times New Roman"/>
          <w:sz w:val="24"/>
          <w:szCs w:val="24"/>
        </w:rPr>
        <w:t>are</w:t>
      </w:r>
      <w:r w:rsidRPr="0099257F">
        <w:rPr>
          <w:rFonts w:ascii="Times New Roman" w:hAnsi="Times New Roman" w:cs="Times New Roman"/>
          <w:sz w:val="24"/>
          <w:szCs w:val="24"/>
        </w:rPr>
        <w:t xml:space="preserve"> shown in the </w:t>
      </w:r>
      <w:r w:rsidR="00E336D7">
        <w:rPr>
          <w:rFonts w:ascii="Times New Roman" w:hAnsi="Times New Roman" w:cs="Times New Roman"/>
          <w:sz w:val="24"/>
          <w:szCs w:val="24"/>
        </w:rPr>
        <w:t xml:space="preserve">following </w:t>
      </w:r>
      <w:r w:rsidRPr="0099257F">
        <w:rPr>
          <w:rFonts w:ascii="Times New Roman" w:hAnsi="Times New Roman" w:cs="Times New Roman"/>
          <w:sz w:val="24"/>
          <w:szCs w:val="24"/>
        </w:rPr>
        <w:t>table.</w:t>
      </w:r>
      <w:r>
        <w:rPr>
          <w:rFonts w:ascii="Times New Roman" w:hAnsi="Times New Roman" w:cs="Times New Roman"/>
          <w:sz w:val="24"/>
          <w:szCs w:val="24"/>
        </w:rPr>
        <w:t xml:space="preserve">  </w:t>
      </w:r>
    </w:p>
    <w:p w14:paraId="791B8D06" w14:textId="77777777" w:rsidR="00EB1C1E" w:rsidRPr="0099257F" w:rsidRDefault="00EB1C1E" w:rsidP="00EB1C1E">
      <w:pPr>
        <w:pStyle w:val="ListParagraph"/>
        <w:spacing w:line="360" w:lineRule="auto"/>
        <w:contextualSpacing w:val="0"/>
        <w:rPr>
          <w:rFonts w:ascii="Arial" w:eastAsia="Times New Roman" w:hAnsi="Arial" w:cs="Arial"/>
          <w:sz w:val="20"/>
          <w:szCs w:val="20"/>
        </w:rPr>
      </w:pPr>
    </w:p>
    <w:p w14:paraId="30FE183A" w14:textId="77777777" w:rsidR="00EB1C1E" w:rsidRDefault="00EB1C1E" w:rsidP="00EB1C1E">
      <w:pPr>
        <w:rPr>
          <w:rFonts w:ascii="Times New Roman" w:hAnsi="Times New Roman" w:cs="Times New Roman"/>
          <w:b/>
          <w:sz w:val="24"/>
          <w:szCs w:val="24"/>
        </w:rPr>
      </w:pPr>
      <w:r>
        <w:rPr>
          <w:rFonts w:ascii="Times New Roman" w:hAnsi="Times New Roman" w:cs="Times New Roman"/>
          <w:b/>
          <w:sz w:val="24"/>
          <w:szCs w:val="24"/>
        </w:rPr>
        <w:br w:type="page"/>
      </w:r>
    </w:p>
    <w:p w14:paraId="1EF440AA" w14:textId="77777777" w:rsidR="00EB1C1E" w:rsidRPr="004C277F" w:rsidRDefault="00EB1C1E" w:rsidP="002F7A8E">
      <w:pPr>
        <w:keepNext/>
        <w:spacing w:line="240" w:lineRule="auto"/>
        <w:jc w:val="center"/>
        <w:rPr>
          <w:rFonts w:ascii="Times New Roman" w:hAnsi="Times New Roman" w:cs="Times New Roman"/>
          <w:b/>
          <w:sz w:val="24"/>
          <w:szCs w:val="24"/>
        </w:rPr>
      </w:pPr>
      <w:r w:rsidRPr="004C277F">
        <w:rPr>
          <w:rFonts w:ascii="Times New Roman" w:hAnsi="Times New Roman" w:cs="Times New Roman"/>
          <w:b/>
          <w:sz w:val="24"/>
          <w:szCs w:val="24"/>
        </w:rPr>
        <w:t>Table 1</w:t>
      </w:r>
    </w:p>
    <w:p w14:paraId="1B617A33" w14:textId="77777777" w:rsidR="00EB1C1E" w:rsidRPr="00FF38E7" w:rsidRDefault="00EB1C1E" w:rsidP="00744C36">
      <w:pPr>
        <w:spacing w:after="240" w:line="240" w:lineRule="auto"/>
        <w:jc w:val="center"/>
        <w:rPr>
          <w:rFonts w:ascii="Times New Roman" w:hAnsi="Times New Roman" w:cs="Times New Roman"/>
          <w:sz w:val="24"/>
          <w:szCs w:val="24"/>
          <w:u w:val="single"/>
        </w:rPr>
      </w:pPr>
      <w:r w:rsidRPr="00FF38E7">
        <w:rPr>
          <w:rFonts w:ascii="Times New Roman" w:hAnsi="Times New Roman" w:cs="Times New Roman"/>
          <w:sz w:val="24"/>
          <w:szCs w:val="24"/>
          <w:u w:val="single"/>
        </w:rPr>
        <w:t>Road Categories, Descriptions, and Total Miles in Eligible Census Blocks</w:t>
      </w:r>
    </w:p>
    <w:tbl>
      <w:tblPr>
        <w:tblStyle w:val="TableGrid"/>
        <w:tblW w:w="10260" w:type="dxa"/>
        <w:tblInd w:w="-5" w:type="dxa"/>
        <w:tblLook w:val="04A0" w:firstRow="1" w:lastRow="0" w:firstColumn="1" w:lastColumn="0" w:noHBand="0" w:noVBand="1"/>
      </w:tblPr>
      <w:tblGrid>
        <w:gridCol w:w="1080"/>
        <w:gridCol w:w="1620"/>
        <w:gridCol w:w="7560"/>
      </w:tblGrid>
      <w:tr w:rsidR="001950EF" w:rsidRPr="004C277F" w14:paraId="2AAC3C3D" w14:textId="77777777" w:rsidTr="001950EF">
        <w:trPr>
          <w:trHeight w:val="467"/>
        </w:trPr>
        <w:tc>
          <w:tcPr>
            <w:tcW w:w="1080" w:type="dxa"/>
          </w:tcPr>
          <w:p w14:paraId="0599B219" w14:textId="77777777" w:rsidR="001950EF" w:rsidRPr="004C277F" w:rsidRDefault="001950EF" w:rsidP="00335E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MTFCC </w:t>
            </w:r>
          </w:p>
        </w:tc>
        <w:tc>
          <w:tcPr>
            <w:tcW w:w="1620" w:type="dxa"/>
          </w:tcPr>
          <w:p w14:paraId="74522C11" w14:textId="77777777" w:rsidR="001950EF" w:rsidRPr="004C277F" w:rsidRDefault="001950EF" w:rsidP="00335E59">
            <w:pPr>
              <w:spacing w:after="0" w:line="240" w:lineRule="auto"/>
              <w:rPr>
                <w:rFonts w:ascii="Times New Roman" w:hAnsi="Times New Roman" w:cs="Times New Roman"/>
                <w:sz w:val="24"/>
                <w:szCs w:val="24"/>
              </w:rPr>
            </w:pPr>
            <w:r w:rsidRPr="004C277F">
              <w:rPr>
                <w:rFonts w:ascii="Times New Roman" w:hAnsi="Times New Roman" w:cs="Times New Roman"/>
                <w:sz w:val="24"/>
                <w:szCs w:val="24"/>
              </w:rPr>
              <w:t xml:space="preserve">Feature Class </w:t>
            </w:r>
          </w:p>
        </w:tc>
        <w:tc>
          <w:tcPr>
            <w:tcW w:w="7560" w:type="dxa"/>
          </w:tcPr>
          <w:p w14:paraId="0F7170DB" w14:textId="77777777" w:rsidR="001950EF" w:rsidRPr="004C277F" w:rsidRDefault="001950EF" w:rsidP="00335E59">
            <w:pPr>
              <w:spacing w:after="0" w:line="240" w:lineRule="auto"/>
              <w:rPr>
                <w:rFonts w:ascii="Times New Roman" w:hAnsi="Times New Roman" w:cs="Times New Roman"/>
                <w:sz w:val="24"/>
                <w:szCs w:val="24"/>
              </w:rPr>
            </w:pPr>
            <w:r w:rsidRPr="004C277F">
              <w:rPr>
                <w:rFonts w:ascii="Times New Roman" w:hAnsi="Times New Roman" w:cs="Times New Roman"/>
                <w:sz w:val="24"/>
                <w:szCs w:val="24"/>
              </w:rPr>
              <w:t xml:space="preserve">Feature Class Description </w:t>
            </w:r>
          </w:p>
        </w:tc>
      </w:tr>
      <w:tr w:rsidR="001950EF" w:rsidRPr="004C277F" w14:paraId="4AB0F2AA" w14:textId="77777777" w:rsidTr="001950EF">
        <w:tc>
          <w:tcPr>
            <w:tcW w:w="1080" w:type="dxa"/>
          </w:tcPr>
          <w:p w14:paraId="2C8FB7B8" w14:textId="77777777" w:rsidR="001950EF" w:rsidRPr="004C277F" w:rsidRDefault="001950EF" w:rsidP="00335E59">
            <w:pPr>
              <w:spacing w:after="0" w:line="240" w:lineRule="auto"/>
              <w:rPr>
                <w:rFonts w:ascii="Times New Roman" w:hAnsi="Times New Roman" w:cs="Times New Roman"/>
                <w:sz w:val="24"/>
                <w:szCs w:val="24"/>
              </w:rPr>
            </w:pPr>
            <w:r w:rsidRPr="004C277F">
              <w:rPr>
                <w:rFonts w:ascii="Times New Roman" w:hAnsi="Times New Roman" w:cs="Times New Roman"/>
                <w:sz w:val="24"/>
                <w:szCs w:val="24"/>
              </w:rPr>
              <w:t>S1100</w:t>
            </w:r>
          </w:p>
        </w:tc>
        <w:tc>
          <w:tcPr>
            <w:tcW w:w="1620" w:type="dxa"/>
          </w:tcPr>
          <w:p w14:paraId="2087D33B" w14:textId="77777777" w:rsidR="001950EF" w:rsidRPr="004C277F" w:rsidRDefault="001950EF" w:rsidP="00335E59">
            <w:pPr>
              <w:spacing w:after="0" w:line="240" w:lineRule="auto"/>
              <w:rPr>
                <w:rFonts w:ascii="Times New Roman" w:hAnsi="Times New Roman" w:cs="Times New Roman"/>
                <w:sz w:val="24"/>
                <w:szCs w:val="24"/>
              </w:rPr>
            </w:pPr>
            <w:r w:rsidRPr="004C277F">
              <w:rPr>
                <w:rFonts w:ascii="Times New Roman" w:hAnsi="Times New Roman" w:cs="Times New Roman"/>
                <w:sz w:val="24"/>
                <w:szCs w:val="24"/>
              </w:rPr>
              <w:t>Primary Road</w:t>
            </w:r>
          </w:p>
        </w:tc>
        <w:tc>
          <w:tcPr>
            <w:tcW w:w="7560" w:type="dxa"/>
          </w:tcPr>
          <w:p w14:paraId="15BF398E" w14:textId="77777777" w:rsidR="001950EF" w:rsidRPr="004C277F" w:rsidRDefault="001950EF" w:rsidP="00335E59">
            <w:pPr>
              <w:spacing w:after="0" w:line="240" w:lineRule="auto"/>
              <w:rPr>
                <w:rFonts w:ascii="Times New Roman" w:hAnsi="Times New Roman" w:cs="Times New Roman"/>
                <w:sz w:val="24"/>
                <w:szCs w:val="24"/>
              </w:rPr>
            </w:pPr>
            <w:r w:rsidRPr="004C277F">
              <w:rPr>
                <w:rFonts w:ascii="Times New Roman" w:hAnsi="Times New Roman" w:cs="Times New Roman"/>
                <w:sz w:val="24"/>
                <w:szCs w:val="24"/>
              </w:rPr>
              <w:t>Primary roads are generally divided, limited-access highways within the interstate highway system or under state management, and are distinguished by the presence of interchanges. These highways are accessible by ramps and may include some toll highways.</w:t>
            </w:r>
          </w:p>
        </w:tc>
      </w:tr>
      <w:tr w:rsidR="001950EF" w:rsidRPr="004C277F" w14:paraId="527FBEC2" w14:textId="77777777" w:rsidTr="001950EF">
        <w:tc>
          <w:tcPr>
            <w:tcW w:w="1080" w:type="dxa"/>
          </w:tcPr>
          <w:p w14:paraId="015A31D6" w14:textId="77777777" w:rsidR="001950EF" w:rsidRPr="004C277F" w:rsidRDefault="001950EF" w:rsidP="00335E59">
            <w:pPr>
              <w:spacing w:after="0" w:line="240" w:lineRule="auto"/>
              <w:rPr>
                <w:rFonts w:ascii="Times New Roman" w:hAnsi="Times New Roman" w:cs="Times New Roman"/>
                <w:sz w:val="24"/>
                <w:szCs w:val="24"/>
              </w:rPr>
            </w:pPr>
            <w:r w:rsidRPr="004C277F">
              <w:rPr>
                <w:rFonts w:ascii="Times New Roman" w:hAnsi="Times New Roman" w:cs="Times New Roman"/>
                <w:sz w:val="24"/>
                <w:szCs w:val="24"/>
              </w:rPr>
              <w:t>S1200</w:t>
            </w:r>
          </w:p>
        </w:tc>
        <w:tc>
          <w:tcPr>
            <w:tcW w:w="1620" w:type="dxa"/>
          </w:tcPr>
          <w:p w14:paraId="7C369C8E" w14:textId="77777777" w:rsidR="001950EF" w:rsidRPr="004C277F" w:rsidRDefault="001950EF" w:rsidP="00335E59">
            <w:pPr>
              <w:spacing w:after="0" w:line="240" w:lineRule="auto"/>
              <w:rPr>
                <w:rFonts w:ascii="Times New Roman" w:hAnsi="Times New Roman" w:cs="Times New Roman"/>
                <w:sz w:val="24"/>
                <w:szCs w:val="24"/>
              </w:rPr>
            </w:pPr>
            <w:r w:rsidRPr="004C277F">
              <w:rPr>
                <w:rFonts w:ascii="Times New Roman" w:hAnsi="Times New Roman" w:cs="Times New Roman"/>
                <w:sz w:val="24"/>
                <w:szCs w:val="24"/>
              </w:rPr>
              <w:t>Secondary Road</w:t>
            </w:r>
          </w:p>
        </w:tc>
        <w:tc>
          <w:tcPr>
            <w:tcW w:w="7560" w:type="dxa"/>
          </w:tcPr>
          <w:p w14:paraId="5620EE2B" w14:textId="77777777" w:rsidR="001950EF" w:rsidRPr="004C277F" w:rsidRDefault="001950EF" w:rsidP="00335E59">
            <w:pPr>
              <w:spacing w:after="0" w:line="240" w:lineRule="auto"/>
              <w:rPr>
                <w:rFonts w:ascii="Times New Roman" w:hAnsi="Times New Roman" w:cs="Times New Roman"/>
                <w:sz w:val="24"/>
                <w:szCs w:val="24"/>
              </w:rPr>
            </w:pPr>
            <w:r w:rsidRPr="004C277F">
              <w:rPr>
                <w:rFonts w:ascii="Times New Roman" w:hAnsi="Times New Roman" w:cs="Times New Roman"/>
                <w:sz w:val="24"/>
                <w:szCs w:val="24"/>
              </w:rPr>
              <w:t>Secondary roads are main arteries, usually in the U.S. Highway, State Highway or County Highway system. These roads have one or more lanes of traffic in each direction, may or may not be divided, and usually have at-grade intersections with many other roads and driveways. They often have both a local name and a route number.</w:t>
            </w:r>
          </w:p>
        </w:tc>
      </w:tr>
      <w:tr w:rsidR="001950EF" w:rsidRPr="004C277F" w14:paraId="61C37187" w14:textId="77777777" w:rsidTr="001950EF">
        <w:tc>
          <w:tcPr>
            <w:tcW w:w="1080" w:type="dxa"/>
          </w:tcPr>
          <w:p w14:paraId="09C60281" w14:textId="77777777" w:rsidR="001950EF" w:rsidRPr="004C277F" w:rsidRDefault="001950EF" w:rsidP="00335E59">
            <w:pPr>
              <w:spacing w:after="0" w:line="240" w:lineRule="auto"/>
              <w:rPr>
                <w:rFonts w:ascii="Times New Roman" w:hAnsi="Times New Roman" w:cs="Times New Roman"/>
                <w:sz w:val="24"/>
                <w:szCs w:val="24"/>
              </w:rPr>
            </w:pPr>
            <w:r w:rsidRPr="004C277F">
              <w:rPr>
                <w:rFonts w:ascii="Times New Roman" w:hAnsi="Times New Roman" w:cs="Times New Roman"/>
                <w:sz w:val="24"/>
                <w:szCs w:val="24"/>
              </w:rPr>
              <w:t>S1400</w:t>
            </w:r>
          </w:p>
        </w:tc>
        <w:tc>
          <w:tcPr>
            <w:tcW w:w="1620" w:type="dxa"/>
          </w:tcPr>
          <w:p w14:paraId="0C5AC32B" w14:textId="25E26A2E" w:rsidR="001950EF" w:rsidRPr="004C277F" w:rsidRDefault="001950EF" w:rsidP="00335E59">
            <w:pPr>
              <w:spacing w:after="0" w:line="240" w:lineRule="auto"/>
              <w:rPr>
                <w:rFonts w:ascii="Times New Roman" w:hAnsi="Times New Roman" w:cs="Times New Roman"/>
                <w:sz w:val="24"/>
                <w:szCs w:val="24"/>
              </w:rPr>
            </w:pPr>
            <w:r w:rsidRPr="004C277F">
              <w:rPr>
                <w:rFonts w:ascii="Times New Roman" w:hAnsi="Times New Roman" w:cs="Times New Roman"/>
                <w:sz w:val="24"/>
                <w:szCs w:val="24"/>
              </w:rPr>
              <w:t>Local Neighborhood Road,</w:t>
            </w:r>
            <w:r w:rsidR="006C52AC">
              <w:rPr>
                <w:rFonts w:ascii="Times New Roman" w:hAnsi="Times New Roman" w:cs="Times New Roman"/>
                <w:sz w:val="24"/>
                <w:szCs w:val="24"/>
              </w:rPr>
              <w:t xml:space="preserve"> </w:t>
            </w:r>
            <w:r w:rsidR="006C52AC" w:rsidRPr="004C277F">
              <w:rPr>
                <w:rFonts w:ascii="Times New Roman" w:hAnsi="Times New Roman" w:cs="Times New Roman"/>
                <w:sz w:val="24"/>
                <w:szCs w:val="24"/>
              </w:rPr>
              <w:t>Rural Road, City Street</w:t>
            </w:r>
          </w:p>
        </w:tc>
        <w:tc>
          <w:tcPr>
            <w:tcW w:w="7560" w:type="dxa"/>
          </w:tcPr>
          <w:p w14:paraId="10FDF3DC" w14:textId="6AB130BC" w:rsidR="001950EF" w:rsidRPr="004C277F" w:rsidRDefault="001950EF" w:rsidP="00335E59">
            <w:pPr>
              <w:spacing w:after="0" w:line="240" w:lineRule="auto"/>
              <w:rPr>
                <w:rFonts w:ascii="Times New Roman" w:hAnsi="Times New Roman" w:cs="Times New Roman"/>
                <w:sz w:val="24"/>
                <w:szCs w:val="24"/>
              </w:rPr>
            </w:pPr>
            <w:r w:rsidRPr="004C277F">
              <w:rPr>
                <w:rFonts w:ascii="Times New Roman" w:hAnsi="Times New Roman" w:cs="Times New Roman"/>
                <w:sz w:val="24"/>
                <w:szCs w:val="24"/>
              </w:rPr>
              <w:t>Generally a paved non-arterial street, road, or byway that usually has a single lane of traffic in each direction. Roads in this feature class may be privately or publicly maintained. Scenic park roads would be included in this feature class, as would (depending on the region of the country) some unpaved roads.</w:t>
            </w:r>
          </w:p>
        </w:tc>
      </w:tr>
      <w:tr w:rsidR="001950EF" w:rsidRPr="004C277F" w14:paraId="72F61C48" w14:textId="77777777" w:rsidTr="001950EF">
        <w:tc>
          <w:tcPr>
            <w:tcW w:w="1080" w:type="dxa"/>
          </w:tcPr>
          <w:p w14:paraId="21E739DC" w14:textId="77777777" w:rsidR="001950EF" w:rsidRPr="004C277F" w:rsidRDefault="001950EF" w:rsidP="00335E59">
            <w:pPr>
              <w:spacing w:after="0" w:line="240" w:lineRule="auto"/>
              <w:rPr>
                <w:rFonts w:ascii="Times New Roman" w:hAnsi="Times New Roman" w:cs="Times New Roman"/>
                <w:sz w:val="24"/>
                <w:szCs w:val="24"/>
              </w:rPr>
            </w:pPr>
            <w:r w:rsidRPr="004C277F">
              <w:rPr>
                <w:rFonts w:ascii="Times New Roman" w:hAnsi="Times New Roman" w:cs="Times New Roman"/>
                <w:sz w:val="24"/>
                <w:szCs w:val="24"/>
              </w:rPr>
              <w:t>S1500</w:t>
            </w:r>
          </w:p>
        </w:tc>
        <w:tc>
          <w:tcPr>
            <w:tcW w:w="1620" w:type="dxa"/>
          </w:tcPr>
          <w:p w14:paraId="3EA38364" w14:textId="77777777" w:rsidR="001950EF" w:rsidRPr="004C277F" w:rsidRDefault="001950EF" w:rsidP="00335E59">
            <w:pPr>
              <w:spacing w:after="0" w:line="240" w:lineRule="auto"/>
              <w:rPr>
                <w:rFonts w:ascii="Times New Roman" w:hAnsi="Times New Roman" w:cs="Times New Roman"/>
                <w:sz w:val="24"/>
                <w:szCs w:val="24"/>
              </w:rPr>
            </w:pPr>
            <w:r w:rsidRPr="004C277F">
              <w:rPr>
                <w:rFonts w:ascii="Times New Roman" w:hAnsi="Times New Roman" w:cs="Times New Roman"/>
                <w:sz w:val="24"/>
                <w:szCs w:val="24"/>
              </w:rPr>
              <w:t>Vehicular Trail (4WD)</w:t>
            </w:r>
          </w:p>
        </w:tc>
        <w:tc>
          <w:tcPr>
            <w:tcW w:w="7560" w:type="dxa"/>
          </w:tcPr>
          <w:p w14:paraId="21F45E55" w14:textId="77777777" w:rsidR="001950EF" w:rsidRPr="004C277F" w:rsidRDefault="001950EF" w:rsidP="00335E59">
            <w:pPr>
              <w:spacing w:after="0" w:line="240" w:lineRule="auto"/>
              <w:rPr>
                <w:rFonts w:ascii="Times New Roman" w:hAnsi="Times New Roman" w:cs="Times New Roman"/>
                <w:sz w:val="24"/>
                <w:szCs w:val="24"/>
              </w:rPr>
            </w:pPr>
            <w:r w:rsidRPr="004C277F">
              <w:rPr>
                <w:rFonts w:ascii="Times New Roman" w:hAnsi="Times New Roman" w:cs="Times New Roman"/>
                <w:sz w:val="24"/>
                <w:szCs w:val="24"/>
              </w:rPr>
              <w:t>An unpaved dirt trail where a four-wheel drive vehicle is required. These vehicular trails are found almost exclusively in very rural areas. Minor, unpaved roads usable by ordinary cars and trucks belong in the S1400 category.</w:t>
            </w:r>
          </w:p>
        </w:tc>
      </w:tr>
      <w:tr w:rsidR="001950EF" w:rsidRPr="004C277F" w14:paraId="01A648A5" w14:textId="77777777" w:rsidTr="001950EF">
        <w:tc>
          <w:tcPr>
            <w:tcW w:w="1080" w:type="dxa"/>
          </w:tcPr>
          <w:p w14:paraId="66A7ED4A" w14:textId="77777777" w:rsidR="001950EF" w:rsidRPr="004C277F" w:rsidRDefault="001950EF" w:rsidP="00335E59">
            <w:pPr>
              <w:spacing w:after="0" w:line="240" w:lineRule="auto"/>
              <w:rPr>
                <w:rFonts w:ascii="Times New Roman" w:hAnsi="Times New Roman" w:cs="Times New Roman"/>
                <w:sz w:val="24"/>
                <w:szCs w:val="24"/>
              </w:rPr>
            </w:pPr>
            <w:r w:rsidRPr="004C277F">
              <w:rPr>
                <w:rFonts w:ascii="Times New Roman" w:hAnsi="Times New Roman" w:cs="Times New Roman"/>
                <w:sz w:val="24"/>
                <w:szCs w:val="24"/>
              </w:rPr>
              <w:t>S1640</w:t>
            </w:r>
          </w:p>
        </w:tc>
        <w:tc>
          <w:tcPr>
            <w:tcW w:w="1620" w:type="dxa"/>
          </w:tcPr>
          <w:p w14:paraId="534728E4" w14:textId="77777777" w:rsidR="001950EF" w:rsidRPr="004C277F" w:rsidRDefault="001950EF" w:rsidP="00335E59">
            <w:pPr>
              <w:spacing w:after="0" w:line="240" w:lineRule="auto"/>
              <w:rPr>
                <w:rFonts w:ascii="Times New Roman" w:hAnsi="Times New Roman" w:cs="Times New Roman"/>
                <w:sz w:val="24"/>
                <w:szCs w:val="24"/>
              </w:rPr>
            </w:pPr>
            <w:r w:rsidRPr="004C277F">
              <w:rPr>
                <w:rFonts w:ascii="Times New Roman" w:hAnsi="Times New Roman" w:cs="Times New Roman"/>
                <w:sz w:val="24"/>
                <w:szCs w:val="24"/>
              </w:rPr>
              <w:t>Service Drive usually along a limited access highway</w:t>
            </w:r>
          </w:p>
        </w:tc>
        <w:tc>
          <w:tcPr>
            <w:tcW w:w="7560" w:type="dxa"/>
          </w:tcPr>
          <w:p w14:paraId="6BF89A14" w14:textId="2AA77A69" w:rsidR="001950EF" w:rsidRPr="004C277F" w:rsidRDefault="001950EF" w:rsidP="001E7630">
            <w:pPr>
              <w:spacing w:after="0" w:line="240" w:lineRule="auto"/>
              <w:rPr>
                <w:rFonts w:ascii="Times New Roman" w:hAnsi="Times New Roman" w:cs="Times New Roman"/>
                <w:sz w:val="24"/>
                <w:szCs w:val="24"/>
              </w:rPr>
            </w:pPr>
            <w:r w:rsidRPr="004C277F">
              <w:rPr>
                <w:rFonts w:ascii="Times New Roman" w:hAnsi="Times New Roman" w:cs="Times New Roman"/>
                <w:sz w:val="24"/>
                <w:szCs w:val="24"/>
              </w:rPr>
              <w:t>A road, usually parall</w:t>
            </w:r>
            <w:r>
              <w:rPr>
                <w:rFonts w:ascii="Times New Roman" w:hAnsi="Times New Roman" w:cs="Times New Roman"/>
                <w:sz w:val="24"/>
                <w:szCs w:val="24"/>
              </w:rPr>
              <w:t>eling a limited access highway,</w:t>
            </w:r>
            <w:r w:rsidRPr="004C277F">
              <w:rPr>
                <w:rFonts w:ascii="Times New Roman" w:hAnsi="Times New Roman" w:cs="Times New Roman"/>
                <w:sz w:val="24"/>
                <w:szCs w:val="24"/>
              </w:rPr>
              <w:t xml:space="preserve">that provides access to structures along the highway. These roads can be named and may intersect with other roads. </w:t>
            </w:r>
          </w:p>
        </w:tc>
      </w:tr>
      <w:tr w:rsidR="001950EF" w:rsidRPr="004C277F" w14:paraId="4DADF1D9" w14:textId="77777777" w:rsidTr="001950EF">
        <w:tc>
          <w:tcPr>
            <w:tcW w:w="1080" w:type="dxa"/>
            <w:tcBorders>
              <w:top w:val="nil"/>
              <w:left w:val="single" w:sz="4" w:space="0" w:color="auto"/>
              <w:bottom w:val="single" w:sz="4" w:space="0" w:color="auto"/>
              <w:right w:val="single" w:sz="4" w:space="0" w:color="auto"/>
            </w:tcBorders>
            <w:shd w:val="clear" w:color="auto" w:fill="auto"/>
          </w:tcPr>
          <w:p w14:paraId="633D871B" w14:textId="77777777" w:rsidR="001950EF" w:rsidRPr="0094259D" w:rsidRDefault="001950EF" w:rsidP="00335E59">
            <w:pPr>
              <w:spacing w:after="0" w:line="240" w:lineRule="auto"/>
              <w:rPr>
                <w:rFonts w:ascii="Times New Roman" w:hAnsi="Times New Roman" w:cs="Times New Roman"/>
                <w:sz w:val="24"/>
                <w:szCs w:val="24"/>
              </w:rPr>
            </w:pPr>
            <w:r w:rsidRPr="0094259D">
              <w:rPr>
                <w:rFonts w:ascii="Times New Roman" w:hAnsi="Times New Roman" w:cs="Times New Roman"/>
                <w:color w:val="000000"/>
                <w:sz w:val="24"/>
                <w:szCs w:val="24"/>
              </w:rPr>
              <w:t>S1740</w:t>
            </w:r>
          </w:p>
        </w:tc>
        <w:tc>
          <w:tcPr>
            <w:tcW w:w="1620" w:type="dxa"/>
            <w:tcBorders>
              <w:top w:val="nil"/>
              <w:left w:val="nil"/>
              <w:bottom w:val="single" w:sz="4" w:space="0" w:color="auto"/>
              <w:right w:val="single" w:sz="4" w:space="0" w:color="auto"/>
            </w:tcBorders>
            <w:shd w:val="clear" w:color="auto" w:fill="auto"/>
          </w:tcPr>
          <w:p w14:paraId="4A74F43F" w14:textId="77777777" w:rsidR="001950EF" w:rsidRPr="0094259D" w:rsidRDefault="001950EF" w:rsidP="00335E59">
            <w:pPr>
              <w:spacing w:after="0" w:line="240" w:lineRule="auto"/>
              <w:rPr>
                <w:rFonts w:ascii="Times New Roman" w:hAnsi="Times New Roman" w:cs="Times New Roman"/>
                <w:sz w:val="24"/>
                <w:szCs w:val="24"/>
              </w:rPr>
            </w:pPr>
            <w:r w:rsidRPr="0094259D">
              <w:rPr>
                <w:rFonts w:ascii="Times New Roman" w:hAnsi="Times New Roman" w:cs="Times New Roman"/>
                <w:sz w:val="24"/>
                <w:szCs w:val="24"/>
              </w:rPr>
              <w:t>Private Road for service vehicles (logging, oil fields, ranches, etc.)</w:t>
            </w:r>
          </w:p>
        </w:tc>
        <w:tc>
          <w:tcPr>
            <w:tcW w:w="7560" w:type="dxa"/>
            <w:tcBorders>
              <w:top w:val="nil"/>
              <w:left w:val="nil"/>
              <w:bottom w:val="single" w:sz="4" w:space="0" w:color="auto"/>
              <w:right w:val="single" w:sz="4" w:space="0" w:color="auto"/>
            </w:tcBorders>
            <w:shd w:val="clear" w:color="auto" w:fill="auto"/>
          </w:tcPr>
          <w:p w14:paraId="03CAE73D" w14:textId="77777777" w:rsidR="001950EF" w:rsidRPr="0094259D" w:rsidRDefault="001950EF" w:rsidP="00335E59">
            <w:pPr>
              <w:spacing w:after="0" w:line="240" w:lineRule="auto"/>
              <w:rPr>
                <w:rFonts w:ascii="Times New Roman" w:hAnsi="Times New Roman" w:cs="Times New Roman"/>
                <w:sz w:val="24"/>
                <w:szCs w:val="24"/>
              </w:rPr>
            </w:pPr>
            <w:r w:rsidRPr="0094259D">
              <w:rPr>
                <w:rFonts w:ascii="Times New Roman" w:hAnsi="Times New Roman" w:cs="Times New Roman"/>
                <w:sz w:val="24"/>
                <w:szCs w:val="24"/>
              </w:rPr>
              <w:t>A road within private property that is privately maintained for service, extractive, or other purposes. These roads are often unnamed.</w:t>
            </w:r>
          </w:p>
        </w:tc>
      </w:tr>
    </w:tbl>
    <w:p w14:paraId="6704E766" w14:textId="54A23FEC" w:rsidR="00EB1C1E" w:rsidRPr="00335E59" w:rsidRDefault="00EB1C1E" w:rsidP="00335E59">
      <w:pPr>
        <w:spacing w:after="0" w:line="240" w:lineRule="auto"/>
        <w:rPr>
          <w:rFonts w:ascii="Times New Roman" w:hAnsi="Times New Roman" w:cs="Times New Roman"/>
          <w:sz w:val="24"/>
          <w:szCs w:val="24"/>
        </w:rPr>
      </w:pPr>
      <w:r w:rsidRPr="00335E59">
        <w:rPr>
          <w:rFonts w:ascii="Times New Roman" w:hAnsi="Times New Roman" w:cs="Times New Roman"/>
          <w:sz w:val="24"/>
          <w:szCs w:val="24"/>
        </w:rPr>
        <w:t xml:space="preserve">Source: </w:t>
      </w:r>
      <w:r w:rsidR="00A14EAF" w:rsidRPr="00A14EAF">
        <w:rPr>
          <w:rFonts w:ascii="Times New Roman" w:hAnsi="Times New Roman" w:cs="Times New Roman"/>
          <w:i/>
          <w:sz w:val="22"/>
          <w:szCs w:val="22"/>
        </w:rPr>
        <w:t>Auction 901 Procedures Public Notice</w:t>
      </w:r>
      <w:r w:rsidR="00A14EAF">
        <w:rPr>
          <w:rFonts w:ascii="Times New Roman" w:hAnsi="Times New Roman" w:cs="Times New Roman"/>
          <w:i/>
          <w:sz w:val="22"/>
          <w:szCs w:val="22"/>
        </w:rPr>
        <w:t>,</w:t>
      </w:r>
      <w:r w:rsidR="00A14EAF" w:rsidRPr="00A14EAF">
        <w:rPr>
          <w:rFonts w:ascii="Times New Roman" w:hAnsi="Times New Roman" w:cs="Times New Roman"/>
          <w:i/>
          <w:sz w:val="22"/>
          <w:szCs w:val="22"/>
        </w:rPr>
        <w:t xml:space="preserve"> </w:t>
      </w:r>
      <w:r w:rsidR="008E2B61" w:rsidRPr="00874AF0">
        <w:rPr>
          <w:rFonts w:ascii="Times New Roman" w:hAnsi="Times New Roman" w:cs="Times New Roman"/>
          <w:sz w:val="22"/>
          <w:szCs w:val="22"/>
        </w:rPr>
        <w:t>Attachment B</w:t>
      </w:r>
      <w:r w:rsidR="00A14EAF">
        <w:rPr>
          <w:rFonts w:ascii="Times New Roman" w:hAnsi="Times New Roman" w:cs="Times New Roman"/>
          <w:sz w:val="22"/>
          <w:szCs w:val="22"/>
        </w:rPr>
        <w:t xml:space="preserve">.  </w:t>
      </w:r>
      <w:hyperlink r:id="rId14" w:history="1">
        <w:r w:rsidR="00BB624E" w:rsidRPr="003569BD">
          <w:rPr>
            <w:rStyle w:val="Hyperlink"/>
            <w:rFonts w:ascii="Times New Roman" w:hAnsi="Times New Roman" w:cs="Times New Roman"/>
            <w:sz w:val="22"/>
            <w:szCs w:val="22"/>
          </w:rPr>
          <w:t>https://www.fcc.gov/document/mobility-fund-auction-procedures-and-filing-requirements</w:t>
        </w:r>
      </w:hyperlink>
      <w:r w:rsidR="0062178D">
        <w:rPr>
          <w:rFonts w:ascii="Times New Roman" w:hAnsi="Times New Roman" w:cs="Times New Roman"/>
          <w:sz w:val="24"/>
          <w:szCs w:val="24"/>
        </w:rPr>
        <w:t>.</w:t>
      </w:r>
    </w:p>
    <w:p w14:paraId="422E165C" w14:textId="23F52D95" w:rsidR="00335E59" w:rsidRDefault="00335E59">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7D1CAD3F" w14:textId="7D05BA59" w:rsidR="00EB1C1E" w:rsidRDefault="00EB1C1E" w:rsidP="007627A0">
      <w:pPr>
        <w:pStyle w:val="Subtitle"/>
        <w:keepNext/>
        <w:numPr>
          <w:ilvl w:val="0"/>
          <w:numId w:val="15"/>
        </w:numPr>
        <w:ind w:left="360"/>
        <w:rPr>
          <w:rFonts w:ascii="Times New Roman" w:hAnsi="Times New Roman" w:cs="Times New Roman"/>
        </w:rPr>
      </w:pPr>
      <w:r>
        <w:rPr>
          <w:rFonts w:ascii="Times New Roman" w:hAnsi="Times New Roman" w:cs="Times New Roman"/>
        </w:rPr>
        <w:t>High</w:t>
      </w:r>
      <w:r w:rsidR="00323E8E">
        <w:rPr>
          <w:rFonts w:ascii="Times New Roman" w:hAnsi="Times New Roman" w:cs="Times New Roman"/>
        </w:rPr>
        <w:t>-</w:t>
      </w:r>
      <w:r>
        <w:rPr>
          <w:rFonts w:ascii="Times New Roman" w:hAnsi="Times New Roman" w:cs="Times New Roman"/>
        </w:rPr>
        <w:t xml:space="preserve">Cost </w:t>
      </w:r>
      <w:r w:rsidR="0023712B">
        <w:rPr>
          <w:rFonts w:ascii="Times New Roman" w:hAnsi="Times New Roman" w:cs="Times New Roman"/>
        </w:rPr>
        <w:t xml:space="preserve">Support </w:t>
      </w:r>
      <w:r w:rsidRPr="00B072A4">
        <w:rPr>
          <w:rFonts w:ascii="Times New Roman" w:hAnsi="Times New Roman" w:cs="Times New Roman"/>
        </w:rPr>
        <w:t>Data</w:t>
      </w:r>
    </w:p>
    <w:p w14:paraId="502F4452" w14:textId="5FCAD86C" w:rsidR="00EB1C1E" w:rsidRPr="005A3FE2" w:rsidRDefault="00EB1C1E" w:rsidP="00702196">
      <w:pPr>
        <w:pStyle w:val="ListParagraph"/>
        <w:numPr>
          <w:ilvl w:val="0"/>
          <w:numId w:val="16"/>
        </w:numPr>
        <w:spacing w:line="360" w:lineRule="auto"/>
        <w:ind w:hanging="450"/>
        <w:contextualSpacing w:val="0"/>
        <w:rPr>
          <w:rFonts w:ascii="Times New Roman" w:hAnsi="Times New Roman" w:cs="Times New Roman"/>
          <w:sz w:val="24"/>
          <w:szCs w:val="24"/>
        </w:rPr>
      </w:pPr>
      <w:r>
        <w:rPr>
          <w:rFonts w:ascii="Times New Roman" w:hAnsi="Times New Roman" w:cs="Times New Roman"/>
          <w:sz w:val="24"/>
          <w:szCs w:val="24"/>
        </w:rPr>
        <w:t xml:space="preserve">The Universal Service Fund </w:t>
      </w:r>
      <w:r w:rsidR="00E32A46">
        <w:rPr>
          <w:rFonts w:ascii="Times New Roman" w:hAnsi="Times New Roman" w:cs="Times New Roman"/>
          <w:sz w:val="24"/>
          <w:szCs w:val="24"/>
        </w:rPr>
        <w:t xml:space="preserve">(USF) </w:t>
      </w:r>
      <w:r>
        <w:rPr>
          <w:rFonts w:ascii="Times New Roman" w:hAnsi="Times New Roman" w:cs="Times New Roman"/>
          <w:sz w:val="24"/>
          <w:szCs w:val="24"/>
        </w:rPr>
        <w:t>provides</w:t>
      </w:r>
      <w:r w:rsidRPr="0081582A">
        <w:rPr>
          <w:rFonts w:ascii="Times New Roman" w:hAnsi="Times New Roman" w:cs="Times New Roman"/>
          <w:sz w:val="24"/>
          <w:szCs w:val="24"/>
        </w:rPr>
        <w:t xml:space="preserve"> </w:t>
      </w:r>
      <w:r w:rsidR="00323E8E">
        <w:rPr>
          <w:rFonts w:ascii="Times New Roman" w:hAnsi="Times New Roman" w:cs="Times New Roman"/>
          <w:sz w:val="24"/>
          <w:szCs w:val="24"/>
        </w:rPr>
        <w:t>support</w:t>
      </w:r>
      <w:r>
        <w:rPr>
          <w:rFonts w:ascii="Times New Roman" w:hAnsi="Times New Roman" w:cs="Times New Roman"/>
          <w:sz w:val="24"/>
          <w:szCs w:val="24"/>
        </w:rPr>
        <w:t xml:space="preserve"> to carriers through the </w:t>
      </w:r>
      <w:r w:rsidRPr="0081582A">
        <w:rPr>
          <w:rFonts w:ascii="Times New Roman" w:hAnsi="Times New Roman" w:cs="Times New Roman"/>
          <w:sz w:val="24"/>
          <w:szCs w:val="24"/>
        </w:rPr>
        <w:t xml:space="preserve">High Cost Program </w:t>
      </w:r>
      <w:r>
        <w:rPr>
          <w:rFonts w:ascii="Times New Roman" w:hAnsi="Times New Roman" w:cs="Times New Roman"/>
          <w:sz w:val="24"/>
          <w:szCs w:val="24"/>
        </w:rPr>
        <w:t>in order to</w:t>
      </w:r>
      <w:r w:rsidRPr="0081582A">
        <w:rPr>
          <w:rFonts w:ascii="Times New Roman" w:hAnsi="Times New Roman" w:cs="Times New Roman"/>
          <w:sz w:val="24"/>
          <w:szCs w:val="24"/>
        </w:rPr>
        <w:t xml:space="preserve"> preserv</w:t>
      </w:r>
      <w:r>
        <w:rPr>
          <w:rFonts w:ascii="Times New Roman" w:hAnsi="Times New Roman" w:cs="Times New Roman"/>
          <w:sz w:val="24"/>
          <w:szCs w:val="24"/>
        </w:rPr>
        <w:t xml:space="preserve">e </w:t>
      </w:r>
      <w:r w:rsidRPr="0081582A">
        <w:rPr>
          <w:rFonts w:ascii="Times New Roman" w:hAnsi="Times New Roman" w:cs="Times New Roman"/>
          <w:sz w:val="24"/>
          <w:szCs w:val="24"/>
        </w:rPr>
        <w:t>and advanc</w:t>
      </w:r>
      <w:r>
        <w:rPr>
          <w:rFonts w:ascii="Times New Roman" w:hAnsi="Times New Roman" w:cs="Times New Roman"/>
          <w:sz w:val="24"/>
          <w:szCs w:val="24"/>
        </w:rPr>
        <w:t>e</w:t>
      </w:r>
      <w:r w:rsidRPr="0081582A">
        <w:rPr>
          <w:rFonts w:ascii="Times New Roman" w:hAnsi="Times New Roman" w:cs="Times New Roman"/>
          <w:sz w:val="24"/>
          <w:szCs w:val="24"/>
        </w:rPr>
        <w:t xml:space="preserve"> voice and</w:t>
      </w:r>
      <w:r>
        <w:rPr>
          <w:rFonts w:ascii="Times New Roman" w:hAnsi="Times New Roman" w:cs="Times New Roman"/>
          <w:sz w:val="24"/>
          <w:szCs w:val="24"/>
        </w:rPr>
        <w:t xml:space="preserve"> </w:t>
      </w:r>
      <w:r w:rsidRPr="0081582A">
        <w:rPr>
          <w:rFonts w:ascii="Times New Roman" w:hAnsi="Times New Roman" w:cs="Times New Roman"/>
          <w:sz w:val="24"/>
          <w:szCs w:val="24"/>
        </w:rPr>
        <w:t>broadband service</w:t>
      </w:r>
      <w:r w:rsidRPr="005A3FE2">
        <w:rPr>
          <w:rFonts w:ascii="Times New Roman" w:hAnsi="Times New Roman" w:cs="Times New Roman"/>
          <w:sz w:val="24"/>
          <w:szCs w:val="24"/>
        </w:rPr>
        <w:t>.</w:t>
      </w:r>
      <w:r w:rsidRPr="00FE2D5D">
        <w:rPr>
          <w:rFonts w:ascii="Times New Roman" w:hAnsi="Times New Roman" w:cs="Times New Roman"/>
          <w:sz w:val="24"/>
          <w:szCs w:val="24"/>
        </w:rPr>
        <w:t xml:space="preserve"> </w:t>
      </w:r>
      <w:r>
        <w:rPr>
          <w:rFonts w:ascii="Times New Roman" w:hAnsi="Times New Roman" w:cs="Times New Roman"/>
          <w:sz w:val="24"/>
          <w:szCs w:val="24"/>
        </w:rPr>
        <w:t xml:space="preserve"> Currently, there are two types of high</w:t>
      </w:r>
      <w:r w:rsidR="00323E8E">
        <w:rPr>
          <w:rFonts w:ascii="Times New Roman" w:hAnsi="Times New Roman" w:cs="Times New Roman"/>
          <w:sz w:val="24"/>
          <w:szCs w:val="24"/>
        </w:rPr>
        <w:t>-</w:t>
      </w:r>
      <w:r>
        <w:rPr>
          <w:rFonts w:ascii="Times New Roman" w:hAnsi="Times New Roman" w:cs="Times New Roman"/>
          <w:sz w:val="24"/>
          <w:szCs w:val="24"/>
        </w:rPr>
        <w:t xml:space="preserve">cost support </w:t>
      </w:r>
      <w:r w:rsidR="00323E8E">
        <w:rPr>
          <w:rFonts w:ascii="Times New Roman" w:hAnsi="Times New Roman" w:cs="Times New Roman"/>
          <w:sz w:val="24"/>
          <w:szCs w:val="24"/>
        </w:rPr>
        <w:t>provided</w:t>
      </w:r>
      <w:r>
        <w:rPr>
          <w:rFonts w:ascii="Times New Roman" w:hAnsi="Times New Roman" w:cs="Times New Roman"/>
          <w:sz w:val="24"/>
          <w:szCs w:val="24"/>
        </w:rPr>
        <w:t xml:space="preserve"> to eligible mobile service providers (also referred to as competitive eligible telecommunications carriers or CETCs).</w:t>
      </w:r>
      <w:r w:rsidR="00E32A46">
        <w:rPr>
          <w:rStyle w:val="FootnoteReference"/>
          <w:rFonts w:cs="Times New Roman"/>
          <w:szCs w:val="24"/>
        </w:rPr>
        <w:footnoteReference w:id="21"/>
      </w:r>
      <w:r>
        <w:rPr>
          <w:rFonts w:ascii="Times New Roman" w:hAnsi="Times New Roman" w:cs="Times New Roman"/>
          <w:sz w:val="24"/>
          <w:szCs w:val="24"/>
        </w:rPr>
        <w:t xml:space="preserve">  The first is the ongoing high</w:t>
      </w:r>
      <w:r w:rsidR="00323E8E">
        <w:rPr>
          <w:rFonts w:ascii="Times New Roman" w:hAnsi="Times New Roman" w:cs="Times New Roman"/>
          <w:sz w:val="24"/>
          <w:szCs w:val="24"/>
        </w:rPr>
        <w:t>-</w:t>
      </w:r>
      <w:r>
        <w:rPr>
          <w:rFonts w:ascii="Times New Roman" w:hAnsi="Times New Roman" w:cs="Times New Roman"/>
          <w:sz w:val="24"/>
          <w:szCs w:val="24"/>
        </w:rPr>
        <w:t xml:space="preserve">cost </w:t>
      </w:r>
      <w:r w:rsidR="00C67BFE">
        <w:rPr>
          <w:rFonts w:ascii="Times New Roman" w:hAnsi="Times New Roman" w:cs="Times New Roman"/>
          <w:sz w:val="24"/>
          <w:szCs w:val="24"/>
        </w:rPr>
        <w:t xml:space="preserve">support </w:t>
      </w:r>
      <w:r>
        <w:rPr>
          <w:rFonts w:ascii="Times New Roman" w:hAnsi="Times New Roman" w:cs="Times New Roman"/>
          <w:sz w:val="24"/>
          <w:szCs w:val="24"/>
        </w:rPr>
        <w:t>regime</w:t>
      </w:r>
      <w:r w:rsidR="00323E8E">
        <w:rPr>
          <w:rFonts w:ascii="Times New Roman" w:hAnsi="Times New Roman" w:cs="Times New Roman"/>
          <w:sz w:val="24"/>
          <w:szCs w:val="24"/>
        </w:rPr>
        <w:t>, as modified by</w:t>
      </w:r>
      <w:r>
        <w:rPr>
          <w:rFonts w:ascii="Times New Roman" w:hAnsi="Times New Roman" w:cs="Times New Roman"/>
          <w:sz w:val="24"/>
          <w:szCs w:val="24"/>
        </w:rPr>
        <w:t xml:space="preserve"> the </w:t>
      </w:r>
      <w:r>
        <w:rPr>
          <w:rFonts w:ascii="Times New Roman" w:hAnsi="Times New Roman" w:cs="Times New Roman"/>
          <w:i/>
          <w:sz w:val="24"/>
          <w:szCs w:val="24"/>
        </w:rPr>
        <w:t xml:space="preserve">USF/ICC Transformation </w:t>
      </w:r>
      <w:r w:rsidRPr="000C0598">
        <w:rPr>
          <w:rFonts w:ascii="Times New Roman" w:hAnsi="Times New Roman" w:cs="Times New Roman"/>
          <w:i/>
          <w:sz w:val="24"/>
          <w:szCs w:val="24"/>
        </w:rPr>
        <w:t>Order</w:t>
      </w:r>
      <w:r w:rsidR="00C67BFE">
        <w:rPr>
          <w:rFonts w:ascii="Times New Roman" w:hAnsi="Times New Roman" w:cs="Times New Roman"/>
          <w:sz w:val="24"/>
          <w:szCs w:val="24"/>
        </w:rPr>
        <w:t xml:space="preserve">; </w:t>
      </w:r>
      <w:r>
        <w:rPr>
          <w:rFonts w:ascii="Times New Roman" w:hAnsi="Times New Roman" w:cs="Times New Roman"/>
          <w:sz w:val="24"/>
          <w:szCs w:val="24"/>
        </w:rPr>
        <w:t xml:space="preserve">the second is the one-time support provided </w:t>
      </w:r>
      <w:r w:rsidR="001D4D46">
        <w:rPr>
          <w:rFonts w:ascii="Times New Roman" w:hAnsi="Times New Roman" w:cs="Times New Roman"/>
          <w:sz w:val="24"/>
          <w:szCs w:val="24"/>
        </w:rPr>
        <w:t xml:space="preserve">under </w:t>
      </w:r>
      <w:r w:rsidR="00B524E8">
        <w:rPr>
          <w:rFonts w:ascii="Times New Roman" w:hAnsi="Times New Roman" w:cs="Times New Roman"/>
          <w:sz w:val="24"/>
          <w:szCs w:val="24"/>
        </w:rPr>
        <w:t>MF-I</w:t>
      </w:r>
      <w:r w:rsidR="001D4D46">
        <w:rPr>
          <w:rFonts w:ascii="Times New Roman" w:hAnsi="Times New Roman" w:cs="Times New Roman"/>
          <w:sz w:val="24"/>
          <w:szCs w:val="24"/>
        </w:rPr>
        <w:t xml:space="preserve">, which was established by the </w:t>
      </w:r>
      <w:r w:rsidR="001D4D46">
        <w:rPr>
          <w:rFonts w:ascii="Times New Roman" w:hAnsi="Times New Roman" w:cs="Times New Roman"/>
          <w:i/>
          <w:sz w:val="24"/>
          <w:szCs w:val="24"/>
        </w:rPr>
        <w:t xml:space="preserve">USF/ICC Transformation </w:t>
      </w:r>
      <w:r w:rsidR="001D4D46" w:rsidRPr="000C0598">
        <w:rPr>
          <w:rFonts w:ascii="Times New Roman" w:hAnsi="Times New Roman" w:cs="Times New Roman"/>
          <w:i/>
          <w:sz w:val="24"/>
          <w:szCs w:val="24"/>
        </w:rPr>
        <w:t>Order</w:t>
      </w:r>
      <w:r>
        <w:rPr>
          <w:rFonts w:ascii="Times New Roman" w:hAnsi="Times New Roman" w:cs="Times New Roman"/>
          <w:sz w:val="24"/>
          <w:szCs w:val="24"/>
        </w:rPr>
        <w:t>.  Th</w:t>
      </w:r>
      <w:r w:rsidR="00C67BFE">
        <w:rPr>
          <w:rFonts w:ascii="Times New Roman" w:hAnsi="Times New Roman" w:cs="Times New Roman"/>
          <w:sz w:val="24"/>
          <w:szCs w:val="24"/>
        </w:rPr>
        <w:t>is Report’s analysis</w:t>
      </w:r>
      <w:r>
        <w:rPr>
          <w:rFonts w:ascii="Times New Roman" w:hAnsi="Times New Roman" w:cs="Times New Roman"/>
          <w:sz w:val="24"/>
          <w:szCs w:val="24"/>
        </w:rPr>
        <w:t xml:space="preserve"> reflects disbursements pursuant to both high</w:t>
      </w:r>
      <w:r w:rsidR="00323E8E">
        <w:rPr>
          <w:rFonts w:ascii="Times New Roman" w:hAnsi="Times New Roman" w:cs="Times New Roman"/>
          <w:sz w:val="24"/>
          <w:szCs w:val="24"/>
        </w:rPr>
        <w:t>-</w:t>
      </w:r>
      <w:r>
        <w:rPr>
          <w:rFonts w:ascii="Times New Roman" w:hAnsi="Times New Roman" w:cs="Times New Roman"/>
          <w:sz w:val="24"/>
          <w:szCs w:val="24"/>
        </w:rPr>
        <w:t xml:space="preserve">cost support mechanisms, described below. </w:t>
      </w:r>
    </w:p>
    <w:p w14:paraId="405CD023" w14:textId="1C76E820" w:rsidR="00EB1C1E" w:rsidRPr="0081582A" w:rsidRDefault="00EB1C1E" w:rsidP="00702196">
      <w:pPr>
        <w:pStyle w:val="ListParagraph"/>
        <w:numPr>
          <w:ilvl w:val="0"/>
          <w:numId w:val="16"/>
        </w:numPr>
        <w:spacing w:line="360" w:lineRule="auto"/>
        <w:ind w:hanging="450"/>
        <w:contextualSpacing w:val="0"/>
        <w:rPr>
          <w:rFonts w:ascii="Times New Roman" w:hAnsi="Times New Roman" w:cs="Times New Roman"/>
          <w:sz w:val="24"/>
          <w:szCs w:val="24"/>
        </w:rPr>
      </w:pPr>
      <w:r>
        <w:rPr>
          <w:rFonts w:ascii="Times New Roman" w:hAnsi="Times New Roman" w:cs="Times New Roman"/>
          <w:sz w:val="24"/>
          <w:szCs w:val="24"/>
        </w:rPr>
        <w:t xml:space="preserve">Prior to the </w:t>
      </w:r>
      <w:r>
        <w:rPr>
          <w:rFonts w:ascii="Times New Roman" w:hAnsi="Times New Roman" w:cs="Times New Roman"/>
          <w:i/>
          <w:sz w:val="24"/>
          <w:szCs w:val="24"/>
        </w:rPr>
        <w:t>USF/ICC Transformation Order</w:t>
      </w:r>
      <w:r>
        <w:rPr>
          <w:rFonts w:ascii="Times New Roman" w:hAnsi="Times New Roman" w:cs="Times New Roman"/>
          <w:sz w:val="24"/>
          <w:szCs w:val="24"/>
        </w:rPr>
        <w:t xml:space="preserve">, </w:t>
      </w:r>
      <w:r w:rsidR="00323E8E">
        <w:rPr>
          <w:rFonts w:ascii="Times New Roman" w:hAnsi="Times New Roman" w:cs="Times New Roman"/>
          <w:sz w:val="24"/>
          <w:szCs w:val="24"/>
        </w:rPr>
        <w:t xml:space="preserve">competitive </w:t>
      </w:r>
      <w:r>
        <w:rPr>
          <w:rFonts w:ascii="Times New Roman" w:hAnsi="Times New Roman" w:cs="Times New Roman"/>
          <w:sz w:val="24"/>
          <w:szCs w:val="24"/>
        </w:rPr>
        <w:t xml:space="preserve">eligible </w:t>
      </w:r>
      <w:r w:rsidR="00323E8E">
        <w:rPr>
          <w:rFonts w:ascii="Times New Roman" w:hAnsi="Times New Roman" w:cs="Times New Roman"/>
          <w:sz w:val="24"/>
          <w:szCs w:val="24"/>
        </w:rPr>
        <w:t xml:space="preserve">carriers, including </w:t>
      </w:r>
      <w:r>
        <w:rPr>
          <w:rFonts w:ascii="Times New Roman" w:hAnsi="Times New Roman" w:cs="Times New Roman"/>
          <w:sz w:val="24"/>
          <w:szCs w:val="24"/>
        </w:rPr>
        <w:t>mobile service providers received high</w:t>
      </w:r>
      <w:r w:rsidR="007F13A4">
        <w:rPr>
          <w:rFonts w:ascii="Times New Roman" w:hAnsi="Times New Roman" w:cs="Times New Roman"/>
          <w:sz w:val="24"/>
          <w:szCs w:val="24"/>
        </w:rPr>
        <w:t>-</w:t>
      </w:r>
      <w:r>
        <w:rPr>
          <w:rFonts w:ascii="Times New Roman" w:hAnsi="Times New Roman" w:cs="Times New Roman"/>
          <w:sz w:val="24"/>
          <w:szCs w:val="24"/>
        </w:rPr>
        <w:t xml:space="preserve">cost support pursuant to the “identical support rule” </w:t>
      </w:r>
      <w:r w:rsidR="00E32A46">
        <w:rPr>
          <w:rFonts w:ascii="Times New Roman" w:hAnsi="Times New Roman" w:cs="Times New Roman"/>
          <w:sz w:val="24"/>
          <w:szCs w:val="24"/>
        </w:rPr>
        <w:t>in study areas where the costs of providing service were relatively high.</w:t>
      </w:r>
      <w:r w:rsidR="00A137F8">
        <w:rPr>
          <w:rStyle w:val="FootnoteReference"/>
          <w:rFonts w:cs="Times New Roman"/>
          <w:szCs w:val="24"/>
        </w:rPr>
        <w:footnoteReference w:id="22"/>
      </w:r>
      <w:r w:rsidR="00E32A46">
        <w:rPr>
          <w:rFonts w:ascii="Times New Roman" w:hAnsi="Times New Roman" w:cs="Times New Roman"/>
          <w:sz w:val="24"/>
          <w:szCs w:val="24"/>
        </w:rPr>
        <w:t xml:space="preserve">  The level of support </w:t>
      </w:r>
      <w:r w:rsidR="005C278D">
        <w:rPr>
          <w:rFonts w:ascii="Times New Roman" w:hAnsi="Times New Roman" w:cs="Times New Roman"/>
          <w:sz w:val="24"/>
          <w:szCs w:val="24"/>
        </w:rPr>
        <w:t xml:space="preserve">per wireless subscriber </w:t>
      </w:r>
      <w:r w:rsidR="00E32A46">
        <w:rPr>
          <w:rFonts w:ascii="Times New Roman" w:hAnsi="Times New Roman" w:cs="Times New Roman"/>
          <w:sz w:val="24"/>
          <w:szCs w:val="24"/>
        </w:rPr>
        <w:t xml:space="preserve">was </w:t>
      </w:r>
      <w:r>
        <w:rPr>
          <w:rFonts w:ascii="Times New Roman" w:hAnsi="Times New Roman" w:cs="Times New Roman"/>
          <w:sz w:val="24"/>
          <w:szCs w:val="24"/>
        </w:rPr>
        <w:t>based on the per-line support provided to the incumbent wireline provider</w:t>
      </w:r>
      <w:r w:rsidR="00E32A46">
        <w:rPr>
          <w:rFonts w:ascii="Times New Roman" w:hAnsi="Times New Roman" w:cs="Times New Roman"/>
          <w:sz w:val="24"/>
          <w:szCs w:val="24"/>
        </w:rPr>
        <w:t>.</w:t>
      </w:r>
      <w:r>
        <w:rPr>
          <w:rFonts w:ascii="Times New Roman" w:hAnsi="Times New Roman" w:cs="Times New Roman"/>
          <w:sz w:val="24"/>
          <w:szCs w:val="24"/>
        </w:rPr>
        <w:t xml:space="preserve">  </w:t>
      </w:r>
      <w:r w:rsidR="002802B6">
        <w:rPr>
          <w:rFonts w:ascii="Times New Roman" w:hAnsi="Times New Roman" w:cs="Times New Roman"/>
          <w:sz w:val="24"/>
          <w:szCs w:val="24"/>
        </w:rPr>
        <w:t xml:space="preserve">The </w:t>
      </w:r>
      <w:r w:rsidR="002802B6">
        <w:rPr>
          <w:rFonts w:ascii="Times New Roman" w:hAnsi="Times New Roman" w:cs="Times New Roman"/>
          <w:i/>
          <w:sz w:val="24"/>
          <w:szCs w:val="24"/>
        </w:rPr>
        <w:t xml:space="preserve">USF/ICC Transformation </w:t>
      </w:r>
      <w:r w:rsidR="002802B6" w:rsidRPr="000C0598">
        <w:rPr>
          <w:rFonts w:ascii="Times New Roman" w:hAnsi="Times New Roman" w:cs="Times New Roman"/>
          <w:i/>
          <w:sz w:val="24"/>
          <w:szCs w:val="24"/>
        </w:rPr>
        <w:t>Order</w:t>
      </w:r>
      <w:r w:rsidR="002802B6">
        <w:rPr>
          <w:rFonts w:ascii="Times New Roman" w:hAnsi="Times New Roman" w:cs="Times New Roman"/>
          <w:sz w:val="24"/>
          <w:szCs w:val="24"/>
        </w:rPr>
        <w:t xml:space="preserve"> eliminated the identical support rule</w:t>
      </w:r>
      <w:r w:rsidR="00774645" w:rsidRPr="00774645">
        <w:rPr>
          <w:rFonts w:ascii="Times New Roman" w:hAnsi="Times New Roman" w:cs="Times New Roman"/>
          <w:sz w:val="24"/>
          <w:szCs w:val="24"/>
        </w:rPr>
        <w:t>,</w:t>
      </w:r>
      <w:r w:rsidR="002802B6" w:rsidRPr="00774645">
        <w:rPr>
          <w:rFonts w:ascii="Times New Roman" w:hAnsi="Times New Roman" w:cs="Times New Roman"/>
          <w:sz w:val="24"/>
          <w:szCs w:val="24"/>
        </w:rPr>
        <w:t xml:space="preserve"> </w:t>
      </w:r>
      <w:r w:rsidR="00774645" w:rsidRPr="00774645">
        <w:rPr>
          <w:rFonts w:ascii="Times New Roman" w:hAnsi="Times New Roman" w:cs="Times New Roman"/>
          <w:sz w:val="24"/>
          <w:szCs w:val="24"/>
        </w:rPr>
        <w:t xml:space="preserve">on grounds that it </w:t>
      </w:r>
      <w:r w:rsidR="00774645">
        <w:rPr>
          <w:rFonts w:ascii="Times New Roman" w:hAnsi="Times New Roman" w:cs="Times New Roman"/>
          <w:sz w:val="24"/>
          <w:szCs w:val="24"/>
        </w:rPr>
        <w:t>“fails to efficiently target support where it is needed;”</w:t>
      </w:r>
      <w:r w:rsidR="00774645">
        <w:rPr>
          <w:rStyle w:val="FootnoteReference"/>
          <w:rFonts w:cs="Times New Roman"/>
          <w:szCs w:val="24"/>
        </w:rPr>
        <w:footnoteReference w:id="23"/>
      </w:r>
      <w:r w:rsidR="00774645">
        <w:rPr>
          <w:rFonts w:ascii="Times New Roman" w:hAnsi="Times New Roman" w:cs="Times New Roman"/>
          <w:sz w:val="24"/>
          <w:szCs w:val="24"/>
        </w:rPr>
        <w:t xml:space="preserve"> </w:t>
      </w:r>
      <w:r w:rsidR="00774645" w:rsidRPr="003E2224">
        <w:rPr>
          <w:rFonts w:ascii="Times New Roman" w:hAnsi="Times New Roman" w:cs="Times New Roman"/>
          <w:sz w:val="24"/>
          <w:szCs w:val="24"/>
        </w:rPr>
        <w:t>“bear[s] no relation to the efficient cost of providing mobile service”</w:t>
      </w:r>
      <w:r w:rsidR="00774645">
        <w:rPr>
          <w:rStyle w:val="FootnoteReference"/>
          <w:rFonts w:cs="Times New Roman"/>
          <w:szCs w:val="24"/>
        </w:rPr>
        <w:footnoteReference w:id="24"/>
      </w:r>
      <w:r w:rsidR="00774645">
        <w:rPr>
          <w:rFonts w:ascii="Times New Roman" w:hAnsi="Times New Roman" w:cs="Times New Roman"/>
          <w:sz w:val="24"/>
          <w:szCs w:val="24"/>
        </w:rPr>
        <w:t xml:space="preserve"> and do</w:t>
      </w:r>
      <w:r w:rsidR="006C2A24">
        <w:rPr>
          <w:rFonts w:ascii="Times New Roman" w:hAnsi="Times New Roman" w:cs="Times New Roman"/>
          <w:sz w:val="24"/>
          <w:szCs w:val="24"/>
        </w:rPr>
        <w:t>es</w:t>
      </w:r>
      <w:r w:rsidR="00774645">
        <w:rPr>
          <w:rFonts w:ascii="Times New Roman" w:hAnsi="Times New Roman" w:cs="Times New Roman"/>
          <w:sz w:val="24"/>
          <w:szCs w:val="24"/>
        </w:rPr>
        <w:t xml:space="preserve"> not provide appropriate incentives to bring service to new markets</w:t>
      </w:r>
      <w:r w:rsidR="00774645" w:rsidRPr="003E2224">
        <w:rPr>
          <w:rFonts w:ascii="Times New Roman" w:hAnsi="Times New Roman" w:cs="Times New Roman"/>
          <w:sz w:val="24"/>
          <w:szCs w:val="24"/>
        </w:rPr>
        <w:t>.</w:t>
      </w:r>
      <w:r w:rsidR="00774645">
        <w:rPr>
          <w:rStyle w:val="FootnoteReference"/>
          <w:rFonts w:cs="Times New Roman"/>
          <w:szCs w:val="24"/>
        </w:rPr>
        <w:footnoteReference w:id="25"/>
      </w:r>
      <w:r w:rsidR="00774645" w:rsidRPr="003E2224">
        <w:rPr>
          <w:rFonts w:ascii="Times New Roman" w:hAnsi="Times New Roman" w:cs="Times New Roman"/>
          <w:sz w:val="24"/>
          <w:szCs w:val="24"/>
        </w:rPr>
        <w:t xml:space="preserve"> </w:t>
      </w:r>
      <w:r w:rsidR="00774645">
        <w:rPr>
          <w:rFonts w:ascii="Times New Roman" w:hAnsi="Times New Roman" w:cs="Times New Roman"/>
          <w:sz w:val="24"/>
          <w:szCs w:val="24"/>
        </w:rPr>
        <w:t xml:space="preserve"> I</w:t>
      </w:r>
      <w:r w:rsidR="002802B6">
        <w:rPr>
          <w:rFonts w:ascii="Times New Roman" w:hAnsi="Times New Roman" w:cs="Times New Roman"/>
          <w:sz w:val="24"/>
          <w:szCs w:val="24"/>
        </w:rPr>
        <w:t>nstead</w:t>
      </w:r>
      <w:r w:rsidR="00774645">
        <w:rPr>
          <w:rFonts w:ascii="Times New Roman" w:hAnsi="Times New Roman" w:cs="Times New Roman"/>
          <w:sz w:val="24"/>
          <w:szCs w:val="24"/>
        </w:rPr>
        <w:t>, the Commission</w:t>
      </w:r>
      <w:r w:rsidR="002802B6">
        <w:rPr>
          <w:rFonts w:ascii="Times New Roman" w:hAnsi="Times New Roman" w:cs="Times New Roman"/>
          <w:sz w:val="24"/>
          <w:szCs w:val="24"/>
        </w:rPr>
        <w:t xml:space="preserve"> provided for explicit support for mobility</w:t>
      </w:r>
      <w:r w:rsidR="00372D85">
        <w:rPr>
          <w:rFonts w:ascii="Times New Roman" w:hAnsi="Times New Roman" w:cs="Times New Roman"/>
          <w:sz w:val="24"/>
          <w:szCs w:val="24"/>
        </w:rPr>
        <w:t xml:space="preserve"> under the Mobility Fund</w:t>
      </w:r>
      <w:r w:rsidR="002802B6">
        <w:rPr>
          <w:rFonts w:ascii="Times New Roman" w:hAnsi="Times New Roman" w:cs="Times New Roman"/>
          <w:sz w:val="24"/>
          <w:szCs w:val="24"/>
        </w:rPr>
        <w:t>.</w:t>
      </w:r>
      <w:r w:rsidR="002802B6">
        <w:rPr>
          <w:rStyle w:val="FootnoteReference"/>
          <w:rFonts w:cs="Times New Roman"/>
          <w:szCs w:val="24"/>
        </w:rPr>
        <w:footnoteReference w:id="26"/>
      </w:r>
      <w:r w:rsidR="002802B6">
        <w:rPr>
          <w:rFonts w:ascii="Times New Roman" w:hAnsi="Times New Roman" w:cs="Times New Roman"/>
          <w:sz w:val="24"/>
          <w:szCs w:val="24"/>
        </w:rPr>
        <w:t xml:space="preserve">  </w:t>
      </w:r>
      <w:r>
        <w:rPr>
          <w:rFonts w:ascii="Times New Roman" w:hAnsi="Times New Roman" w:cs="Times New Roman"/>
          <w:sz w:val="24"/>
          <w:szCs w:val="24"/>
        </w:rPr>
        <w:t xml:space="preserve">In shifting from the </w:t>
      </w:r>
      <w:r w:rsidR="005854CA">
        <w:rPr>
          <w:rFonts w:ascii="Times New Roman" w:hAnsi="Times New Roman" w:cs="Times New Roman"/>
          <w:sz w:val="24"/>
          <w:szCs w:val="24"/>
        </w:rPr>
        <w:t xml:space="preserve">existing </w:t>
      </w:r>
      <w:r>
        <w:rPr>
          <w:rFonts w:ascii="Times New Roman" w:hAnsi="Times New Roman" w:cs="Times New Roman"/>
          <w:sz w:val="24"/>
          <w:szCs w:val="24"/>
        </w:rPr>
        <w:t>high</w:t>
      </w:r>
      <w:r w:rsidR="007F13A4">
        <w:rPr>
          <w:rFonts w:ascii="Times New Roman" w:hAnsi="Times New Roman" w:cs="Times New Roman"/>
          <w:sz w:val="24"/>
          <w:szCs w:val="24"/>
        </w:rPr>
        <w:t>-</w:t>
      </w:r>
      <w:r>
        <w:rPr>
          <w:rFonts w:ascii="Times New Roman" w:hAnsi="Times New Roman" w:cs="Times New Roman"/>
          <w:sz w:val="24"/>
          <w:szCs w:val="24"/>
        </w:rPr>
        <w:t>cost support program to the new Mobility Fund</w:t>
      </w:r>
      <w:r w:rsidR="00E32A46">
        <w:rPr>
          <w:rFonts w:ascii="Times New Roman" w:hAnsi="Times New Roman" w:cs="Times New Roman"/>
          <w:sz w:val="24"/>
          <w:szCs w:val="24"/>
        </w:rPr>
        <w:t xml:space="preserve"> framework</w:t>
      </w:r>
      <w:r>
        <w:rPr>
          <w:rFonts w:ascii="Times New Roman" w:hAnsi="Times New Roman" w:cs="Times New Roman"/>
          <w:sz w:val="24"/>
          <w:szCs w:val="24"/>
        </w:rPr>
        <w:t xml:space="preserve">, the Commission established a </w:t>
      </w:r>
      <w:r w:rsidR="00086DC2">
        <w:rPr>
          <w:rFonts w:ascii="Times New Roman" w:hAnsi="Times New Roman" w:cs="Times New Roman"/>
          <w:sz w:val="24"/>
          <w:szCs w:val="24"/>
        </w:rPr>
        <w:t xml:space="preserve">transitional </w:t>
      </w:r>
      <w:r>
        <w:rPr>
          <w:rFonts w:ascii="Times New Roman" w:hAnsi="Times New Roman" w:cs="Times New Roman"/>
          <w:sz w:val="24"/>
          <w:szCs w:val="24"/>
        </w:rPr>
        <w:t xml:space="preserve">framework to reduce the level of </w:t>
      </w:r>
      <w:r w:rsidR="00086DC2">
        <w:rPr>
          <w:rFonts w:ascii="Times New Roman" w:hAnsi="Times New Roman" w:cs="Times New Roman"/>
          <w:sz w:val="24"/>
          <w:szCs w:val="24"/>
        </w:rPr>
        <w:t xml:space="preserve">ongoing </w:t>
      </w:r>
      <w:r w:rsidR="004F1A5A">
        <w:rPr>
          <w:rFonts w:ascii="Times New Roman" w:hAnsi="Times New Roman" w:cs="Times New Roman"/>
          <w:sz w:val="24"/>
          <w:szCs w:val="24"/>
        </w:rPr>
        <w:t xml:space="preserve">legacy </w:t>
      </w:r>
      <w:r w:rsidR="00086DC2">
        <w:rPr>
          <w:rFonts w:ascii="Times New Roman" w:hAnsi="Times New Roman" w:cs="Times New Roman"/>
          <w:sz w:val="24"/>
          <w:szCs w:val="24"/>
        </w:rPr>
        <w:t xml:space="preserve">CETC </w:t>
      </w:r>
      <w:r>
        <w:rPr>
          <w:rFonts w:ascii="Times New Roman" w:hAnsi="Times New Roman" w:cs="Times New Roman"/>
          <w:sz w:val="24"/>
          <w:szCs w:val="24"/>
        </w:rPr>
        <w:t xml:space="preserve">support </w:t>
      </w:r>
      <w:r w:rsidR="00CD1ECB">
        <w:rPr>
          <w:rFonts w:ascii="Times New Roman" w:hAnsi="Times New Roman" w:cs="Times New Roman"/>
          <w:sz w:val="24"/>
          <w:szCs w:val="24"/>
        </w:rPr>
        <w:t xml:space="preserve">over a period of years </w:t>
      </w:r>
      <w:r w:rsidR="00086DC2">
        <w:rPr>
          <w:rFonts w:ascii="Times New Roman" w:hAnsi="Times New Roman" w:cs="Times New Roman"/>
          <w:sz w:val="24"/>
          <w:szCs w:val="24"/>
        </w:rPr>
        <w:t>as the new universal service support mechanisms were put in place.</w:t>
      </w:r>
      <w:r w:rsidR="00086DC2">
        <w:rPr>
          <w:rStyle w:val="FootnoteReference"/>
          <w:rFonts w:cs="Times New Roman"/>
          <w:szCs w:val="24"/>
        </w:rPr>
        <w:footnoteReference w:id="27"/>
      </w:r>
      <w:r w:rsidR="00086DC2">
        <w:rPr>
          <w:rFonts w:ascii="Times New Roman" w:hAnsi="Times New Roman" w:cs="Times New Roman"/>
          <w:sz w:val="24"/>
          <w:szCs w:val="24"/>
        </w:rPr>
        <w:t xml:space="preserve">  </w:t>
      </w:r>
      <w:r w:rsidR="00E32A46">
        <w:rPr>
          <w:rFonts w:ascii="Times New Roman" w:hAnsi="Times New Roman" w:cs="Times New Roman"/>
          <w:sz w:val="24"/>
          <w:szCs w:val="24"/>
        </w:rPr>
        <w:t>Pursuant to that framework</w:t>
      </w:r>
      <w:r w:rsidR="00086DC2">
        <w:rPr>
          <w:rFonts w:ascii="Times New Roman" w:hAnsi="Times New Roman" w:cs="Times New Roman"/>
          <w:sz w:val="24"/>
          <w:szCs w:val="24"/>
        </w:rPr>
        <w:t xml:space="preserve">, </w:t>
      </w:r>
      <w:r w:rsidR="00377922">
        <w:rPr>
          <w:rFonts w:ascii="Times New Roman" w:hAnsi="Times New Roman" w:cs="Times New Roman"/>
          <w:sz w:val="24"/>
          <w:szCs w:val="24"/>
        </w:rPr>
        <w:t xml:space="preserve">legacy </w:t>
      </w:r>
      <w:r>
        <w:rPr>
          <w:rFonts w:ascii="Times New Roman" w:hAnsi="Times New Roman" w:cs="Times New Roman"/>
          <w:sz w:val="24"/>
          <w:szCs w:val="24"/>
        </w:rPr>
        <w:t xml:space="preserve">CETC support </w:t>
      </w:r>
      <w:r w:rsidR="00086DC2">
        <w:rPr>
          <w:rFonts w:ascii="Times New Roman" w:hAnsi="Times New Roman" w:cs="Times New Roman"/>
          <w:sz w:val="24"/>
          <w:szCs w:val="24"/>
        </w:rPr>
        <w:t>continues to be provided at levels that are</w:t>
      </w:r>
      <w:r>
        <w:rPr>
          <w:rFonts w:ascii="Times New Roman" w:hAnsi="Times New Roman" w:cs="Times New Roman"/>
          <w:sz w:val="24"/>
          <w:szCs w:val="24"/>
        </w:rPr>
        <w:t xml:space="preserve"> 60 percent </w:t>
      </w:r>
      <w:r w:rsidR="00086DC2">
        <w:rPr>
          <w:rFonts w:ascii="Times New Roman" w:hAnsi="Times New Roman" w:cs="Times New Roman"/>
          <w:sz w:val="24"/>
          <w:szCs w:val="24"/>
        </w:rPr>
        <w:t>of the amounts being received as of December 31, 2011</w:t>
      </w:r>
      <w:r w:rsidR="005B6348">
        <w:rPr>
          <w:rFonts w:ascii="Times New Roman" w:hAnsi="Times New Roman" w:cs="Times New Roman"/>
          <w:sz w:val="24"/>
          <w:szCs w:val="24"/>
        </w:rPr>
        <w:t>, regardless of the number of subscribers in a CETC’s study area</w:t>
      </w:r>
      <w:r w:rsidR="00086DC2">
        <w:rPr>
          <w:rFonts w:ascii="Times New Roman" w:hAnsi="Times New Roman" w:cs="Times New Roman"/>
          <w:sz w:val="24"/>
          <w:szCs w:val="24"/>
        </w:rPr>
        <w:t>.</w:t>
      </w:r>
      <w:r w:rsidR="00086DC2">
        <w:rPr>
          <w:rStyle w:val="FootnoteReference"/>
          <w:rFonts w:cs="Times New Roman"/>
          <w:szCs w:val="24"/>
        </w:rPr>
        <w:footnoteReference w:id="28"/>
      </w:r>
      <w:r w:rsidR="00D42D11">
        <w:rPr>
          <w:rFonts w:ascii="Times New Roman" w:hAnsi="Times New Roman" w:cs="Times New Roman"/>
          <w:sz w:val="24"/>
          <w:szCs w:val="24"/>
        </w:rPr>
        <w:t xml:space="preserve">  </w:t>
      </w:r>
    </w:p>
    <w:p w14:paraId="43A99A18" w14:textId="1735A6F4" w:rsidR="00EB1C1E" w:rsidRDefault="00EB1C1E" w:rsidP="00702196">
      <w:pPr>
        <w:pStyle w:val="ListParagraph"/>
        <w:numPr>
          <w:ilvl w:val="0"/>
          <w:numId w:val="16"/>
        </w:numPr>
        <w:spacing w:line="360" w:lineRule="auto"/>
        <w:ind w:hanging="450"/>
        <w:contextualSpacing w:val="0"/>
        <w:rPr>
          <w:rFonts w:ascii="Times New Roman" w:hAnsi="Times New Roman" w:cs="Times New Roman"/>
          <w:sz w:val="24"/>
          <w:szCs w:val="24"/>
        </w:rPr>
      </w:pPr>
      <w:r>
        <w:rPr>
          <w:rFonts w:ascii="Times New Roman" w:hAnsi="Times New Roman" w:cs="Times New Roman"/>
          <w:sz w:val="24"/>
          <w:szCs w:val="24"/>
        </w:rPr>
        <w:t xml:space="preserve">Data regarding CETC </w:t>
      </w:r>
      <w:r w:rsidR="0023712B">
        <w:rPr>
          <w:rFonts w:ascii="Times New Roman" w:hAnsi="Times New Roman" w:cs="Times New Roman"/>
          <w:sz w:val="24"/>
          <w:szCs w:val="24"/>
        </w:rPr>
        <w:t xml:space="preserve">support </w:t>
      </w:r>
      <w:r>
        <w:rPr>
          <w:rFonts w:ascii="Times New Roman" w:hAnsi="Times New Roman" w:cs="Times New Roman"/>
          <w:sz w:val="24"/>
          <w:szCs w:val="24"/>
        </w:rPr>
        <w:t xml:space="preserve">was obtained from USAC. This annual company-level dataset shows the amount of </w:t>
      </w:r>
      <w:r w:rsidR="0023712B">
        <w:rPr>
          <w:rFonts w:ascii="Times New Roman" w:hAnsi="Times New Roman" w:cs="Times New Roman"/>
          <w:sz w:val="24"/>
          <w:szCs w:val="24"/>
        </w:rPr>
        <w:t xml:space="preserve">support </w:t>
      </w:r>
      <w:r>
        <w:rPr>
          <w:rFonts w:ascii="Times New Roman" w:hAnsi="Times New Roman" w:cs="Times New Roman"/>
          <w:sz w:val="24"/>
          <w:szCs w:val="24"/>
        </w:rPr>
        <w:t xml:space="preserve">that each eligible mobile service provider receives in a particular study area in a state. </w:t>
      </w:r>
      <w:r w:rsidR="00086DC2">
        <w:rPr>
          <w:rFonts w:ascii="Times New Roman" w:hAnsi="Times New Roman" w:cs="Times New Roman"/>
          <w:sz w:val="24"/>
          <w:szCs w:val="24"/>
        </w:rPr>
        <w:t>The USAC data include t</w:t>
      </w:r>
      <w:r>
        <w:rPr>
          <w:rFonts w:ascii="Times New Roman" w:hAnsi="Times New Roman" w:cs="Times New Roman"/>
          <w:sz w:val="24"/>
          <w:szCs w:val="24"/>
        </w:rPr>
        <w:t xml:space="preserve">he study area name and study area code </w:t>
      </w:r>
      <w:r w:rsidR="00EE0475">
        <w:rPr>
          <w:rFonts w:ascii="Times New Roman" w:hAnsi="Times New Roman" w:cs="Times New Roman"/>
          <w:sz w:val="24"/>
          <w:szCs w:val="24"/>
        </w:rPr>
        <w:t xml:space="preserve">(SAC) </w:t>
      </w:r>
      <w:r w:rsidR="00BB7055">
        <w:rPr>
          <w:rFonts w:ascii="Times New Roman" w:hAnsi="Times New Roman" w:cs="Times New Roman"/>
          <w:sz w:val="24"/>
          <w:szCs w:val="24"/>
        </w:rPr>
        <w:t>and</w:t>
      </w:r>
      <w:r>
        <w:rPr>
          <w:rFonts w:ascii="Times New Roman" w:hAnsi="Times New Roman" w:cs="Times New Roman"/>
          <w:sz w:val="24"/>
          <w:szCs w:val="24"/>
        </w:rPr>
        <w:t xml:space="preserve"> the total amount of support that a CETC receives in a given study area.</w:t>
      </w:r>
      <w:r w:rsidR="00524F10">
        <w:rPr>
          <w:rFonts w:ascii="Times New Roman" w:hAnsi="Times New Roman" w:cs="Times New Roman"/>
          <w:sz w:val="24"/>
          <w:szCs w:val="24"/>
        </w:rPr>
        <w:t xml:space="preserve">  </w:t>
      </w:r>
    </w:p>
    <w:p w14:paraId="5C895A37" w14:textId="172CE32F" w:rsidR="00EB1C1E" w:rsidRPr="00524A86" w:rsidRDefault="00EB1C1E" w:rsidP="00702196">
      <w:pPr>
        <w:pStyle w:val="ListParagraph"/>
        <w:numPr>
          <w:ilvl w:val="0"/>
          <w:numId w:val="16"/>
        </w:numPr>
        <w:spacing w:line="360" w:lineRule="auto"/>
        <w:ind w:hanging="450"/>
        <w:contextualSpacing w:val="0"/>
        <w:rPr>
          <w:rFonts w:ascii="Times New Roman" w:hAnsi="Times New Roman" w:cs="Times New Roman"/>
          <w:sz w:val="24"/>
          <w:szCs w:val="24"/>
        </w:rPr>
      </w:pPr>
      <w:r>
        <w:rPr>
          <w:rFonts w:ascii="Times New Roman" w:hAnsi="Times New Roman" w:cs="Times New Roman"/>
          <w:sz w:val="24"/>
          <w:szCs w:val="24"/>
        </w:rPr>
        <w:t xml:space="preserve">For the US, including Alaska, the </w:t>
      </w:r>
      <w:r w:rsidR="00FA0BFF">
        <w:rPr>
          <w:rFonts w:ascii="Times New Roman" w:hAnsi="Times New Roman" w:cs="Times New Roman"/>
          <w:sz w:val="24"/>
          <w:szCs w:val="24"/>
        </w:rPr>
        <w:t xml:space="preserve">USAC </w:t>
      </w:r>
      <w:r>
        <w:rPr>
          <w:rFonts w:ascii="Times New Roman" w:hAnsi="Times New Roman" w:cs="Times New Roman"/>
          <w:sz w:val="24"/>
          <w:szCs w:val="24"/>
        </w:rPr>
        <w:t xml:space="preserve">data show approximately $575 million </w:t>
      </w:r>
      <w:r w:rsidR="00377922">
        <w:rPr>
          <w:rFonts w:ascii="Times New Roman" w:hAnsi="Times New Roman" w:cs="Times New Roman"/>
          <w:sz w:val="24"/>
          <w:szCs w:val="24"/>
        </w:rPr>
        <w:t xml:space="preserve">in </w:t>
      </w:r>
      <w:r w:rsidR="003900B3">
        <w:rPr>
          <w:rFonts w:ascii="Times New Roman" w:hAnsi="Times New Roman" w:cs="Times New Roman"/>
          <w:sz w:val="24"/>
          <w:szCs w:val="24"/>
        </w:rPr>
        <w:t xml:space="preserve">annual </w:t>
      </w:r>
      <w:r w:rsidR="00377922">
        <w:rPr>
          <w:rFonts w:ascii="Times New Roman" w:hAnsi="Times New Roman" w:cs="Times New Roman"/>
          <w:sz w:val="24"/>
          <w:szCs w:val="24"/>
        </w:rPr>
        <w:t xml:space="preserve">legacy support </w:t>
      </w:r>
      <w:r w:rsidR="00136C15">
        <w:rPr>
          <w:rFonts w:ascii="Times New Roman" w:hAnsi="Times New Roman" w:cs="Times New Roman"/>
          <w:sz w:val="24"/>
          <w:szCs w:val="24"/>
        </w:rPr>
        <w:t xml:space="preserve">currently </w:t>
      </w:r>
      <w:r>
        <w:rPr>
          <w:rFonts w:ascii="Times New Roman" w:hAnsi="Times New Roman" w:cs="Times New Roman"/>
          <w:sz w:val="24"/>
          <w:szCs w:val="24"/>
        </w:rPr>
        <w:t xml:space="preserve">going to wireless CETCs. </w:t>
      </w:r>
      <w:r w:rsidR="00DE7918">
        <w:rPr>
          <w:rFonts w:ascii="Times New Roman" w:hAnsi="Times New Roman" w:cs="Times New Roman"/>
          <w:sz w:val="24"/>
          <w:szCs w:val="24"/>
        </w:rPr>
        <w:t xml:space="preserve"> </w:t>
      </w:r>
      <w:r>
        <w:rPr>
          <w:rFonts w:ascii="Times New Roman" w:hAnsi="Times New Roman" w:cs="Times New Roman"/>
          <w:sz w:val="24"/>
          <w:szCs w:val="24"/>
        </w:rPr>
        <w:t>Excluding Alaska,</w:t>
      </w:r>
      <w:r w:rsidR="00FA0BFF">
        <w:rPr>
          <w:rFonts w:ascii="Times New Roman" w:hAnsi="Times New Roman" w:cs="Times New Roman"/>
          <w:sz w:val="24"/>
          <w:szCs w:val="24"/>
        </w:rPr>
        <w:t xml:space="preserve"> which receives approximat</w:t>
      </w:r>
      <w:r w:rsidR="00281DC1">
        <w:rPr>
          <w:rFonts w:ascii="Times New Roman" w:hAnsi="Times New Roman" w:cs="Times New Roman"/>
          <w:sz w:val="24"/>
          <w:szCs w:val="24"/>
        </w:rPr>
        <w:t>e</w:t>
      </w:r>
      <w:r w:rsidR="00FA0BFF">
        <w:rPr>
          <w:rFonts w:ascii="Times New Roman" w:hAnsi="Times New Roman" w:cs="Times New Roman"/>
          <w:sz w:val="24"/>
          <w:szCs w:val="24"/>
        </w:rPr>
        <w:t>ly $105 million annually,</w:t>
      </w:r>
      <w:r>
        <w:rPr>
          <w:rFonts w:ascii="Times New Roman" w:hAnsi="Times New Roman" w:cs="Times New Roman"/>
          <w:sz w:val="24"/>
          <w:szCs w:val="24"/>
        </w:rPr>
        <w:t xml:space="preserve"> this figure is </w:t>
      </w:r>
      <w:r w:rsidR="002B7A73">
        <w:rPr>
          <w:rFonts w:ascii="Times New Roman" w:hAnsi="Times New Roman" w:cs="Times New Roman"/>
          <w:sz w:val="24"/>
          <w:szCs w:val="24"/>
        </w:rPr>
        <w:t xml:space="preserve">currently </w:t>
      </w:r>
      <w:r>
        <w:rPr>
          <w:rFonts w:ascii="Times New Roman" w:hAnsi="Times New Roman" w:cs="Times New Roman"/>
          <w:sz w:val="24"/>
          <w:szCs w:val="24"/>
        </w:rPr>
        <w:t xml:space="preserve">around $470 million. </w:t>
      </w:r>
      <w:r w:rsidR="00FA0BFF">
        <w:rPr>
          <w:rFonts w:ascii="Times New Roman" w:hAnsi="Times New Roman" w:cs="Times New Roman"/>
          <w:sz w:val="24"/>
          <w:szCs w:val="24"/>
        </w:rPr>
        <w:t xml:space="preserve"> Of that amount, </w:t>
      </w:r>
      <w:r>
        <w:rPr>
          <w:rFonts w:ascii="Times New Roman" w:hAnsi="Times New Roman" w:cs="Times New Roman"/>
          <w:sz w:val="24"/>
          <w:szCs w:val="24"/>
        </w:rPr>
        <w:t>Mississippi receive</w:t>
      </w:r>
      <w:r w:rsidR="00FA0BFF">
        <w:rPr>
          <w:rFonts w:ascii="Times New Roman" w:hAnsi="Times New Roman" w:cs="Times New Roman"/>
          <w:sz w:val="24"/>
          <w:szCs w:val="24"/>
        </w:rPr>
        <w:t>s the greatest share of support (</w:t>
      </w:r>
      <w:r>
        <w:rPr>
          <w:rFonts w:ascii="Times New Roman" w:hAnsi="Times New Roman" w:cs="Times New Roman"/>
          <w:sz w:val="24"/>
          <w:szCs w:val="24"/>
        </w:rPr>
        <w:t>$87 million</w:t>
      </w:r>
      <w:r w:rsidR="00FA0BFF">
        <w:rPr>
          <w:rFonts w:ascii="Times New Roman" w:hAnsi="Times New Roman" w:cs="Times New Roman"/>
          <w:sz w:val="24"/>
          <w:szCs w:val="24"/>
        </w:rPr>
        <w:t>)</w:t>
      </w:r>
      <w:r>
        <w:rPr>
          <w:rFonts w:ascii="Times New Roman" w:hAnsi="Times New Roman" w:cs="Times New Roman"/>
          <w:sz w:val="24"/>
          <w:szCs w:val="24"/>
        </w:rPr>
        <w:t xml:space="preserve">, </w:t>
      </w:r>
      <w:r w:rsidR="00FA0BFF">
        <w:rPr>
          <w:rFonts w:ascii="Times New Roman" w:hAnsi="Times New Roman" w:cs="Times New Roman"/>
          <w:sz w:val="24"/>
          <w:szCs w:val="24"/>
        </w:rPr>
        <w:t xml:space="preserve">with Puerto Rico receiving the next largest share ($79 million).  </w:t>
      </w:r>
      <w:r w:rsidR="00560DE3">
        <w:rPr>
          <w:rFonts w:ascii="Times New Roman" w:hAnsi="Times New Roman" w:cs="Times New Roman"/>
          <w:sz w:val="24"/>
          <w:szCs w:val="24"/>
        </w:rPr>
        <w:t>By</w:t>
      </w:r>
      <w:r>
        <w:rPr>
          <w:rFonts w:ascii="Times New Roman" w:hAnsi="Times New Roman" w:cs="Times New Roman"/>
          <w:sz w:val="24"/>
          <w:szCs w:val="24"/>
        </w:rPr>
        <w:t xml:space="preserve"> contrast, </w:t>
      </w:r>
      <w:r w:rsidR="000C2316">
        <w:rPr>
          <w:rFonts w:ascii="Times New Roman" w:hAnsi="Times New Roman" w:cs="Times New Roman"/>
          <w:sz w:val="24"/>
          <w:szCs w:val="24"/>
        </w:rPr>
        <w:t xml:space="preserve">Oregon and West Virginia receive $11 million and </w:t>
      </w:r>
      <w:r w:rsidR="000E6424">
        <w:rPr>
          <w:rFonts w:ascii="Times New Roman" w:hAnsi="Times New Roman" w:cs="Times New Roman"/>
          <w:sz w:val="24"/>
          <w:szCs w:val="24"/>
        </w:rPr>
        <w:t>$</w:t>
      </w:r>
      <w:r w:rsidR="000C2316">
        <w:rPr>
          <w:rFonts w:ascii="Times New Roman" w:hAnsi="Times New Roman" w:cs="Times New Roman"/>
          <w:sz w:val="24"/>
          <w:szCs w:val="24"/>
        </w:rPr>
        <w:t>8.7 million respectively,</w:t>
      </w:r>
      <w:r>
        <w:rPr>
          <w:rFonts w:ascii="Times New Roman" w:hAnsi="Times New Roman" w:cs="Times New Roman"/>
          <w:sz w:val="24"/>
          <w:szCs w:val="24"/>
        </w:rPr>
        <w:t xml:space="preserve"> </w:t>
      </w:r>
      <w:r w:rsidR="00560DE3">
        <w:rPr>
          <w:rFonts w:ascii="Times New Roman" w:hAnsi="Times New Roman" w:cs="Times New Roman"/>
          <w:sz w:val="24"/>
          <w:szCs w:val="24"/>
        </w:rPr>
        <w:t xml:space="preserve">and </w:t>
      </w:r>
      <w:r>
        <w:rPr>
          <w:rFonts w:ascii="Times New Roman" w:hAnsi="Times New Roman" w:cs="Times New Roman"/>
          <w:sz w:val="24"/>
          <w:szCs w:val="24"/>
        </w:rPr>
        <w:t xml:space="preserve">Montana and Idaho </w:t>
      </w:r>
      <w:r w:rsidR="00560DE3">
        <w:rPr>
          <w:rFonts w:ascii="Times New Roman" w:hAnsi="Times New Roman" w:cs="Times New Roman"/>
          <w:sz w:val="24"/>
          <w:szCs w:val="24"/>
        </w:rPr>
        <w:t xml:space="preserve">each </w:t>
      </w:r>
      <w:r>
        <w:rPr>
          <w:rFonts w:ascii="Times New Roman" w:hAnsi="Times New Roman" w:cs="Times New Roman"/>
          <w:sz w:val="24"/>
          <w:szCs w:val="24"/>
        </w:rPr>
        <w:t xml:space="preserve">receive approximately $5 million. </w:t>
      </w:r>
      <w:r w:rsidR="00FA0BFF">
        <w:rPr>
          <w:rFonts w:ascii="Times New Roman" w:hAnsi="Times New Roman" w:cs="Times New Roman"/>
          <w:sz w:val="24"/>
          <w:szCs w:val="24"/>
        </w:rPr>
        <w:t xml:space="preserve"> The top 5 companies</w:t>
      </w:r>
      <w:r w:rsidR="0064495A">
        <w:rPr>
          <w:rStyle w:val="FootnoteReference"/>
          <w:rFonts w:cs="Times New Roman"/>
          <w:szCs w:val="24"/>
        </w:rPr>
        <w:footnoteReference w:id="29"/>
      </w:r>
      <w:r w:rsidR="00FA0BFF">
        <w:rPr>
          <w:rFonts w:ascii="Times New Roman" w:hAnsi="Times New Roman" w:cs="Times New Roman"/>
          <w:sz w:val="24"/>
          <w:szCs w:val="24"/>
        </w:rPr>
        <w:t xml:space="preserve"> receiving ongoing CETC support account for approximately two-thirds of total support provided, with the largest recipient being AT&amp;T, </w:t>
      </w:r>
      <w:r w:rsidR="003900B3">
        <w:rPr>
          <w:rFonts w:ascii="Times New Roman" w:hAnsi="Times New Roman" w:cs="Times New Roman"/>
          <w:sz w:val="24"/>
          <w:szCs w:val="24"/>
        </w:rPr>
        <w:t xml:space="preserve">which </w:t>
      </w:r>
      <w:r w:rsidR="00FA0BFF">
        <w:rPr>
          <w:rFonts w:ascii="Times New Roman" w:hAnsi="Times New Roman" w:cs="Times New Roman"/>
          <w:sz w:val="24"/>
          <w:szCs w:val="24"/>
        </w:rPr>
        <w:t>receives approximately $160 million in</w:t>
      </w:r>
      <w:r w:rsidR="00560DE3">
        <w:rPr>
          <w:rFonts w:ascii="Times New Roman" w:hAnsi="Times New Roman" w:cs="Times New Roman"/>
          <w:sz w:val="24"/>
          <w:szCs w:val="24"/>
        </w:rPr>
        <w:t xml:space="preserve"> annual</w:t>
      </w:r>
      <w:r w:rsidR="00FA0BFF">
        <w:rPr>
          <w:rFonts w:ascii="Times New Roman" w:hAnsi="Times New Roman" w:cs="Times New Roman"/>
          <w:sz w:val="24"/>
          <w:szCs w:val="24"/>
        </w:rPr>
        <w:t xml:space="preserve"> support.  </w:t>
      </w:r>
    </w:p>
    <w:p w14:paraId="1C56E578" w14:textId="348469F2" w:rsidR="00EB1C1E" w:rsidRDefault="00EB1C1E" w:rsidP="00702196">
      <w:pPr>
        <w:pStyle w:val="ListParagraph"/>
        <w:numPr>
          <w:ilvl w:val="0"/>
          <w:numId w:val="16"/>
        </w:numPr>
        <w:spacing w:line="360" w:lineRule="auto"/>
        <w:ind w:hanging="450"/>
        <w:contextualSpacing w:val="0"/>
        <w:rPr>
          <w:rFonts w:ascii="Times New Roman" w:hAnsi="Times New Roman" w:cs="Times New Roman"/>
          <w:sz w:val="24"/>
          <w:szCs w:val="24"/>
        </w:rPr>
      </w:pPr>
      <w:r>
        <w:rPr>
          <w:rFonts w:ascii="Times New Roman" w:hAnsi="Times New Roman" w:cs="Times New Roman"/>
          <w:sz w:val="24"/>
          <w:szCs w:val="24"/>
        </w:rPr>
        <w:t xml:space="preserve">An eligible mobile service provider may also </w:t>
      </w:r>
      <w:r w:rsidR="00591794">
        <w:rPr>
          <w:rFonts w:ascii="Times New Roman" w:hAnsi="Times New Roman" w:cs="Times New Roman"/>
          <w:sz w:val="24"/>
          <w:szCs w:val="24"/>
        </w:rPr>
        <w:t xml:space="preserve">be entitled to </w:t>
      </w:r>
      <w:r>
        <w:rPr>
          <w:rFonts w:ascii="Times New Roman" w:hAnsi="Times New Roman" w:cs="Times New Roman"/>
          <w:sz w:val="24"/>
          <w:szCs w:val="24"/>
        </w:rPr>
        <w:t xml:space="preserve">receive support pursuant to </w:t>
      </w:r>
      <w:r w:rsidR="00B524E8">
        <w:rPr>
          <w:rFonts w:ascii="Times New Roman" w:hAnsi="Times New Roman" w:cs="Times New Roman"/>
          <w:sz w:val="24"/>
          <w:szCs w:val="24"/>
        </w:rPr>
        <w:t>MF-I</w:t>
      </w:r>
      <w:r>
        <w:rPr>
          <w:rFonts w:ascii="Times New Roman" w:hAnsi="Times New Roman" w:cs="Times New Roman"/>
          <w:sz w:val="24"/>
          <w:szCs w:val="24"/>
        </w:rPr>
        <w:t xml:space="preserve">.  </w:t>
      </w:r>
      <w:r w:rsidR="00B524E8">
        <w:rPr>
          <w:rFonts w:ascii="Times New Roman" w:hAnsi="Times New Roman" w:cs="Times New Roman"/>
          <w:sz w:val="24"/>
          <w:szCs w:val="24"/>
        </w:rPr>
        <w:t>MF-I</w:t>
      </w:r>
      <w:r w:rsidR="00287BA0">
        <w:rPr>
          <w:rFonts w:ascii="Times New Roman" w:hAnsi="Times New Roman" w:cs="Times New Roman"/>
          <w:sz w:val="24"/>
          <w:szCs w:val="24"/>
        </w:rPr>
        <w:t xml:space="preserve"> provided one-time support for the deployment of 3G or 4G mobile networks </w:t>
      </w:r>
      <w:r w:rsidR="00591794">
        <w:rPr>
          <w:rFonts w:ascii="Times New Roman" w:hAnsi="Times New Roman" w:cs="Times New Roman"/>
          <w:sz w:val="24"/>
          <w:szCs w:val="24"/>
        </w:rPr>
        <w:t xml:space="preserve">(including 4G LTE) </w:t>
      </w:r>
      <w:r w:rsidR="00287BA0">
        <w:rPr>
          <w:rFonts w:ascii="Times New Roman" w:hAnsi="Times New Roman" w:cs="Times New Roman"/>
          <w:sz w:val="24"/>
          <w:szCs w:val="24"/>
        </w:rPr>
        <w:t xml:space="preserve">where such </w:t>
      </w:r>
      <w:r w:rsidR="00591794">
        <w:rPr>
          <w:rFonts w:ascii="Times New Roman" w:hAnsi="Times New Roman" w:cs="Times New Roman"/>
          <w:sz w:val="24"/>
          <w:szCs w:val="24"/>
        </w:rPr>
        <w:t xml:space="preserve">coverage was not </w:t>
      </w:r>
      <w:r w:rsidR="00422005">
        <w:rPr>
          <w:rFonts w:ascii="Times New Roman" w:hAnsi="Times New Roman" w:cs="Times New Roman"/>
          <w:sz w:val="24"/>
          <w:szCs w:val="24"/>
        </w:rPr>
        <w:t>available</w:t>
      </w:r>
      <w:r w:rsidR="00377922">
        <w:rPr>
          <w:rFonts w:ascii="Times New Roman" w:hAnsi="Times New Roman" w:cs="Times New Roman"/>
          <w:sz w:val="24"/>
          <w:szCs w:val="24"/>
        </w:rPr>
        <w:t xml:space="preserve">, including support dedicated to </w:t>
      </w:r>
      <w:r w:rsidR="007F13A4">
        <w:rPr>
          <w:rFonts w:ascii="Times New Roman" w:hAnsi="Times New Roman" w:cs="Times New Roman"/>
          <w:sz w:val="24"/>
          <w:szCs w:val="24"/>
        </w:rPr>
        <w:t>T</w:t>
      </w:r>
      <w:r w:rsidR="00377922">
        <w:rPr>
          <w:rFonts w:ascii="Times New Roman" w:hAnsi="Times New Roman" w:cs="Times New Roman"/>
          <w:sz w:val="24"/>
          <w:szCs w:val="24"/>
        </w:rPr>
        <w:t>ribal lands</w:t>
      </w:r>
      <w:r w:rsidR="00287BA0">
        <w:rPr>
          <w:rFonts w:ascii="Times New Roman" w:hAnsi="Times New Roman" w:cs="Times New Roman"/>
          <w:sz w:val="24"/>
          <w:szCs w:val="24"/>
        </w:rPr>
        <w:t>.</w:t>
      </w:r>
      <w:r w:rsidR="00287BA0">
        <w:rPr>
          <w:rStyle w:val="FootnoteReference"/>
          <w:rFonts w:cs="Times New Roman"/>
          <w:szCs w:val="24"/>
        </w:rPr>
        <w:footnoteReference w:id="30"/>
      </w:r>
      <w:r>
        <w:rPr>
          <w:rFonts w:ascii="Times New Roman" w:hAnsi="Times New Roman" w:cs="Times New Roman"/>
          <w:sz w:val="24"/>
          <w:szCs w:val="24"/>
        </w:rPr>
        <w:t xml:space="preserve"> </w:t>
      </w:r>
      <w:r w:rsidR="00B524E8">
        <w:rPr>
          <w:rFonts w:ascii="Times New Roman" w:hAnsi="Times New Roman" w:cs="Times New Roman"/>
          <w:sz w:val="24"/>
          <w:szCs w:val="24"/>
        </w:rPr>
        <w:t>MF-I</w:t>
      </w:r>
      <w:r>
        <w:rPr>
          <w:rFonts w:ascii="Times New Roman" w:hAnsi="Times New Roman" w:cs="Times New Roman"/>
          <w:sz w:val="24"/>
          <w:szCs w:val="24"/>
        </w:rPr>
        <w:t xml:space="preserve"> </w:t>
      </w:r>
      <w:r w:rsidR="00057561">
        <w:rPr>
          <w:rFonts w:ascii="Times New Roman" w:hAnsi="Times New Roman" w:cs="Times New Roman"/>
          <w:sz w:val="24"/>
          <w:szCs w:val="24"/>
        </w:rPr>
        <w:t>support</w:t>
      </w:r>
      <w:r>
        <w:rPr>
          <w:rFonts w:ascii="Times New Roman" w:hAnsi="Times New Roman" w:cs="Times New Roman"/>
          <w:sz w:val="24"/>
          <w:szCs w:val="24"/>
        </w:rPr>
        <w:t xml:space="preserve"> data </w:t>
      </w:r>
      <w:r w:rsidR="00086DC2">
        <w:rPr>
          <w:rFonts w:ascii="Times New Roman" w:hAnsi="Times New Roman" w:cs="Times New Roman"/>
          <w:sz w:val="24"/>
          <w:szCs w:val="24"/>
        </w:rPr>
        <w:t xml:space="preserve">are </w:t>
      </w:r>
      <w:r>
        <w:rPr>
          <w:rFonts w:ascii="Times New Roman" w:hAnsi="Times New Roman" w:cs="Times New Roman"/>
          <w:sz w:val="24"/>
          <w:szCs w:val="24"/>
        </w:rPr>
        <w:t xml:space="preserve">obtained </w:t>
      </w:r>
      <w:r w:rsidR="00086DC2">
        <w:rPr>
          <w:rFonts w:ascii="Times New Roman" w:hAnsi="Times New Roman" w:cs="Times New Roman"/>
          <w:sz w:val="24"/>
          <w:szCs w:val="24"/>
        </w:rPr>
        <w:t xml:space="preserve">both from USAC and </w:t>
      </w:r>
      <w:r>
        <w:rPr>
          <w:rFonts w:ascii="Times New Roman" w:hAnsi="Times New Roman" w:cs="Times New Roman"/>
          <w:sz w:val="24"/>
          <w:szCs w:val="24"/>
        </w:rPr>
        <w:t>from the FCC’s publicly available auction website</w:t>
      </w:r>
      <w:r w:rsidR="005F2743">
        <w:rPr>
          <w:rFonts w:ascii="Times New Roman" w:hAnsi="Times New Roman" w:cs="Times New Roman"/>
          <w:sz w:val="24"/>
          <w:szCs w:val="24"/>
        </w:rPr>
        <w:t>, which</w:t>
      </w:r>
      <w:r>
        <w:rPr>
          <w:rFonts w:ascii="Times New Roman" w:hAnsi="Times New Roman" w:cs="Times New Roman"/>
          <w:sz w:val="24"/>
          <w:szCs w:val="24"/>
        </w:rPr>
        <w:t xml:space="preserve"> lists all the winning bidders along with the amount of winning bids and the associated census </w:t>
      </w:r>
      <w:r w:rsidR="00422005">
        <w:rPr>
          <w:rFonts w:ascii="Times New Roman" w:hAnsi="Times New Roman" w:cs="Times New Roman"/>
          <w:sz w:val="24"/>
          <w:szCs w:val="24"/>
        </w:rPr>
        <w:t>blocks</w:t>
      </w:r>
      <w:r>
        <w:rPr>
          <w:rFonts w:ascii="Times New Roman" w:hAnsi="Times New Roman" w:cs="Times New Roman"/>
          <w:sz w:val="24"/>
          <w:szCs w:val="24"/>
        </w:rPr>
        <w:t>.</w:t>
      </w:r>
      <w:r>
        <w:rPr>
          <w:rStyle w:val="FootnoteReference"/>
          <w:rFonts w:cs="Times New Roman"/>
          <w:szCs w:val="24"/>
        </w:rPr>
        <w:footnoteReference w:id="31"/>
      </w:r>
    </w:p>
    <w:p w14:paraId="4CADFF3D" w14:textId="56E14A52" w:rsidR="00EB1C1E" w:rsidRPr="006A51A9" w:rsidRDefault="00EB1C1E" w:rsidP="008326C9">
      <w:pPr>
        <w:pStyle w:val="Heading1"/>
        <w:numPr>
          <w:ilvl w:val="0"/>
          <w:numId w:val="5"/>
        </w:numPr>
        <w:spacing w:after="240"/>
        <w:ind w:left="450" w:hanging="446"/>
        <w:rPr>
          <w:rFonts w:ascii="Times New Roman" w:hAnsi="Times New Roman" w:cs="Times New Roman"/>
        </w:rPr>
      </w:pPr>
      <w:bookmarkStart w:id="3" w:name="_Toc463007281"/>
      <w:r w:rsidRPr="006A51A9">
        <w:rPr>
          <w:rFonts w:ascii="Times New Roman" w:hAnsi="Times New Roman" w:cs="Times New Roman"/>
        </w:rPr>
        <w:t xml:space="preserve">Identifying </w:t>
      </w:r>
      <w:r w:rsidR="004567D2" w:rsidRPr="006A51A9">
        <w:rPr>
          <w:rFonts w:ascii="Times New Roman" w:hAnsi="Times New Roman" w:cs="Times New Roman"/>
        </w:rPr>
        <w:t xml:space="preserve">Areas Within </w:t>
      </w:r>
      <w:r w:rsidR="00AE0652" w:rsidRPr="006A51A9">
        <w:rPr>
          <w:rFonts w:ascii="Times New Roman" w:hAnsi="Times New Roman" w:cs="Times New Roman"/>
        </w:rPr>
        <w:t xml:space="preserve">Census </w:t>
      </w:r>
      <w:r w:rsidRPr="006A51A9">
        <w:rPr>
          <w:rFonts w:ascii="Times New Roman" w:hAnsi="Times New Roman" w:cs="Times New Roman"/>
        </w:rPr>
        <w:t xml:space="preserve">Blocks </w:t>
      </w:r>
      <w:r w:rsidR="004567D2" w:rsidRPr="006A51A9">
        <w:rPr>
          <w:rFonts w:ascii="Times New Roman" w:hAnsi="Times New Roman" w:cs="Times New Roman"/>
        </w:rPr>
        <w:t>Lacking</w:t>
      </w:r>
      <w:r w:rsidRPr="006A51A9">
        <w:rPr>
          <w:rFonts w:ascii="Times New Roman" w:hAnsi="Times New Roman" w:cs="Times New Roman"/>
        </w:rPr>
        <w:t xml:space="preserve"> Unsubsidized 4G</w:t>
      </w:r>
      <w:r w:rsidR="00645F4C" w:rsidRPr="006A51A9">
        <w:rPr>
          <w:rFonts w:ascii="Times New Roman" w:hAnsi="Times New Roman" w:cs="Times New Roman"/>
        </w:rPr>
        <w:t xml:space="preserve"> </w:t>
      </w:r>
      <w:r w:rsidRPr="006A51A9">
        <w:rPr>
          <w:rFonts w:ascii="Times New Roman" w:hAnsi="Times New Roman" w:cs="Times New Roman"/>
        </w:rPr>
        <w:t>LTE</w:t>
      </w:r>
      <w:bookmarkEnd w:id="3"/>
      <w:r w:rsidRPr="006A51A9">
        <w:rPr>
          <w:rFonts w:ascii="Times New Roman" w:hAnsi="Times New Roman" w:cs="Times New Roman"/>
        </w:rPr>
        <w:t xml:space="preserve"> </w:t>
      </w:r>
    </w:p>
    <w:p w14:paraId="4A25AE69" w14:textId="7C012EB0" w:rsidR="00EB1C1E" w:rsidRDefault="00EB1C1E" w:rsidP="00702196">
      <w:pPr>
        <w:pStyle w:val="ListParagraph"/>
        <w:numPr>
          <w:ilvl w:val="0"/>
          <w:numId w:val="16"/>
        </w:numPr>
        <w:spacing w:line="360" w:lineRule="auto"/>
        <w:ind w:hanging="450"/>
        <w:contextualSpacing w:val="0"/>
        <w:rPr>
          <w:rFonts w:ascii="Times New Roman" w:hAnsi="Times New Roman" w:cs="Times New Roman"/>
          <w:sz w:val="24"/>
          <w:szCs w:val="24"/>
        </w:rPr>
      </w:pPr>
      <w:r>
        <w:rPr>
          <w:rFonts w:ascii="Times New Roman" w:hAnsi="Times New Roman" w:cs="Times New Roman"/>
          <w:sz w:val="24"/>
          <w:szCs w:val="24"/>
        </w:rPr>
        <w:t xml:space="preserve">As noted earlier, the primary goal of </w:t>
      </w:r>
      <w:r w:rsidR="00B524E8">
        <w:rPr>
          <w:rFonts w:ascii="Times New Roman" w:hAnsi="Times New Roman" w:cs="Times New Roman"/>
          <w:sz w:val="24"/>
          <w:szCs w:val="24"/>
        </w:rPr>
        <w:t>MF-II</w:t>
      </w:r>
      <w:r>
        <w:rPr>
          <w:rFonts w:ascii="Times New Roman" w:hAnsi="Times New Roman" w:cs="Times New Roman"/>
          <w:sz w:val="24"/>
          <w:szCs w:val="24"/>
        </w:rPr>
        <w:t xml:space="preserve"> is to </w:t>
      </w:r>
      <w:r>
        <w:rPr>
          <w:rFonts w:ascii="Times New Roman" w:eastAsia="Times New Roman" w:hAnsi="Times New Roman" w:cs="Times New Roman"/>
          <w:snapToGrid w:val="0"/>
          <w:kern w:val="28"/>
          <w:sz w:val="24"/>
          <w:szCs w:val="24"/>
        </w:rPr>
        <w:t xml:space="preserve">provide ongoing support where needed to </w:t>
      </w:r>
      <w:r w:rsidRPr="003C3357">
        <w:rPr>
          <w:rFonts w:ascii="Times New Roman" w:eastAsia="Times New Roman" w:hAnsi="Times New Roman" w:cs="Times New Roman"/>
          <w:snapToGrid w:val="0"/>
          <w:kern w:val="28"/>
          <w:sz w:val="24"/>
          <w:szCs w:val="24"/>
        </w:rPr>
        <w:t xml:space="preserve">expand the availability of </w:t>
      </w:r>
      <w:r>
        <w:rPr>
          <w:rFonts w:ascii="Times New Roman" w:eastAsia="Times New Roman" w:hAnsi="Times New Roman" w:cs="Times New Roman"/>
          <w:snapToGrid w:val="0"/>
          <w:kern w:val="28"/>
          <w:sz w:val="24"/>
          <w:szCs w:val="24"/>
        </w:rPr>
        <w:t xml:space="preserve">mobile voice and broadband services.  For this purpose, the Commission has proposed to target </w:t>
      </w:r>
      <w:r w:rsidR="00B524E8">
        <w:rPr>
          <w:rFonts w:ascii="Times New Roman" w:eastAsia="Times New Roman" w:hAnsi="Times New Roman" w:cs="Times New Roman"/>
          <w:snapToGrid w:val="0"/>
          <w:kern w:val="28"/>
          <w:sz w:val="24"/>
          <w:szCs w:val="24"/>
        </w:rPr>
        <w:t>MF-II</w:t>
      </w:r>
      <w:r>
        <w:rPr>
          <w:rFonts w:ascii="Times New Roman" w:eastAsia="Times New Roman" w:hAnsi="Times New Roman" w:cs="Times New Roman"/>
          <w:snapToGrid w:val="0"/>
          <w:kern w:val="28"/>
          <w:sz w:val="24"/>
          <w:szCs w:val="24"/>
        </w:rPr>
        <w:t xml:space="preserve"> primarily to </w:t>
      </w:r>
      <w:r>
        <w:rPr>
          <w:rFonts w:ascii="Times New Roman" w:hAnsi="Times New Roman" w:cs="Times New Roman"/>
          <w:sz w:val="24"/>
          <w:szCs w:val="24"/>
        </w:rPr>
        <w:t>expand 4G</w:t>
      </w:r>
      <w:r w:rsidR="00645F4C">
        <w:rPr>
          <w:rFonts w:ascii="Times New Roman" w:hAnsi="Times New Roman" w:cs="Times New Roman"/>
          <w:sz w:val="24"/>
          <w:szCs w:val="24"/>
        </w:rPr>
        <w:t xml:space="preserve"> </w:t>
      </w:r>
      <w:r>
        <w:rPr>
          <w:rFonts w:ascii="Times New Roman" w:hAnsi="Times New Roman" w:cs="Times New Roman"/>
          <w:sz w:val="24"/>
          <w:szCs w:val="24"/>
        </w:rPr>
        <w:t>LTE (or LTE) service to areas that lack such service and to preserve such service where it is provided only on a subsidized basis.</w:t>
      </w:r>
      <w:r>
        <w:rPr>
          <w:rStyle w:val="FootnoteReference"/>
          <w:rFonts w:cs="Times New Roman"/>
          <w:szCs w:val="24"/>
        </w:rPr>
        <w:footnoteReference w:id="32"/>
      </w:r>
      <w:r>
        <w:rPr>
          <w:rFonts w:ascii="Times New Roman" w:hAnsi="Times New Roman" w:cs="Times New Roman"/>
          <w:sz w:val="24"/>
          <w:szCs w:val="24"/>
        </w:rPr>
        <w:t xml:space="preserve"> </w:t>
      </w:r>
      <w:r w:rsidR="00645F4C">
        <w:rPr>
          <w:rFonts w:ascii="Times New Roman" w:hAnsi="Times New Roman" w:cs="Times New Roman"/>
          <w:sz w:val="24"/>
          <w:szCs w:val="24"/>
        </w:rPr>
        <w:t xml:space="preserve"> To identify these areas, staff </w:t>
      </w:r>
      <w:r w:rsidR="002A077E">
        <w:rPr>
          <w:rFonts w:ascii="Times New Roman" w:hAnsi="Times New Roman" w:cs="Times New Roman"/>
          <w:sz w:val="24"/>
          <w:szCs w:val="24"/>
        </w:rPr>
        <w:t xml:space="preserve">overlaid </w:t>
      </w:r>
      <w:r>
        <w:rPr>
          <w:rFonts w:ascii="Times New Roman" w:hAnsi="Times New Roman" w:cs="Times New Roman"/>
          <w:sz w:val="24"/>
          <w:szCs w:val="24"/>
        </w:rPr>
        <w:t xml:space="preserve">Form 477 coverage data </w:t>
      </w:r>
      <w:r w:rsidR="002A077E">
        <w:rPr>
          <w:rFonts w:ascii="Times New Roman" w:hAnsi="Times New Roman" w:cs="Times New Roman"/>
          <w:sz w:val="24"/>
          <w:szCs w:val="24"/>
        </w:rPr>
        <w:t xml:space="preserve">with </w:t>
      </w:r>
      <w:r>
        <w:rPr>
          <w:rFonts w:ascii="Times New Roman" w:hAnsi="Times New Roman" w:cs="Times New Roman"/>
          <w:sz w:val="24"/>
          <w:szCs w:val="24"/>
        </w:rPr>
        <w:t xml:space="preserve">corresponding </w:t>
      </w:r>
      <w:r w:rsidR="00057561">
        <w:rPr>
          <w:rFonts w:ascii="Times New Roman" w:hAnsi="Times New Roman" w:cs="Times New Roman"/>
          <w:sz w:val="24"/>
          <w:szCs w:val="24"/>
        </w:rPr>
        <w:t>support</w:t>
      </w:r>
      <w:r>
        <w:rPr>
          <w:rFonts w:ascii="Times New Roman" w:hAnsi="Times New Roman" w:cs="Times New Roman"/>
          <w:sz w:val="24"/>
          <w:szCs w:val="24"/>
        </w:rPr>
        <w:t xml:space="preserve"> data</w:t>
      </w:r>
      <w:r w:rsidR="00645F4C">
        <w:rPr>
          <w:rFonts w:ascii="Times New Roman" w:hAnsi="Times New Roman" w:cs="Times New Roman"/>
          <w:sz w:val="24"/>
          <w:szCs w:val="24"/>
        </w:rPr>
        <w:t xml:space="preserve"> to determine, on a block-by-block basis, which blocks were entirely served by 4G LTE without subsidy,</w:t>
      </w:r>
      <w:r w:rsidR="0055248D">
        <w:rPr>
          <w:rFonts w:ascii="Times New Roman" w:hAnsi="Times New Roman" w:cs="Times New Roman"/>
          <w:sz w:val="24"/>
          <w:szCs w:val="24"/>
        </w:rPr>
        <w:t xml:space="preserve"> and which ones lacked such service – either in whole or in part.</w:t>
      </w:r>
      <w:r w:rsidR="00D42D11">
        <w:rPr>
          <w:rFonts w:ascii="Times New Roman" w:hAnsi="Times New Roman" w:cs="Times New Roman"/>
          <w:sz w:val="24"/>
          <w:szCs w:val="24"/>
        </w:rPr>
        <w:t xml:space="preserve">  </w:t>
      </w:r>
    </w:p>
    <w:p w14:paraId="22A0D786" w14:textId="012DBD1E" w:rsidR="00EB1C1E" w:rsidRPr="002A3453" w:rsidRDefault="00EB1C1E" w:rsidP="00702196">
      <w:pPr>
        <w:pStyle w:val="ListParagraph"/>
        <w:numPr>
          <w:ilvl w:val="0"/>
          <w:numId w:val="16"/>
        </w:numPr>
        <w:spacing w:line="360" w:lineRule="auto"/>
        <w:ind w:hanging="450"/>
        <w:contextualSpacing w:val="0"/>
        <w:rPr>
          <w:rFonts w:ascii="Times New Roman" w:hAnsi="Times New Roman" w:cs="Times New Roman"/>
          <w:sz w:val="24"/>
          <w:szCs w:val="24"/>
        </w:rPr>
      </w:pPr>
      <w:r>
        <w:rPr>
          <w:rFonts w:ascii="Times New Roman" w:hAnsi="Times New Roman" w:cs="Times New Roman"/>
          <w:sz w:val="24"/>
          <w:szCs w:val="24"/>
        </w:rPr>
        <w:t>At a high level, the process work</w:t>
      </w:r>
      <w:r w:rsidR="007A32E8">
        <w:rPr>
          <w:rFonts w:ascii="Times New Roman" w:hAnsi="Times New Roman" w:cs="Times New Roman"/>
          <w:sz w:val="24"/>
          <w:szCs w:val="24"/>
        </w:rPr>
        <w:t>ed</w:t>
      </w:r>
      <w:r>
        <w:rPr>
          <w:rFonts w:ascii="Times New Roman" w:hAnsi="Times New Roman" w:cs="Times New Roman"/>
          <w:sz w:val="24"/>
          <w:szCs w:val="24"/>
        </w:rPr>
        <w:t xml:space="preserve"> as follows.  </w:t>
      </w:r>
      <w:r w:rsidR="00344649">
        <w:rPr>
          <w:rFonts w:ascii="Times New Roman" w:hAnsi="Times New Roman" w:cs="Times New Roman"/>
          <w:sz w:val="24"/>
          <w:szCs w:val="24"/>
        </w:rPr>
        <w:t>Using</w:t>
      </w:r>
      <w:r>
        <w:rPr>
          <w:rFonts w:ascii="Times New Roman" w:hAnsi="Times New Roman" w:cs="Times New Roman"/>
          <w:sz w:val="24"/>
          <w:szCs w:val="24"/>
        </w:rPr>
        <w:t xml:space="preserve"> the Form 477 shape files described above, </w:t>
      </w:r>
      <w:r w:rsidR="00344649">
        <w:rPr>
          <w:rFonts w:ascii="Times New Roman" w:hAnsi="Times New Roman" w:cs="Times New Roman"/>
          <w:sz w:val="24"/>
          <w:szCs w:val="24"/>
        </w:rPr>
        <w:t xml:space="preserve">and census block </w:t>
      </w:r>
      <w:r w:rsidR="00AE0652">
        <w:rPr>
          <w:rFonts w:ascii="Times New Roman" w:hAnsi="Times New Roman" w:cs="Times New Roman"/>
          <w:sz w:val="24"/>
          <w:szCs w:val="24"/>
        </w:rPr>
        <w:t>boundaries</w:t>
      </w:r>
      <w:r w:rsidR="00344649">
        <w:rPr>
          <w:rFonts w:ascii="Times New Roman" w:hAnsi="Times New Roman" w:cs="Times New Roman"/>
          <w:sz w:val="24"/>
          <w:szCs w:val="24"/>
        </w:rPr>
        <w:t xml:space="preserve">, </w:t>
      </w:r>
      <w:r w:rsidR="0055248D">
        <w:rPr>
          <w:rFonts w:ascii="Times New Roman" w:hAnsi="Times New Roman" w:cs="Times New Roman"/>
          <w:sz w:val="24"/>
          <w:szCs w:val="24"/>
        </w:rPr>
        <w:t>staff</w:t>
      </w:r>
      <w:r w:rsidR="00344649">
        <w:rPr>
          <w:rFonts w:ascii="Times New Roman" w:hAnsi="Times New Roman" w:cs="Times New Roman"/>
          <w:sz w:val="24"/>
          <w:szCs w:val="24"/>
        </w:rPr>
        <w:t xml:space="preserve"> derive</w:t>
      </w:r>
      <w:r w:rsidR="0055248D">
        <w:rPr>
          <w:rFonts w:ascii="Times New Roman" w:hAnsi="Times New Roman" w:cs="Times New Roman"/>
          <w:sz w:val="24"/>
          <w:szCs w:val="24"/>
        </w:rPr>
        <w:t>d</w:t>
      </w:r>
      <w:r>
        <w:rPr>
          <w:rFonts w:ascii="Times New Roman" w:hAnsi="Times New Roman" w:cs="Times New Roman"/>
          <w:sz w:val="24"/>
          <w:szCs w:val="24"/>
        </w:rPr>
        <w:t xml:space="preserve"> each provider’s actual LTE coverage area for each census block.  </w:t>
      </w:r>
      <w:r w:rsidR="00344649">
        <w:rPr>
          <w:rFonts w:ascii="Times New Roman" w:hAnsi="Times New Roman" w:cs="Times New Roman"/>
          <w:sz w:val="24"/>
          <w:szCs w:val="24"/>
        </w:rPr>
        <w:t>This enable</w:t>
      </w:r>
      <w:r w:rsidR="0055248D">
        <w:rPr>
          <w:rFonts w:ascii="Times New Roman" w:hAnsi="Times New Roman" w:cs="Times New Roman"/>
          <w:sz w:val="24"/>
          <w:szCs w:val="24"/>
        </w:rPr>
        <w:t>d</w:t>
      </w:r>
      <w:r w:rsidR="00344649">
        <w:rPr>
          <w:rFonts w:ascii="Times New Roman" w:hAnsi="Times New Roman" w:cs="Times New Roman"/>
          <w:sz w:val="24"/>
          <w:szCs w:val="24"/>
        </w:rPr>
        <w:t xml:space="preserve"> </w:t>
      </w:r>
      <w:r w:rsidR="0055248D">
        <w:rPr>
          <w:rFonts w:ascii="Times New Roman" w:hAnsi="Times New Roman" w:cs="Times New Roman"/>
          <w:sz w:val="24"/>
          <w:szCs w:val="24"/>
        </w:rPr>
        <w:t>staff</w:t>
      </w:r>
      <w:r w:rsidR="00344649">
        <w:rPr>
          <w:rFonts w:ascii="Times New Roman" w:hAnsi="Times New Roman" w:cs="Times New Roman"/>
          <w:sz w:val="24"/>
          <w:szCs w:val="24"/>
        </w:rPr>
        <w:t xml:space="preserve"> </w:t>
      </w:r>
      <w:r>
        <w:rPr>
          <w:rFonts w:ascii="Times New Roman" w:hAnsi="Times New Roman" w:cs="Times New Roman"/>
          <w:sz w:val="24"/>
          <w:szCs w:val="24"/>
        </w:rPr>
        <w:t xml:space="preserve">to identify census blocks with 100 percent 4G LTE coverage, as well as the percentage of 4G LTE coverage </w:t>
      </w:r>
      <w:r w:rsidR="007F13A4">
        <w:rPr>
          <w:rFonts w:ascii="Times New Roman" w:hAnsi="Times New Roman" w:cs="Times New Roman"/>
          <w:sz w:val="24"/>
          <w:szCs w:val="24"/>
        </w:rPr>
        <w:t xml:space="preserve">by area </w:t>
      </w:r>
      <w:r>
        <w:rPr>
          <w:rFonts w:ascii="Times New Roman" w:hAnsi="Times New Roman" w:cs="Times New Roman"/>
          <w:sz w:val="24"/>
          <w:szCs w:val="24"/>
        </w:rPr>
        <w:t xml:space="preserve">in census blocks where there is less than 100 percent coverage.  </w:t>
      </w:r>
      <w:r w:rsidR="0055248D">
        <w:rPr>
          <w:rFonts w:ascii="Times New Roman" w:hAnsi="Times New Roman" w:cs="Times New Roman"/>
          <w:sz w:val="24"/>
          <w:szCs w:val="24"/>
        </w:rPr>
        <w:t xml:space="preserve">It also allowed staff to </w:t>
      </w:r>
      <w:r w:rsidR="00565E6A">
        <w:rPr>
          <w:rFonts w:ascii="Times New Roman" w:hAnsi="Times New Roman" w:cs="Times New Roman"/>
          <w:sz w:val="24"/>
          <w:szCs w:val="24"/>
        </w:rPr>
        <w:t xml:space="preserve">overlay </w:t>
      </w:r>
      <w:r w:rsidR="0055248D">
        <w:rPr>
          <w:rFonts w:ascii="Times New Roman" w:hAnsi="Times New Roman" w:cs="Times New Roman"/>
          <w:sz w:val="24"/>
          <w:szCs w:val="24"/>
        </w:rPr>
        <w:t xml:space="preserve">a provider’s 4G LTE coverage data </w:t>
      </w:r>
      <w:r w:rsidR="00565E6A">
        <w:rPr>
          <w:rFonts w:ascii="Times New Roman" w:hAnsi="Times New Roman" w:cs="Times New Roman"/>
          <w:sz w:val="24"/>
          <w:szCs w:val="24"/>
        </w:rPr>
        <w:t>with the</w:t>
      </w:r>
      <w:r w:rsidR="0055248D">
        <w:rPr>
          <w:rFonts w:ascii="Times New Roman" w:hAnsi="Times New Roman" w:cs="Times New Roman"/>
          <w:sz w:val="24"/>
          <w:szCs w:val="24"/>
        </w:rPr>
        <w:t xml:space="preserve"> USAC </w:t>
      </w:r>
      <w:r w:rsidR="00F10C35">
        <w:rPr>
          <w:rFonts w:ascii="Times New Roman" w:hAnsi="Times New Roman" w:cs="Times New Roman"/>
          <w:sz w:val="24"/>
          <w:szCs w:val="24"/>
        </w:rPr>
        <w:t xml:space="preserve">support </w:t>
      </w:r>
      <w:r w:rsidR="0055248D">
        <w:rPr>
          <w:rFonts w:ascii="Times New Roman" w:hAnsi="Times New Roman" w:cs="Times New Roman"/>
          <w:sz w:val="24"/>
          <w:szCs w:val="24"/>
        </w:rPr>
        <w:t xml:space="preserve">data </w:t>
      </w:r>
      <w:r w:rsidR="00565E6A">
        <w:rPr>
          <w:rFonts w:ascii="Times New Roman" w:hAnsi="Times New Roman" w:cs="Times New Roman"/>
          <w:sz w:val="24"/>
          <w:szCs w:val="24"/>
        </w:rPr>
        <w:t xml:space="preserve">by study area </w:t>
      </w:r>
      <w:r w:rsidR="0055248D">
        <w:rPr>
          <w:rFonts w:ascii="Times New Roman" w:hAnsi="Times New Roman" w:cs="Times New Roman"/>
          <w:sz w:val="24"/>
          <w:szCs w:val="24"/>
        </w:rPr>
        <w:t>to</w:t>
      </w:r>
      <w:r w:rsidR="00BD0B89">
        <w:rPr>
          <w:rFonts w:ascii="Times New Roman" w:hAnsi="Times New Roman" w:cs="Times New Roman"/>
          <w:sz w:val="24"/>
          <w:szCs w:val="24"/>
        </w:rPr>
        <w:t xml:space="preserve"> </w:t>
      </w:r>
      <w:r>
        <w:rPr>
          <w:rFonts w:ascii="Times New Roman" w:hAnsi="Times New Roman" w:cs="Times New Roman"/>
          <w:sz w:val="24"/>
          <w:szCs w:val="24"/>
        </w:rPr>
        <w:t xml:space="preserve">determine the area(s) where that provider’s 4G LTE coverage is currently being subsidized.  By comparing that information across all providers of 4G LTE coverage in a census block, </w:t>
      </w:r>
      <w:r w:rsidR="0055248D">
        <w:rPr>
          <w:rFonts w:ascii="Times New Roman" w:hAnsi="Times New Roman" w:cs="Times New Roman"/>
          <w:sz w:val="24"/>
          <w:szCs w:val="24"/>
        </w:rPr>
        <w:t>staff</w:t>
      </w:r>
      <w:r w:rsidR="00450735">
        <w:rPr>
          <w:rFonts w:ascii="Times New Roman" w:hAnsi="Times New Roman" w:cs="Times New Roman"/>
          <w:sz w:val="24"/>
          <w:szCs w:val="24"/>
        </w:rPr>
        <w:t xml:space="preserve"> </w:t>
      </w:r>
      <w:r>
        <w:rPr>
          <w:rFonts w:ascii="Times New Roman" w:hAnsi="Times New Roman" w:cs="Times New Roman"/>
          <w:sz w:val="24"/>
          <w:szCs w:val="24"/>
        </w:rPr>
        <w:t>identif</w:t>
      </w:r>
      <w:r w:rsidR="0055248D">
        <w:rPr>
          <w:rFonts w:ascii="Times New Roman" w:hAnsi="Times New Roman" w:cs="Times New Roman"/>
          <w:sz w:val="24"/>
          <w:szCs w:val="24"/>
        </w:rPr>
        <w:t>ied</w:t>
      </w:r>
      <w:r>
        <w:rPr>
          <w:rFonts w:ascii="Times New Roman" w:hAnsi="Times New Roman" w:cs="Times New Roman"/>
          <w:sz w:val="24"/>
          <w:szCs w:val="24"/>
        </w:rPr>
        <w:t xml:space="preserve"> those census blocks </w:t>
      </w:r>
      <w:r w:rsidR="0055248D">
        <w:rPr>
          <w:rFonts w:ascii="Times New Roman" w:hAnsi="Times New Roman" w:cs="Times New Roman"/>
          <w:sz w:val="24"/>
          <w:szCs w:val="24"/>
        </w:rPr>
        <w:t>that lacked unsubsidized 4G LTE, either in whole or in part</w:t>
      </w:r>
      <w:r w:rsidR="007407F6">
        <w:rPr>
          <w:rFonts w:ascii="Times New Roman" w:hAnsi="Times New Roman" w:cs="Times New Roman"/>
          <w:sz w:val="24"/>
          <w:szCs w:val="24"/>
        </w:rPr>
        <w:t xml:space="preserve">.  </w:t>
      </w:r>
      <w:r>
        <w:rPr>
          <w:rFonts w:ascii="Times New Roman" w:hAnsi="Times New Roman" w:cs="Times New Roman"/>
          <w:sz w:val="24"/>
          <w:szCs w:val="24"/>
        </w:rPr>
        <w:t xml:space="preserve">Below we describe this process in more detail. </w:t>
      </w:r>
    </w:p>
    <w:p w14:paraId="0F79004E" w14:textId="2EA1F631" w:rsidR="00EB1C1E" w:rsidRDefault="00EB1C1E" w:rsidP="007627A0">
      <w:pPr>
        <w:pStyle w:val="Subtitle"/>
        <w:keepNext/>
        <w:numPr>
          <w:ilvl w:val="0"/>
          <w:numId w:val="31"/>
        </w:numPr>
        <w:ind w:left="360"/>
        <w:rPr>
          <w:rFonts w:ascii="Times New Roman" w:hAnsi="Times New Roman" w:cs="Times New Roman"/>
        </w:rPr>
      </w:pPr>
      <w:r w:rsidRPr="004C277F">
        <w:rPr>
          <w:rFonts w:ascii="Times New Roman" w:hAnsi="Times New Roman" w:cs="Times New Roman"/>
        </w:rPr>
        <w:t xml:space="preserve">Using the Actual Area for </w:t>
      </w:r>
      <w:r w:rsidR="00344649">
        <w:rPr>
          <w:rFonts w:ascii="Times New Roman" w:hAnsi="Times New Roman" w:cs="Times New Roman"/>
        </w:rPr>
        <w:t>4G</w:t>
      </w:r>
      <w:r w:rsidR="0055248D">
        <w:rPr>
          <w:rFonts w:ascii="Times New Roman" w:hAnsi="Times New Roman" w:cs="Times New Roman"/>
        </w:rPr>
        <w:t xml:space="preserve"> </w:t>
      </w:r>
      <w:r w:rsidR="00344649">
        <w:rPr>
          <w:rFonts w:ascii="Times New Roman" w:hAnsi="Times New Roman" w:cs="Times New Roman"/>
        </w:rPr>
        <w:t xml:space="preserve">LTE </w:t>
      </w:r>
      <w:r w:rsidRPr="004C277F">
        <w:rPr>
          <w:rFonts w:ascii="Times New Roman" w:hAnsi="Times New Roman" w:cs="Times New Roman"/>
        </w:rPr>
        <w:t>Coverage Analysis</w:t>
      </w:r>
    </w:p>
    <w:p w14:paraId="300D74E6" w14:textId="1111CEB5" w:rsidR="00EB1C1E" w:rsidRPr="00D42D11" w:rsidRDefault="00EB1C1E" w:rsidP="00702196">
      <w:pPr>
        <w:pStyle w:val="ListParagraph"/>
        <w:numPr>
          <w:ilvl w:val="0"/>
          <w:numId w:val="16"/>
        </w:numPr>
        <w:spacing w:line="360" w:lineRule="auto"/>
        <w:ind w:hanging="450"/>
        <w:contextualSpacing w:val="0"/>
        <w:rPr>
          <w:rFonts w:ascii="Times New Roman" w:hAnsi="Times New Roman" w:cs="Times New Roman"/>
          <w:sz w:val="24"/>
          <w:szCs w:val="24"/>
        </w:rPr>
      </w:pPr>
      <w:r>
        <w:rPr>
          <w:rFonts w:ascii="Times New Roman" w:hAnsi="Times New Roman" w:cs="Times New Roman"/>
          <w:sz w:val="24"/>
          <w:szCs w:val="24"/>
        </w:rPr>
        <w:t xml:space="preserve">This section discusses our evaluation of </w:t>
      </w:r>
      <w:r w:rsidR="00C92721">
        <w:rPr>
          <w:rFonts w:ascii="Times New Roman" w:hAnsi="Times New Roman" w:cs="Times New Roman"/>
          <w:sz w:val="24"/>
          <w:szCs w:val="24"/>
        </w:rPr>
        <w:t xml:space="preserve">the actual area and percentage of </w:t>
      </w:r>
      <w:r>
        <w:rPr>
          <w:rFonts w:ascii="Times New Roman" w:hAnsi="Times New Roman" w:cs="Times New Roman"/>
          <w:sz w:val="24"/>
          <w:szCs w:val="24"/>
        </w:rPr>
        <w:t>4G</w:t>
      </w:r>
      <w:r w:rsidR="0055248D">
        <w:rPr>
          <w:rFonts w:ascii="Times New Roman" w:hAnsi="Times New Roman" w:cs="Times New Roman"/>
          <w:sz w:val="24"/>
          <w:szCs w:val="24"/>
        </w:rPr>
        <w:t xml:space="preserve"> </w:t>
      </w:r>
      <w:r>
        <w:rPr>
          <w:rFonts w:ascii="Times New Roman" w:hAnsi="Times New Roman" w:cs="Times New Roman"/>
          <w:sz w:val="24"/>
          <w:szCs w:val="24"/>
        </w:rPr>
        <w:t xml:space="preserve">LTE coverage within a census block.  </w:t>
      </w:r>
      <w:r w:rsidR="00C92721">
        <w:rPr>
          <w:rFonts w:ascii="Times New Roman" w:hAnsi="Times New Roman" w:cs="Times New Roman"/>
          <w:sz w:val="24"/>
          <w:szCs w:val="24"/>
        </w:rPr>
        <w:t xml:space="preserve">By </w:t>
      </w:r>
      <w:r w:rsidR="00BD0B89">
        <w:rPr>
          <w:rFonts w:ascii="Times New Roman" w:hAnsi="Times New Roman" w:cs="Times New Roman"/>
          <w:sz w:val="24"/>
          <w:szCs w:val="24"/>
        </w:rPr>
        <w:t xml:space="preserve">overlaying </w:t>
      </w:r>
      <w:r w:rsidR="00C92721">
        <w:rPr>
          <w:rFonts w:ascii="Times New Roman" w:hAnsi="Times New Roman" w:cs="Times New Roman"/>
          <w:sz w:val="24"/>
          <w:szCs w:val="24"/>
        </w:rPr>
        <w:t>the carrier-certified data included in the Form 477 shape files with</w:t>
      </w:r>
      <w:r>
        <w:rPr>
          <w:rFonts w:ascii="Times New Roman" w:hAnsi="Times New Roman" w:cs="Times New Roman"/>
          <w:sz w:val="24"/>
          <w:szCs w:val="24"/>
        </w:rPr>
        <w:t xml:space="preserve"> census block geographies</w:t>
      </w:r>
      <w:r w:rsidR="00C92721">
        <w:rPr>
          <w:rFonts w:ascii="Times New Roman" w:hAnsi="Times New Roman" w:cs="Times New Roman"/>
          <w:sz w:val="24"/>
          <w:szCs w:val="24"/>
        </w:rPr>
        <w:t>, staff determined</w:t>
      </w:r>
      <w:r>
        <w:rPr>
          <w:rFonts w:ascii="Times New Roman" w:hAnsi="Times New Roman" w:cs="Times New Roman"/>
          <w:sz w:val="24"/>
          <w:szCs w:val="24"/>
        </w:rPr>
        <w:t xml:space="preserve"> the actual area of </w:t>
      </w:r>
      <w:r w:rsidR="00C92721">
        <w:rPr>
          <w:rFonts w:ascii="Times New Roman" w:hAnsi="Times New Roman" w:cs="Times New Roman"/>
          <w:sz w:val="24"/>
          <w:szCs w:val="24"/>
        </w:rPr>
        <w:t xml:space="preserve">4G </w:t>
      </w:r>
      <w:r>
        <w:rPr>
          <w:rFonts w:ascii="Times New Roman" w:hAnsi="Times New Roman" w:cs="Times New Roman"/>
          <w:sz w:val="24"/>
          <w:szCs w:val="24"/>
        </w:rPr>
        <w:t xml:space="preserve">LTE coverage </w:t>
      </w:r>
      <w:r w:rsidR="00344649">
        <w:rPr>
          <w:rFonts w:ascii="Times New Roman" w:hAnsi="Times New Roman" w:cs="Times New Roman"/>
          <w:sz w:val="24"/>
          <w:szCs w:val="24"/>
        </w:rPr>
        <w:t>with</w:t>
      </w:r>
      <w:r>
        <w:rPr>
          <w:rFonts w:ascii="Times New Roman" w:hAnsi="Times New Roman" w:cs="Times New Roman"/>
          <w:sz w:val="24"/>
          <w:szCs w:val="24"/>
        </w:rPr>
        <w:t xml:space="preserve">in each block by each provider of the service.  </w:t>
      </w:r>
      <w:r w:rsidR="00C92721">
        <w:rPr>
          <w:rFonts w:ascii="Times New Roman" w:hAnsi="Times New Roman" w:cs="Times New Roman"/>
          <w:sz w:val="24"/>
          <w:szCs w:val="24"/>
        </w:rPr>
        <w:t>By aggregating the provider-specific data, staff identified</w:t>
      </w:r>
      <w:r>
        <w:rPr>
          <w:rFonts w:ascii="Times New Roman" w:hAnsi="Times New Roman" w:cs="Times New Roman"/>
          <w:sz w:val="24"/>
          <w:szCs w:val="24"/>
        </w:rPr>
        <w:t xml:space="preserve"> </w:t>
      </w:r>
      <w:r w:rsidR="00772F8C">
        <w:rPr>
          <w:rFonts w:ascii="Times New Roman" w:hAnsi="Times New Roman" w:cs="Times New Roman"/>
          <w:sz w:val="24"/>
          <w:szCs w:val="24"/>
        </w:rPr>
        <w:t xml:space="preserve">the </w:t>
      </w:r>
      <w:r>
        <w:rPr>
          <w:rFonts w:ascii="Times New Roman" w:hAnsi="Times New Roman" w:cs="Times New Roman"/>
          <w:sz w:val="24"/>
          <w:szCs w:val="24"/>
        </w:rPr>
        <w:t xml:space="preserve">set of blocks that, on an actual area basis, are 100 percent covered by 4G LTE, as well as the actual </w:t>
      </w:r>
      <w:r w:rsidRPr="00D42D11">
        <w:rPr>
          <w:rFonts w:ascii="Times New Roman" w:hAnsi="Times New Roman" w:cs="Times New Roman"/>
          <w:sz w:val="24"/>
          <w:szCs w:val="24"/>
        </w:rPr>
        <w:t xml:space="preserve">area of </w:t>
      </w:r>
      <w:r w:rsidR="00BC3D80" w:rsidRPr="00D42D11">
        <w:rPr>
          <w:rFonts w:ascii="Times New Roman" w:hAnsi="Times New Roman" w:cs="Times New Roman"/>
          <w:sz w:val="24"/>
          <w:szCs w:val="24"/>
        </w:rPr>
        <w:t>4G</w:t>
      </w:r>
      <w:r w:rsidR="00E1417A" w:rsidRPr="00D42D11">
        <w:rPr>
          <w:rFonts w:ascii="Times New Roman" w:hAnsi="Times New Roman" w:cs="Times New Roman"/>
          <w:sz w:val="24"/>
          <w:szCs w:val="24"/>
        </w:rPr>
        <w:t xml:space="preserve"> </w:t>
      </w:r>
      <w:r w:rsidR="00BC3D80" w:rsidRPr="00D42D11">
        <w:rPr>
          <w:rFonts w:ascii="Times New Roman" w:hAnsi="Times New Roman" w:cs="Times New Roman"/>
          <w:sz w:val="24"/>
          <w:szCs w:val="24"/>
        </w:rPr>
        <w:t xml:space="preserve">LTE </w:t>
      </w:r>
      <w:r w:rsidRPr="00D42D11">
        <w:rPr>
          <w:rFonts w:ascii="Times New Roman" w:hAnsi="Times New Roman" w:cs="Times New Roman"/>
          <w:sz w:val="24"/>
          <w:szCs w:val="24"/>
        </w:rPr>
        <w:t xml:space="preserve">coverage within </w:t>
      </w:r>
      <w:r w:rsidR="00BC3D80" w:rsidRPr="00D42D11">
        <w:rPr>
          <w:rFonts w:ascii="Times New Roman" w:hAnsi="Times New Roman" w:cs="Times New Roman"/>
          <w:sz w:val="24"/>
          <w:szCs w:val="24"/>
        </w:rPr>
        <w:t>each</w:t>
      </w:r>
      <w:r w:rsidRPr="00D42D11">
        <w:rPr>
          <w:rFonts w:ascii="Times New Roman" w:hAnsi="Times New Roman" w:cs="Times New Roman"/>
          <w:sz w:val="24"/>
          <w:szCs w:val="24"/>
        </w:rPr>
        <w:t xml:space="preserve"> block with less than 100 percent 4G LTE coverage.</w:t>
      </w:r>
      <w:r w:rsidR="00D42D11">
        <w:rPr>
          <w:rFonts w:ascii="Times New Roman" w:hAnsi="Times New Roman" w:cs="Times New Roman"/>
          <w:sz w:val="24"/>
          <w:szCs w:val="24"/>
        </w:rPr>
        <w:t xml:space="preserve">  </w:t>
      </w:r>
    </w:p>
    <w:p w14:paraId="0F4A56C0" w14:textId="0B358487" w:rsidR="00EB1C1E" w:rsidRDefault="00C92721" w:rsidP="00702196">
      <w:pPr>
        <w:pStyle w:val="ListParagraph"/>
        <w:numPr>
          <w:ilvl w:val="0"/>
          <w:numId w:val="16"/>
        </w:numPr>
        <w:spacing w:line="360" w:lineRule="auto"/>
        <w:ind w:hanging="450"/>
        <w:contextualSpacing w:val="0"/>
        <w:rPr>
          <w:rFonts w:ascii="Times New Roman" w:hAnsi="Times New Roman" w:cs="Times New Roman"/>
          <w:sz w:val="24"/>
          <w:szCs w:val="24"/>
        </w:rPr>
      </w:pPr>
      <w:r>
        <w:rPr>
          <w:rFonts w:ascii="Times New Roman" w:hAnsi="Times New Roman" w:cs="Times New Roman"/>
          <w:sz w:val="24"/>
          <w:szCs w:val="24"/>
        </w:rPr>
        <w:t>Staff</w:t>
      </w:r>
      <w:r w:rsidR="00EB1C1E">
        <w:rPr>
          <w:rFonts w:ascii="Times New Roman" w:hAnsi="Times New Roman" w:cs="Times New Roman"/>
          <w:sz w:val="24"/>
          <w:szCs w:val="24"/>
        </w:rPr>
        <w:t xml:space="preserve"> then calculate</w:t>
      </w:r>
      <w:r>
        <w:rPr>
          <w:rFonts w:ascii="Times New Roman" w:hAnsi="Times New Roman" w:cs="Times New Roman"/>
          <w:sz w:val="24"/>
          <w:szCs w:val="24"/>
        </w:rPr>
        <w:t>d</w:t>
      </w:r>
      <w:r w:rsidR="00EB1C1E">
        <w:rPr>
          <w:rFonts w:ascii="Times New Roman" w:hAnsi="Times New Roman" w:cs="Times New Roman"/>
          <w:sz w:val="24"/>
          <w:szCs w:val="24"/>
        </w:rPr>
        <w:t xml:space="preserve"> the actual area coverage </w:t>
      </w:r>
      <w:r w:rsidR="00BC3D80">
        <w:rPr>
          <w:rFonts w:ascii="Times New Roman" w:hAnsi="Times New Roman" w:cs="Times New Roman"/>
          <w:sz w:val="24"/>
          <w:szCs w:val="24"/>
        </w:rPr>
        <w:t xml:space="preserve">as a percentage </w:t>
      </w:r>
      <w:r w:rsidR="00EB1C1E">
        <w:rPr>
          <w:rFonts w:ascii="Times New Roman" w:hAnsi="Times New Roman" w:cs="Times New Roman"/>
          <w:sz w:val="24"/>
          <w:szCs w:val="24"/>
        </w:rPr>
        <w:t>of the total area</w:t>
      </w:r>
      <w:r w:rsidR="00BC3D80">
        <w:rPr>
          <w:rFonts w:ascii="Times New Roman" w:hAnsi="Times New Roman" w:cs="Times New Roman"/>
          <w:sz w:val="24"/>
          <w:szCs w:val="24"/>
        </w:rPr>
        <w:t xml:space="preserve"> of each census block</w:t>
      </w:r>
      <w:r w:rsidR="007407F6">
        <w:rPr>
          <w:rFonts w:ascii="Times New Roman" w:hAnsi="Times New Roman" w:cs="Times New Roman"/>
          <w:sz w:val="24"/>
          <w:szCs w:val="24"/>
        </w:rPr>
        <w:t xml:space="preserve">.  For purposes of this Report, </w:t>
      </w:r>
      <w:r>
        <w:rPr>
          <w:rFonts w:ascii="Times New Roman" w:hAnsi="Times New Roman" w:cs="Times New Roman"/>
          <w:sz w:val="24"/>
          <w:szCs w:val="24"/>
        </w:rPr>
        <w:t>staff</w:t>
      </w:r>
      <w:r w:rsidR="007407F6">
        <w:rPr>
          <w:rFonts w:ascii="Times New Roman" w:hAnsi="Times New Roman" w:cs="Times New Roman"/>
          <w:sz w:val="24"/>
          <w:szCs w:val="24"/>
        </w:rPr>
        <w:t xml:space="preserve"> then </w:t>
      </w:r>
      <w:r w:rsidR="00EB1C1E">
        <w:rPr>
          <w:rFonts w:ascii="Times New Roman" w:hAnsi="Times New Roman" w:cs="Times New Roman"/>
          <w:sz w:val="24"/>
          <w:szCs w:val="24"/>
        </w:rPr>
        <w:t>appl</w:t>
      </w:r>
      <w:r>
        <w:rPr>
          <w:rFonts w:ascii="Times New Roman" w:hAnsi="Times New Roman" w:cs="Times New Roman"/>
          <w:sz w:val="24"/>
          <w:szCs w:val="24"/>
        </w:rPr>
        <w:t>ied</w:t>
      </w:r>
      <w:r w:rsidR="00EB1C1E">
        <w:rPr>
          <w:rFonts w:ascii="Times New Roman" w:hAnsi="Times New Roman" w:cs="Times New Roman"/>
          <w:sz w:val="24"/>
          <w:szCs w:val="24"/>
        </w:rPr>
        <w:t xml:space="preserve"> that percentage to the total population and road miles to estimate coverage based on those metrics</w:t>
      </w:r>
      <w:r w:rsidR="00BC3D80">
        <w:rPr>
          <w:rFonts w:ascii="Times New Roman" w:hAnsi="Times New Roman" w:cs="Times New Roman"/>
          <w:sz w:val="24"/>
          <w:szCs w:val="24"/>
        </w:rPr>
        <w:t xml:space="preserve"> for each block</w:t>
      </w:r>
      <w:r w:rsidR="00EB1C1E">
        <w:rPr>
          <w:rFonts w:ascii="Times New Roman" w:hAnsi="Times New Roman" w:cs="Times New Roman"/>
          <w:sz w:val="24"/>
          <w:szCs w:val="24"/>
        </w:rPr>
        <w:t xml:space="preserve">. </w:t>
      </w:r>
      <w:r w:rsidR="00AA4586">
        <w:rPr>
          <w:rFonts w:ascii="Times New Roman" w:hAnsi="Times New Roman" w:cs="Times New Roman"/>
          <w:sz w:val="24"/>
          <w:szCs w:val="24"/>
        </w:rPr>
        <w:t>Staff</w:t>
      </w:r>
      <w:r w:rsidR="009129BB">
        <w:rPr>
          <w:rFonts w:ascii="Times New Roman" w:hAnsi="Times New Roman" w:cs="Times New Roman"/>
          <w:sz w:val="24"/>
          <w:szCs w:val="24"/>
        </w:rPr>
        <w:t xml:space="preserve"> </w:t>
      </w:r>
      <w:r w:rsidR="00EB1C1E">
        <w:rPr>
          <w:rFonts w:ascii="Times New Roman" w:hAnsi="Times New Roman" w:cs="Times New Roman"/>
          <w:sz w:val="24"/>
          <w:szCs w:val="24"/>
        </w:rPr>
        <w:t>assume</w:t>
      </w:r>
      <w:r w:rsidR="00AA4586">
        <w:rPr>
          <w:rFonts w:ascii="Times New Roman" w:hAnsi="Times New Roman" w:cs="Times New Roman"/>
          <w:sz w:val="24"/>
          <w:szCs w:val="24"/>
        </w:rPr>
        <w:t>d</w:t>
      </w:r>
      <w:r w:rsidR="007407F6">
        <w:rPr>
          <w:rFonts w:ascii="Times New Roman" w:hAnsi="Times New Roman" w:cs="Times New Roman"/>
          <w:sz w:val="24"/>
          <w:szCs w:val="24"/>
        </w:rPr>
        <w:t>,</w:t>
      </w:r>
      <w:r w:rsidR="00EB1C1E">
        <w:rPr>
          <w:rFonts w:ascii="Times New Roman" w:hAnsi="Times New Roman" w:cs="Times New Roman"/>
          <w:sz w:val="24"/>
          <w:szCs w:val="24"/>
        </w:rPr>
        <w:t xml:space="preserve"> in a given census block, </w:t>
      </w:r>
      <w:r w:rsidR="007407F6">
        <w:rPr>
          <w:rFonts w:ascii="Times New Roman" w:hAnsi="Times New Roman" w:cs="Times New Roman"/>
          <w:sz w:val="24"/>
          <w:szCs w:val="24"/>
        </w:rPr>
        <w:t xml:space="preserve">that </w:t>
      </w:r>
      <w:r w:rsidR="00EB1C1E">
        <w:rPr>
          <w:rFonts w:ascii="Times New Roman" w:hAnsi="Times New Roman" w:cs="Times New Roman"/>
          <w:sz w:val="24"/>
          <w:szCs w:val="24"/>
        </w:rPr>
        <w:t>the proportion of population and road</w:t>
      </w:r>
      <w:r w:rsidR="00AA4586">
        <w:rPr>
          <w:rFonts w:ascii="Times New Roman" w:hAnsi="Times New Roman" w:cs="Times New Roman"/>
          <w:sz w:val="24"/>
          <w:szCs w:val="24"/>
        </w:rPr>
        <w:t xml:space="preserve"> </w:t>
      </w:r>
      <w:r w:rsidR="00EB1C1E">
        <w:rPr>
          <w:rFonts w:ascii="Times New Roman" w:hAnsi="Times New Roman" w:cs="Times New Roman"/>
          <w:sz w:val="24"/>
          <w:szCs w:val="24"/>
        </w:rPr>
        <w:t>miles covered is the same as the proportion of the area covered</w:t>
      </w:r>
      <w:r w:rsidR="00C26ECA">
        <w:rPr>
          <w:rFonts w:ascii="Times New Roman" w:hAnsi="Times New Roman" w:cs="Times New Roman"/>
          <w:sz w:val="24"/>
          <w:szCs w:val="24"/>
        </w:rPr>
        <w:t>, i.e., that population and roads are uniformly distributed throughout the area of a census block.</w:t>
      </w:r>
      <w:r w:rsidR="00EB1C1E">
        <w:rPr>
          <w:rFonts w:ascii="Times New Roman" w:hAnsi="Times New Roman" w:cs="Times New Roman"/>
          <w:sz w:val="24"/>
          <w:szCs w:val="24"/>
        </w:rPr>
        <w:t xml:space="preserve">. For example, if 90 percent of the land area of a block is covered by LTE, </w:t>
      </w:r>
      <w:r w:rsidR="00AA4586">
        <w:rPr>
          <w:rFonts w:ascii="Times New Roman" w:hAnsi="Times New Roman" w:cs="Times New Roman"/>
          <w:sz w:val="24"/>
          <w:szCs w:val="24"/>
        </w:rPr>
        <w:t>staff</w:t>
      </w:r>
      <w:r w:rsidR="00EB1C1E">
        <w:rPr>
          <w:rFonts w:ascii="Times New Roman" w:hAnsi="Times New Roman" w:cs="Times New Roman"/>
          <w:sz w:val="24"/>
          <w:szCs w:val="24"/>
        </w:rPr>
        <w:t xml:space="preserve"> assume</w:t>
      </w:r>
      <w:r w:rsidR="00AA4586">
        <w:rPr>
          <w:rFonts w:ascii="Times New Roman" w:hAnsi="Times New Roman" w:cs="Times New Roman"/>
          <w:sz w:val="24"/>
          <w:szCs w:val="24"/>
        </w:rPr>
        <w:t>d</w:t>
      </w:r>
      <w:r w:rsidR="00EB1C1E">
        <w:rPr>
          <w:rFonts w:ascii="Times New Roman" w:hAnsi="Times New Roman" w:cs="Times New Roman"/>
          <w:sz w:val="24"/>
          <w:szCs w:val="24"/>
        </w:rPr>
        <w:t xml:space="preserve"> that 90 percent of the population</w:t>
      </w:r>
      <w:r w:rsidR="00AA4586">
        <w:rPr>
          <w:rFonts w:ascii="Times New Roman" w:hAnsi="Times New Roman" w:cs="Times New Roman"/>
          <w:sz w:val="24"/>
          <w:szCs w:val="24"/>
        </w:rPr>
        <w:t>,</w:t>
      </w:r>
      <w:r w:rsidR="00EB1C1E">
        <w:rPr>
          <w:rFonts w:ascii="Times New Roman" w:hAnsi="Times New Roman" w:cs="Times New Roman"/>
          <w:sz w:val="24"/>
          <w:szCs w:val="24"/>
        </w:rPr>
        <w:t xml:space="preserve"> as well as 90 percent of the road</w:t>
      </w:r>
      <w:r w:rsidR="00AA4586">
        <w:rPr>
          <w:rFonts w:ascii="Times New Roman" w:hAnsi="Times New Roman" w:cs="Times New Roman"/>
          <w:sz w:val="24"/>
          <w:szCs w:val="24"/>
        </w:rPr>
        <w:t xml:space="preserve"> </w:t>
      </w:r>
      <w:r w:rsidR="00EB1C1E">
        <w:rPr>
          <w:rFonts w:ascii="Times New Roman" w:hAnsi="Times New Roman" w:cs="Times New Roman"/>
          <w:sz w:val="24"/>
          <w:szCs w:val="24"/>
        </w:rPr>
        <w:t>miles</w:t>
      </w:r>
      <w:r w:rsidR="00AA4586">
        <w:rPr>
          <w:rFonts w:ascii="Times New Roman" w:hAnsi="Times New Roman" w:cs="Times New Roman"/>
          <w:sz w:val="24"/>
          <w:szCs w:val="24"/>
        </w:rPr>
        <w:t>,</w:t>
      </w:r>
      <w:r w:rsidR="00EB1C1E">
        <w:rPr>
          <w:rFonts w:ascii="Times New Roman" w:hAnsi="Times New Roman" w:cs="Times New Roman"/>
          <w:sz w:val="24"/>
          <w:szCs w:val="24"/>
        </w:rPr>
        <w:t xml:space="preserve"> in the block are covered by LTE. </w:t>
      </w:r>
      <w:r w:rsidR="00AA4586">
        <w:rPr>
          <w:rFonts w:ascii="Times New Roman" w:hAnsi="Times New Roman" w:cs="Times New Roman"/>
          <w:sz w:val="24"/>
          <w:szCs w:val="24"/>
        </w:rPr>
        <w:t xml:space="preserve"> This</w:t>
      </w:r>
      <w:r w:rsidR="00EB1C1E">
        <w:rPr>
          <w:rFonts w:ascii="Times New Roman" w:hAnsi="Times New Roman" w:cs="Times New Roman"/>
          <w:sz w:val="24"/>
          <w:szCs w:val="24"/>
        </w:rPr>
        <w:t xml:space="preserve"> proportional </w:t>
      </w:r>
      <w:r w:rsidR="00BC3D80">
        <w:rPr>
          <w:rFonts w:ascii="Times New Roman" w:hAnsi="Times New Roman" w:cs="Times New Roman"/>
          <w:sz w:val="24"/>
          <w:szCs w:val="24"/>
        </w:rPr>
        <w:t xml:space="preserve">approach </w:t>
      </w:r>
      <w:r w:rsidR="00AA4586">
        <w:rPr>
          <w:rFonts w:ascii="Times New Roman" w:hAnsi="Times New Roman" w:cs="Times New Roman"/>
          <w:sz w:val="24"/>
          <w:szCs w:val="24"/>
        </w:rPr>
        <w:t>provides</w:t>
      </w:r>
      <w:r w:rsidR="00EB1C1E">
        <w:rPr>
          <w:rFonts w:ascii="Times New Roman" w:hAnsi="Times New Roman" w:cs="Times New Roman"/>
          <w:sz w:val="24"/>
          <w:szCs w:val="24"/>
        </w:rPr>
        <w:t xml:space="preserve"> an approximation of the actual road</w:t>
      </w:r>
      <w:r w:rsidR="00AA4586">
        <w:rPr>
          <w:rFonts w:ascii="Times New Roman" w:hAnsi="Times New Roman" w:cs="Times New Roman"/>
          <w:sz w:val="24"/>
          <w:szCs w:val="24"/>
        </w:rPr>
        <w:t xml:space="preserve"> </w:t>
      </w:r>
      <w:r w:rsidR="00EB1C1E">
        <w:rPr>
          <w:rFonts w:ascii="Times New Roman" w:hAnsi="Times New Roman" w:cs="Times New Roman"/>
          <w:sz w:val="24"/>
          <w:szCs w:val="24"/>
        </w:rPr>
        <w:t xml:space="preserve">miles and population covered. </w:t>
      </w:r>
      <w:r w:rsidR="00AA4586">
        <w:rPr>
          <w:rFonts w:ascii="Times New Roman" w:hAnsi="Times New Roman" w:cs="Times New Roman"/>
          <w:sz w:val="24"/>
          <w:szCs w:val="24"/>
        </w:rPr>
        <w:t>Staff anticipates that it can use</w:t>
      </w:r>
      <w:r w:rsidR="007407F6">
        <w:rPr>
          <w:rFonts w:ascii="Times New Roman" w:hAnsi="Times New Roman" w:cs="Times New Roman"/>
          <w:sz w:val="24"/>
          <w:szCs w:val="24"/>
        </w:rPr>
        <w:t xml:space="preserve"> Census Bureau </w:t>
      </w:r>
      <w:r w:rsidR="00EB1C1E">
        <w:rPr>
          <w:rFonts w:ascii="Times New Roman" w:hAnsi="Times New Roman" w:cs="Times New Roman"/>
          <w:sz w:val="24"/>
          <w:szCs w:val="24"/>
        </w:rPr>
        <w:t xml:space="preserve">data </w:t>
      </w:r>
      <w:r w:rsidR="007407F6">
        <w:rPr>
          <w:rFonts w:ascii="Times New Roman" w:hAnsi="Times New Roman" w:cs="Times New Roman"/>
          <w:sz w:val="24"/>
          <w:szCs w:val="24"/>
        </w:rPr>
        <w:t>to</w:t>
      </w:r>
      <w:r w:rsidR="00EB1C1E">
        <w:rPr>
          <w:rFonts w:ascii="Times New Roman" w:hAnsi="Times New Roman" w:cs="Times New Roman"/>
          <w:sz w:val="24"/>
          <w:szCs w:val="24"/>
        </w:rPr>
        <w:t xml:space="preserve"> establish the actual covered road</w:t>
      </w:r>
      <w:r w:rsidR="00AA4586">
        <w:rPr>
          <w:rFonts w:ascii="Times New Roman" w:hAnsi="Times New Roman" w:cs="Times New Roman"/>
          <w:sz w:val="24"/>
          <w:szCs w:val="24"/>
        </w:rPr>
        <w:t xml:space="preserve"> </w:t>
      </w:r>
      <w:r w:rsidR="00EB1C1E">
        <w:rPr>
          <w:rFonts w:ascii="Times New Roman" w:hAnsi="Times New Roman" w:cs="Times New Roman"/>
          <w:sz w:val="24"/>
          <w:szCs w:val="24"/>
        </w:rPr>
        <w:t>miles</w:t>
      </w:r>
      <w:r w:rsidR="00F56E16">
        <w:rPr>
          <w:rFonts w:ascii="Times New Roman" w:hAnsi="Times New Roman" w:cs="Times New Roman"/>
          <w:sz w:val="24"/>
          <w:szCs w:val="24"/>
        </w:rPr>
        <w:t xml:space="preserve"> in a MF-II reverse auction</w:t>
      </w:r>
      <w:r w:rsidR="00EB1C1E">
        <w:rPr>
          <w:rFonts w:ascii="Times New Roman" w:hAnsi="Times New Roman" w:cs="Times New Roman"/>
          <w:sz w:val="24"/>
          <w:szCs w:val="24"/>
        </w:rPr>
        <w:t>.</w:t>
      </w:r>
      <w:r w:rsidR="007407F6">
        <w:rPr>
          <w:rFonts w:ascii="Times New Roman" w:hAnsi="Times New Roman" w:cs="Times New Roman"/>
          <w:sz w:val="24"/>
          <w:szCs w:val="24"/>
        </w:rPr>
        <w:t xml:space="preserve">  For population, </w:t>
      </w:r>
      <w:r w:rsidR="00F56E16">
        <w:rPr>
          <w:rFonts w:ascii="Times New Roman" w:hAnsi="Times New Roman" w:cs="Times New Roman"/>
          <w:sz w:val="24"/>
          <w:szCs w:val="24"/>
        </w:rPr>
        <w:t>staff is not aware of any</w:t>
      </w:r>
      <w:r w:rsidR="002A5408">
        <w:rPr>
          <w:rFonts w:ascii="Times New Roman" w:hAnsi="Times New Roman" w:cs="Times New Roman"/>
          <w:sz w:val="24"/>
          <w:szCs w:val="24"/>
        </w:rPr>
        <w:t xml:space="preserve"> equivalent publicly-available data</w:t>
      </w:r>
      <w:r w:rsidR="007407F6">
        <w:rPr>
          <w:rFonts w:ascii="Times New Roman" w:hAnsi="Times New Roman" w:cs="Times New Roman"/>
          <w:sz w:val="24"/>
          <w:szCs w:val="24"/>
        </w:rPr>
        <w:t xml:space="preserve"> on the distribution of population, or households, at a sub-census-block level, so </w:t>
      </w:r>
      <w:r w:rsidR="002B4FF4">
        <w:rPr>
          <w:rFonts w:ascii="Times New Roman" w:hAnsi="Times New Roman" w:cs="Times New Roman"/>
          <w:sz w:val="24"/>
          <w:szCs w:val="24"/>
        </w:rPr>
        <w:t xml:space="preserve">staff is </w:t>
      </w:r>
      <w:r w:rsidR="002A5408">
        <w:rPr>
          <w:rFonts w:ascii="Times New Roman" w:hAnsi="Times New Roman" w:cs="Times New Roman"/>
          <w:sz w:val="24"/>
          <w:szCs w:val="24"/>
        </w:rPr>
        <w:t>not able</w:t>
      </w:r>
      <w:r w:rsidR="007407F6">
        <w:rPr>
          <w:rFonts w:ascii="Times New Roman" w:hAnsi="Times New Roman" w:cs="Times New Roman"/>
          <w:sz w:val="24"/>
          <w:szCs w:val="24"/>
        </w:rPr>
        <w:t xml:space="preserve"> to distribute population more precisely within census blocks.  </w:t>
      </w:r>
    </w:p>
    <w:p w14:paraId="31EECA42" w14:textId="62662F6B" w:rsidR="00EB1C1E" w:rsidRDefault="00EB1C1E" w:rsidP="00702196">
      <w:pPr>
        <w:pStyle w:val="ListParagraph"/>
        <w:numPr>
          <w:ilvl w:val="0"/>
          <w:numId w:val="16"/>
        </w:numPr>
        <w:spacing w:line="360" w:lineRule="auto"/>
        <w:ind w:hanging="450"/>
        <w:contextualSpacing w:val="0"/>
        <w:rPr>
          <w:rFonts w:ascii="Times New Roman" w:hAnsi="Times New Roman" w:cs="Times New Roman"/>
          <w:sz w:val="24"/>
          <w:szCs w:val="24"/>
        </w:rPr>
      </w:pPr>
      <w:r>
        <w:rPr>
          <w:rFonts w:ascii="Times New Roman" w:hAnsi="Times New Roman" w:cs="Times New Roman"/>
          <w:sz w:val="24"/>
          <w:szCs w:val="24"/>
        </w:rPr>
        <w:t xml:space="preserve">In contrast to the actual area </w:t>
      </w:r>
      <w:r w:rsidR="00130476">
        <w:rPr>
          <w:rFonts w:ascii="Times New Roman" w:hAnsi="Times New Roman" w:cs="Times New Roman"/>
          <w:sz w:val="24"/>
          <w:szCs w:val="24"/>
        </w:rPr>
        <w:t xml:space="preserve">approach </w:t>
      </w:r>
      <w:r>
        <w:rPr>
          <w:rFonts w:ascii="Times New Roman" w:hAnsi="Times New Roman" w:cs="Times New Roman"/>
          <w:sz w:val="24"/>
          <w:szCs w:val="24"/>
        </w:rPr>
        <w:t xml:space="preserve">employed here, the Commission utilized a different methodology – based on the centroid of a census block – to assess </w:t>
      </w:r>
      <w:r w:rsidR="00130476">
        <w:rPr>
          <w:rFonts w:ascii="Times New Roman" w:hAnsi="Times New Roman" w:cs="Times New Roman"/>
          <w:sz w:val="24"/>
          <w:szCs w:val="24"/>
        </w:rPr>
        <w:t xml:space="preserve">coverage to determine </w:t>
      </w:r>
      <w:r>
        <w:rPr>
          <w:rFonts w:ascii="Times New Roman" w:hAnsi="Times New Roman" w:cs="Times New Roman"/>
          <w:sz w:val="24"/>
          <w:szCs w:val="24"/>
        </w:rPr>
        <w:t xml:space="preserve">eligibility for </w:t>
      </w:r>
      <w:r w:rsidR="00B524E8">
        <w:rPr>
          <w:rFonts w:ascii="Times New Roman" w:hAnsi="Times New Roman" w:cs="Times New Roman"/>
          <w:sz w:val="24"/>
          <w:szCs w:val="24"/>
        </w:rPr>
        <w:t>MF-I</w:t>
      </w:r>
      <w:r>
        <w:rPr>
          <w:rFonts w:ascii="Times New Roman" w:hAnsi="Times New Roman" w:cs="Times New Roman"/>
          <w:sz w:val="24"/>
          <w:szCs w:val="24"/>
        </w:rPr>
        <w:t>.</w:t>
      </w:r>
      <w:r w:rsidRPr="0048710A">
        <w:rPr>
          <w:rFonts w:ascii="Times New Roman" w:hAnsi="Times New Roman" w:cs="Times New Roman"/>
          <w:sz w:val="24"/>
          <w:szCs w:val="24"/>
        </w:rPr>
        <w:t xml:space="preserve"> </w:t>
      </w:r>
      <w:r>
        <w:rPr>
          <w:rFonts w:ascii="Times New Roman" w:hAnsi="Times New Roman" w:cs="Times New Roman"/>
          <w:sz w:val="24"/>
          <w:szCs w:val="24"/>
        </w:rPr>
        <w:t xml:space="preserve"> This </w:t>
      </w:r>
      <w:r w:rsidRPr="0048710A">
        <w:rPr>
          <w:rFonts w:ascii="Times New Roman" w:hAnsi="Times New Roman" w:cs="Times New Roman"/>
          <w:sz w:val="24"/>
          <w:szCs w:val="24"/>
        </w:rPr>
        <w:t xml:space="preserve">method </w:t>
      </w:r>
      <w:r>
        <w:rPr>
          <w:rFonts w:ascii="Times New Roman" w:hAnsi="Times New Roman" w:cs="Times New Roman"/>
          <w:sz w:val="24"/>
          <w:szCs w:val="24"/>
        </w:rPr>
        <w:t>consider</w:t>
      </w:r>
      <w:r w:rsidR="00F56E16">
        <w:rPr>
          <w:rFonts w:ascii="Times New Roman" w:hAnsi="Times New Roman" w:cs="Times New Roman"/>
          <w:sz w:val="24"/>
          <w:szCs w:val="24"/>
        </w:rPr>
        <w:t>ed</w:t>
      </w:r>
      <w:r>
        <w:rPr>
          <w:rFonts w:ascii="Times New Roman" w:hAnsi="Times New Roman" w:cs="Times New Roman"/>
          <w:sz w:val="24"/>
          <w:szCs w:val="24"/>
        </w:rPr>
        <w:t xml:space="preserve"> </w:t>
      </w:r>
      <w:r w:rsidRPr="0048710A">
        <w:rPr>
          <w:rFonts w:ascii="Times New Roman" w:hAnsi="Times New Roman" w:cs="Times New Roman"/>
          <w:sz w:val="24"/>
          <w:szCs w:val="24"/>
        </w:rPr>
        <w:t>a census block as covered if the center point (the “centroid”</w:t>
      </w:r>
      <w:r w:rsidR="0036348B">
        <w:rPr>
          <w:rFonts w:ascii="Times New Roman" w:hAnsi="Times New Roman" w:cs="Times New Roman"/>
          <w:sz w:val="24"/>
          <w:szCs w:val="24"/>
        </w:rPr>
        <w:t xml:space="preserve"> as it is commonly called, or “internal points” in Census Bureau terminology</w:t>
      </w:r>
      <w:r w:rsidRPr="0048710A">
        <w:rPr>
          <w:rFonts w:ascii="Times New Roman" w:hAnsi="Times New Roman" w:cs="Times New Roman"/>
          <w:sz w:val="24"/>
          <w:szCs w:val="24"/>
        </w:rPr>
        <w:t>) of the census block</w:t>
      </w:r>
      <w:r w:rsidR="00A31C1B">
        <w:rPr>
          <w:rFonts w:ascii="Times New Roman" w:hAnsi="Times New Roman" w:cs="Times New Roman"/>
          <w:sz w:val="24"/>
          <w:szCs w:val="24"/>
        </w:rPr>
        <w:t>, as published by the Census Bureau,</w:t>
      </w:r>
      <w:r w:rsidR="00A31C1B" w:rsidRPr="0048710A">
        <w:rPr>
          <w:rFonts w:ascii="Times New Roman" w:hAnsi="Times New Roman" w:cs="Times New Roman"/>
          <w:sz w:val="24"/>
          <w:szCs w:val="24"/>
        </w:rPr>
        <w:t xml:space="preserve"> </w:t>
      </w:r>
      <w:r w:rsidR="00A31C1B">
        <w:rPr>
          <w:rFonts w:ascii="Times New Roman" w:hAnsi="Times New Roman" w:cs="Times New Roman"/>
          <w:sz w:val="24"/>
          <w:szCs w:val="24"/>
        </w:rPr>
        <w:t>l</w:t>
      </w:r>
      <w:r w:rsidRPr="0048710A">
        <w:rPr>
          <w:rFonts w:ascii="Times New Roman" w:hAnsi="Times New Roman" w:cs="Times New Roman"/>
          <w:sz w:val="24"/>
          <w:szCs w:val="24"/>
        </w:rPr>
        <w:t>i</w:t>
      </w:r>
      <w:r w:rsidR="00A31C1B">
        <w:rPr>
          <w:rFonts w:ascii="Times New Roman" w:hAnsi="Times New Roman" w:cs="Times New Roman"/>
          <w:sz w:val="24"/>
          <w:szCs w:val="24"/>
        </w:rPr>
        <w:t>e</w:t>
      </w:r>
      <w:r w:rsidRPr="0048710A">
        <w:rPr>
          <w:rFonts w:ascii="Times New Roman" w:hAnsi="Times New Roman" w:cs="Times New Roman"/>
          <w:sz w:val="24"/>
          <w:szCs w:val="24"/>
        </w:rPr>
        <w:t>s within the coverage polygon.</w:t>
      </w:r>
      <w:r>
        <w:rPr>
          <w:rStyle w:val="FootnoteReference"/>
          <w:rFonts w:cs="Times New Roman"/>
          <w:szCs w:val="24"/>
        </w:rPr>
        <w:footnoteReference w:id="33"/>
      </w:r>
      <w:r w:rsidRPr="0048710A">
        <w:rPr>
          <w:rFonts w:ascii="Times New Roman" w:hAnsi="Times New Roman" w:cs="Times New Roman"/>
          <w:sz w:val="24"/>
          <w:szCs w:val="24"/>
        </w:rPr>
        <w:t xml:space="preserve">  If a centroid is covered, then all of the </w:t>
      </w:r>
      <w:r>
        <w:rPr>
          <w:rFonts w:ascii="Times New Roman" w:hAnsi="Times New Roman" w:cs="Times New Roman"/>
          <w:sz w:val="24"/>
          <w:szCs w:val="24"/>
        </w:rPr>
        <w:t xml:space="preserve">land area, </w:t>
      </w:r>
      <w:r w:rsidRPr="0048710A">
        <w:rPr>
          <w:rFonts w:ascii="Times New Roman" w:hAnsi="Times New Roman" w:cs="Times New Roman"/>
          <w:sz w:val="24"/>
          <w:szCs w:val="24"/>
        </w:rPr>
        <w:t xml:space="preserve">population and </w:t>
      </w:r>
      <w:r>
        <w:rPr>
          <w:rFonts w:ascii="Times New Roman" w:hAnsi="Times New Roman" w:cs="Times New Roman"/>
          <w:sz w:val="24"/>
          <w:szCs w:val="24"/>
        </w:rPr>
        <w:t>road</w:t>
      </w:r>
      <w:r w:rsidR="002A5408">
        <w:rPr>
          <w:rFonts w:ascii="Times New Roman" w:hAnsi="Times New Roman" w:cs="Times New Roman"/>
          <w:sz w:val="24"/>
          <w:szCs w:val="24"/>
        </w:rPr>
        <w:t xml:space="preserve"> </w:t>
      </w:r>
      <w:r>
        <w:rPr>
          <w:rFonts w:ascii="Times New Roman" w:hAnsi="Times New Roman" w:cs="Times New Roman"/>
          <w:sz w:val="24"/>
          <w:szCs w:val="24"/>
        </w:rPr>
        <w:t xml:space="preserve">miles </w:t>
      </w:r>
      <w:r w:rsidRPr="0048710A">
        <w:rPr>
          <w:rFonts w:ascii="Times New Roman" w:hAnsi="Times New Roman" w:cs="Times New Roman"/>
          <w:sz w:val="24"/>
          <w:szCs w:val="24"/>
        </w:rPr>
        <w:t xml:space="preserve">in the corresponding census block </w:t>
      </w:r>
      <w:r>
        <w:rPr>
          <w:rFonts w:ascii="Times New Roman" w:hAnsi="Times New Roman" w:cs="Times New Roman"/>
          <w:sz w:val="24"/>
          <w:szCs w:val="24"/>
        </w:rPr>
        <w:t>are</w:t>
      </w:r>
      <w:r w:rsidRPr="0048710A">
        <w:rPr>
          <w:rFonts w:ascii="Times New Roman" w:hAnsi="Times New Roman" w:cs="Times New Roman"/>
          <w:sz w:val="24"/>
          <w:szCs w:val="24"/>
        </w:rPr>
        <w:t xml:space="preserve"> also coded as covered. </w:t>
      </w:r>
      <w:r>
        <w:rPr>
          <w:rFonts w:ascii="Times New Roman" w:hAnsi="Times New Roman" w:cs="Times New Roman"/>
          <w:sz w:val="24"/>
          <w:szCs w:val="24"/>
        </w:rPr>
        <w:t>T</w:t>
      </w:r>
      <w:r w:rsidRPr="0048710A">
        <w:rPr>
          <w:rFonts w:ascii="Times New Roman" w:hAnsi="Times New Roman" w:cs="Times New Roman"/>
          <w:sz w:val="24"/>
          <w:szCs w:val="24"/>
        </w:rPr>
        <w:t>his methodology has s</w:t>
      </w:r>
      <w:r>
        <w:rPr>
          <w:rFonts w:ascii="Times New Roman" w:hAnsi="Times New Roman" w:cs="Times New Roman"/>
          <w:sz w:val="24"/>
          <w:szCs w:val="24"/>
        </w:rPr>
        <w:t>ome</w:t>
      </w:r>
      <w:r w:rsidRPr="0048710A">
        <w:rPr>
          <w:rFonts w:ascii="Times New Roman" w:hAnsi="Times New Roman" w:cs="Times New Roman"/>
          <w:sz w:val="24"/>
          <w:szCs w:val="24"/>
        </w:rPr>
        <w:t xml:space="preserve"> limitations</w:t>
      </w:r>
      <w:r>
        <w:rPr>
          <w:rFonts w:ascii="Times New Roman" w:hAnsi="Times New Roman" w:cs="Times New Roman"/>
          <w:sz w:val="24"/>
          <w:szCs w:val="24"/>
        </w:rPr>
        <w:t xml:space="preserve">. </w:t>
      </w:r>
    </w:p>
    <w:p w14:paraId="27FBF84C" w14:textId="1EE1DA44" w:rsidR="00F42C5F" w:rsidRDefault="005854CA" w:rsidP="00702196">
      <w:pPr>
        <w:pStyle w:val="ListParagraph"/>
        <w:numPr>
          <w:ilvl w:val="0"/>
          <w:numId w:val="16"/>
        </w:numPr>
        <w:spacing w:line="360" w:lineRule="auto"/>
        <w:ind w:hanging="450"/>
        <w:contextualSpacing w:val="0"/>
        <w:rPr>
          <w:rFonts w:ascii="Times New Roman" w:hAnsi="Times New Roman" w:cs="Times New Roman"/>
          <w:sz w:val="24"/>
          <w:szCs w:val="24"/>
        </w:rPr>
      </w:pPr>
      <w:r>
        <w:rPr>
          <w:rFonts w:ascii="Times New Roman" w:hAnsi="Times New Roman" w:cs="Times New Roman"/>
          <w:sz w:val="24"/>
          <w:szCs w:val="24"/>
        </w:rPr>
        <w:t>Importantly</w:t>
      </w:r>
      <w:r w:rsidRPr="003D035F">
        <w:rPr>
          <w:rFonts w:ascii="Times New Roman" w:hAnsi="Times New Roman" w:cs="Times New Roman"/>
          <w:sz w:val="24"/>
          <w:szCs w:val="24"/>
        </w:rPr>
        <w:t>, the centroid method is an approximation of coverage</w:t>
      </w:r>
      <w:r w:rsidR="00E1417A">
        <w:rPr>
          <w:rFonts w:ascii="Times New Roman" w:hAnsi="Times New Roman" w:cs="Times New Roman"/>
          <w:sz w:val="24"/>
          <w:szCs w:val="24"/>
        </w:rPr>
        <w:t xml:space="preserve"> based on a single geographic point in each census block</w:t>
      </w:r>
      <w:r>
        <w:rPr>
          <w:rFonts w:ascii="Times New Roman" w:hAnsi="Times New Roman" w:cs="Times New Roman"/>
          <w:sz w:val="24"/>
          <w:szCs w:val="24"/>
        </w:rPr>
        <w:t>, whereas the approach taken here reflects actual coverage</w:t>
      </w:r>
      <w:r w:rsidRPr="003D035F">
        <w:rPr>
          <w:rFonts w:ascii="Times New Roman" w:hAnsi="Times New Roman" w:cs="Times New Roman"/>
          <w:sz w:val="24"/>
          <w:szCs w:val="24"/>
        </w:rPr>
        <w:t xml:space="preserve">. </w:t>
      </w:r>
      <w:r>
        <w:rPr>
          <w:rFonts w:ascii="Times New Roman" w:hAnsi="Times New Roman" w:cs="Times New Roman"/>
          <w:sz w:val="24"/>
          <w:szCs w:val="24"/>
        </w:rPr>
        <w:t xml:space="preserve"> </w:t>
      </w:r>
      <w:r w:rsidR="00EB1C1E" w:rsidRPr="003D035F">
        <w:rPr>
          <w:rFonts w:ascii="Times New Roman" w:hAnsi="Times New Roman" w:cs="Times New Roman"/>
          <w:sz w:val="24"/>
          <w:szCs w:val="24"/>
        </w:rPr>
        <w:t>As noted in several Mobile Wireless Competition Reports, th</w:t>
      </w:r>
      <w:r w:rsidR="002A5408">
        <w:rPr>
          <w:rFonts w:ascii="Times New Roman" w:hAnsi="Times New Roman" w:cs="Times New Roman"/>
          <w:sz w:val="24"/>
          <w:szCs w:val="24"/>
        </w:rPr>
        <w:t>e centroid</w:t>
      </w:r>
      <w:r w:rsidR="00EB1C1E" w:rsidRPr="003D035F">
        <w:rPr>
          <w:rFonts w:ascii="Times New Roman" w:hAnsi="Times New Roman" w:cs="Times New Roman"/>
          <w:sz w:val="24"/>
          <w:szCs w:val="24"/>
        </w:rPr>
        <w:t xml:space="preserve"> methodology has the potential to overstate coverage in certain blocks,</w:t>
      </w:r>
      <w:r w:rsidR="00EB1C1E" w:rsidRPr="003D035F">
        <w:rPr>
          <w:rFonts w:ascii="Times New Roman" w:hAnsi="Times New Roman" w:cs="Times New Roman"/>
          <w:sz w:val="24"/>
          <w:szCs w:val="24"/>
          <w:vertAlign w:val="superscript"/>
        </w:rPr>
        <w:footnoteReference w:id="34"/>
      </w:r>
      <w:r w:rsidR="00EB1C1E" w:rsidRPr="003D035F">
        <w:rPr>
          <w:rFonts w:ascii="Times New Roman" w:hAnsi="Times New Roman" w:cs="Times New Roman"/>
          <w:sz w:val="24"/>
          <w:szCs w:val="24"/>
        </w:rPr>
        <w:t xml:space="preserve"> especially in large or irregularly shaped blocks. </w:t>
      </w:r>
      <w:r w:rsidR="005B23B7">
        <w:rPr>
          <w:rFonts w:ascii="Times New Roman" w:hAnsi="Times New Roman" w:cs="Times New Roman"/>
          <w:sz w:val="24"/>
          <w:szCs w:val="24"/>
        </w:rPr>
        <w:t>[</w:t>
      </w:r>
      <w:r w:rsidR="005B23B7" w:rsidRPr="003D035F">
        <w:rPr>
          <w:rFonts w:ascii="Times New Roman" w:hAnsi="Times New Roman" w:cs="Times New Roman"/>
          <w:sz w:val="24"/>
          <w:szCs w:val="24"/>
        </w:rPr>
        <w:t xml:space="preserve">On the other hand, it may undercount coverage for other blocks, </w:t>
      </w:r>
      <w:r w:rsidR="007A32E8">
        <w:rPr>
          <w:rFonts w:ascii="Times New Roman" w:hAnsi="Times New Roman" w:cs="Times New Roman"/>
          <w:sz w:val="24"/>
          <w:szCs w:val="24"/>
        </w:rPr>
        <w:t xml:space="preserve">that is, </w:t>
      </w:r>
      <w:r w:rsidR="005B23B7" w:rsidRPr="003D035F">
        <w:rPr>
          <w:rFonts w:ascii="Times New Roman" w:hAnsi="Times New Roman" w:cs="Times New Roman"/>
          <w:sz w:val="24"/>
          <w:szCs w:val="24"/>
        </w:rPr>
        <w:t xml:space="preserve">blocks that have a partial area coverage </w:t>
      </w:r>
      <w:r w:rsidR="007A32E8">
        <w:rPr>
          <w:rFonts w:ascii="Times New Roman" w:hAnsi="Times New Roman" w:cs="Times New Roman"/>
          <w:sz w:val="24"/>
          <w:szCs w:val="24"/>
        </w:rPr>
        <w:t xml:space="preserve">that does not happen to include </w:t>
      </w:r>
      <w:r w:rsidR="005B23B7" w:rsidRPr="003D035F">
        <w:rPr>
          <w:rFonts w:ascii="Times New Roman" w:hAnsi="Times New Roman" w:cs="Times New Roman"/>
          <w:sz w:val="24"/>
          <w:szCs w:val="24"/>
        </w:rPr>
        <w:t>the centroid of the block.</w:t>
      </w:r>
      <w:r w:rsidR="005B23B7">
        <w:rPr>
          <w:rFonts w:ascii="Times New Roman" w:hAnsi="Times New Roman" w:cs="Times New Roman"/>
          <w:sz w:val="24"/>
          <w:szCs w:val="24"/>
        </w:rPr>
        <w:t>]</w:t>
      </w:r>
      <w:r w:rsidR="005B23B7" w:rsidRPr="003D035F">
        <w:rPr>
          <w:rFonts w:ascii="Times New Roman" w:hAnsi="Times New Roman" w:cs="Times New Roman"/>
          <w:sz w:val="24"/>
          <w:szCs w:val="24"/>
        </w:rPr>
        <w:t xml:space="preserve"> </w:t>
      </w:r>
      <w:r w:rsidR="005B23B7">
        <w:rPr>
          <w:rFonts w:ascii="Times New Roman" w:hAnsi="Times New Roman" w:cs="Times New Roman"/>
          <w:sz w:val="24"/>
          <w:szCs w:val="24"/>
        </w:rPr>
        <w:t xml:space="preserve"> </w:t>
      </w:r>
      <w:r w:rsidR="002A5408">
        <w:rPr>
          <w:rFonts w:ascii="Times New Roman" w:hAnsi="Times New Roman" w:cs="Times New Roman"/>
          <w:sz w:val="24"/>
          <w:szCs w:val="24"/>
        </w:rPr>
        <w:t xml:space="preserve">Such inaccuracies raise particular concerns where, as is the case for </w:t>
      </w:r>
      <w:r w:rsidR="00B524E8">
        <w:rPr>
          <w:rFonts w:ascii="Times New Roman" w:hAnsi="Times New Roman" w:cs="Times New Roman"/>
          <w:sz w:val="24"/>
          <w:szCs w:val="24"/>
        </w:rPr>
        <w:t>MF-II</w:t>
      </w:r>
      <w:r w:rsidR="002A5408">
        <w:rPr>
          <w:rFonts w:ascii="Times New Roman" w:hAnsi="Times New Roman" w:cs="Times New Roman"/>
          <w:sz w:val="24"/>
          <w:szCs w:val="24"/>
        </w:rPr>
        <w:t>, the Commission seeks to target support only to areas that need it and data accuracy, on a granular basis, is important.</w:t>
      </w:r>
      <w:r w:rsidR="00E1417A">
        <w:rPr>
          <w:rFonts w:ascii="Times New Roman" w:hAnsi="Times New Roman" w:cs="Times New Roman"/>
          <w:sz w:val="24"/>
          <w:szCs w:val="24"/>
        </w:rPr>
        <w:t xml:space="preserve">  </w:t>
      </w:r>
      <w:r w:rsidR="00FE0DE4">
        <w:rPr>
          <w:rFonts w:ascii="Times New Roman" w:hAnsi="Times New Roman" w:cs="Times New Roman"/>
          <w:sz w:val="24"/>
          <w:szCs w:val="24"/>
        </w:rPr>
        <w:t xml:space="preserve">Because it can identify specific areas </w:t>
      </w:r>
      <w:r w:rsidR="00FE0DE4" w:rsidRPr="0075488D">
        <w:rPr>
          <w:rFonts w:ascii="Times New Roman" w:hAnsi="Times New Roman" w:cs="Times New Roman"/>
          <w:i/>
          <w:sz w:val="24"/>
          <w:szCs w:val="24"/>
        </w:rPr>
        <w:t>within</w:t>
      </w:r>
      <w:r w:rsidR="00FE0DE4">
        <w:rPr>
          <w:rFonts w:ascii="Times New Roman" w:hAnsi="Times New Roman" w:cs="Times New Roman"/>
          <w:sz w:val="24"/>
          <w:szCs w:val="24"/>
        </w:rPr>
        <w:t xml:space="preserve"> each census block where 4G LTE coverage is absent, the </w:t>
      </w:r>
      <w:r w:rsidR="00E1417A">
        <w:rPr>
          <w:rFonts w:ascii="Times New Roman" w:hAnsi="Times New Roman" w:cs="Times New Roman"/>
          <w:sz w:val="24"/>
          <w:szCs w:val="24"/>
        </w:rPr>
        <w:t>ac</w:t>
      </w:r>
      <w:r w:rsidR="00FE0DE4">
        <w:rPr>
          <w:rFonts w:ascii="Times New Roman" w:hAnsi="Times New Roman" w:cs="Times New Roman"/>
          <w:sz w:val="24"/>
          <w:szCs w:val="24"/>
        </w:rPr>
        <w:t>tu</w:t>
      </w:r>
      <w:r w:rsidR="00E1417A">
        <w:rPr>
          <w:rFonts w:ascii="Times New Roman" w:hAnsi="Times New Roman" w:cs="Times New Roman"/>
          <w:sz w:val="24"/>
          <w:szCs w:val="24"/>
        </w:rPr>
        <w:t>al</w:t>
      </w:r>
      <w:r w:rsidR="00FE0DE4">
        <w:rPr>
          <w:rFonts w:ascii="Times New Roman" w:hAnsi="Times New Roman" w:cs="Times New Roman"/>
          <w:sz w:val="24"/>
          <w:szCs w:val="24"/>
        </w:rPr>
        <w:t xml:space="preserve"> area coverage approach is a </w:t>
      </w:r>
      <w:r w:rsidR="00986FC1">
        <w:rPr>
          <w:rFonts w:ascii="Times New Roman" w:hAnsi="Times New Roman" w:cs="Times New Roman"/>
          <w:sz w:val="24"/>
          <w:szCs w:val="24"/>
        </w:rPr>
        <w:t xml:space="preserve">significant improvement over the centroid method </w:t>
      </w:r>
      <w:r w:rsidR="009F252E">
        <w:rPr>
          <w:rFonts w:ascii="Times New Roman" w:hAnsi="Times New Roman" w:cs="Times New Roman"/>
          <w:sz w:val="24"/>
          <w:szCs w:val="24"/>
        </w:rPr>
        <w:t xml:space="preserve">in reaching our universal service goals.  It is a far </w:t>
      </w:r>
      <w:r w:rsidR="00986FC1">
        <w:rPr>
          <w:rFonts w:ascii="Times New Roman" w:hAnsi="Times New Roman" w:cs="Times New Roman"/>
          <w:sz w:val="24"/>
          <w:szCs w:val="24"/>
        </w:rPr>
        <w:t xml:space="preserve">more precise way to target our </w:t>
      </w:r>
      <w:r w:rsidR="00B524E8">
        <w:rPr>
          <w:rFonts w:ascii="Times New Roman" w:hAnsi="Times New Roman" w:cs="Times New Roman"/>
          <w:sz w:val="24"/>
          <w:szCs w:val="24"/>
        </w:rPr>
        <w:t>MF-II</w:t>
      </w:r>
      <w:r w:rsidR="00FE0DE4">
        <w:rPr>
          <w:rFonts w:ascii="Times New Roman" w:hAnsi="Times New Roman" w:cs="Times New Roman"/>
          <w:sz w:val="24"/>
          <w:szCs w:val="24"/>
        </w:rPr>
        <w:t xml:space="preserve"> </w:t>
      </w:r>
      <w:r w:rsidR="00986FC1">
        <w:rPr>
          <w:rFonts w:ascii="Times New Roman" w:hAnsi="Times New Roman" w:cs="Times New Roman"/>
          <w:sz w:val="24"/>
          <w:szCs w:val="24"/>
        </w:rPr>
        <w:t>budget</w:t>
      </w:r>
      <w:r w:rsidR="00FE0DE4">
        <w:rPr>
          <w:rFonts w:ascii="Times New Roman" w:hAnsi="Times New Roman" w:cs="Times New Roman"/>
          <w:sz w:val="24"/>
          <w:szCs w:val="24"/>
        </w:rPr>
        <w:t>,</w:t>
      </w:r>
      <w:r w:rsidR="00986FC1">
        <w:rPr>
          <w:rFonts w:ascii="Times New Roman" w:hAnsi="Times New Roman" w:cs="Times New Roman"/>
          <w:sz w:val="24"/>
          <w:szCs w:val="24"/>
        </w:rPr>
        <w:t xml:space="preserve"> even though </w:t>
      </w:r>
      <w:r w:rsidR="009F252E">
        <w:rPr>
          <w:rFonts w:ascii="Times New Roman" w:hAnsi="Times New Roman" w:cs="Times New Roman"/>
          <w:sz w:val="24"/>
          <w:szCs w:val="24"/>
        </w:rPr>
        <w:t>we currently approximate the unserved road miles and population in those unserved areas.</w:t>
      </w:r>
      <w:r w:rsidR="00D42D11">
        <w:rPr>
          <w:rFonts w:ascii="Times New Roman" w:hAnsi="Times New Roman" w:cs="Times New Roman"/>
          <w:sz w:val="24"/>
          <w:szCs w:val="24"/>
        </w:rPr>
        <w:t xml:space="preserve">  </w:t>
      </w:r>
    </w:p>
    <w:p w14:paraId="246660CE" w14:textId="372ADE66" w:rsidR="00F42C5F" w:rsidRPr="00A14EAF" w:rsidRDefault="00F42C5F" w:rsidP="00702196">
      <w:pPr>
        <w:pStyle w:val="ListParagraph"/>
        <w:numPr>
          <w:ilvl w:val="0"/>
          <w:numId w:val="16"/>
        </w:numPr>
        <w:spacing w:line="360" w:lineRule="auto"/>
        <w:ind w:hanging="450"/>
        <w:contextualSpacing w:val="0"/>
        <w:rPr>
          <w:rFonts w:ascii="Times New Roman" w:hAnsi="Times New Roman" w:cs="Times New Roman"/>
          <w:sz w:val="24"/>
          <w:szCs w:val="24"/>
        </w:rPr>
        <w:sectPr w:rsidR="00F42C5F" w:rsidRPr="00A14EAF" w:rsidSect="00FB40CF">
          <w:footerReference w:type="default" r:id="rId15"/>
          <w:pgSz w:w="12240" w:h="15840"/>
          <w:pgMar w:top="720" w:right="1008" w:bottom="720" w:left="1008" w:header="720" w:footer="720" w:gutter="0"/>
          <w:pgNumType w:start="1"/>
          <w:cols w:space="720"/>
          <w:docGrid w:linePitch="360"/>
        </w:sectPr>
      </w:pPr>
      <w:r w:rsidRPr="007A32E8">
        <w:rPr>
          <w:rFonts w:ascii="Times New Roman" w:hAnsi="Times New Roman" w:cs="Times New Roman"/>
          <w:sz w:val="24"/>
          <w:szCs w:val="24"/>
        </w:rPr>
        <w:t>Tables 2</w:t>
      </w:r>
      <w:r w:rsidR="007338EF" w:rsidRPr="007A32E8">
        <w:rPr>
          <w:rFonts w:ascii="Times New Roman" w:hAnsi="Times New Roman" w:cs="Times New Roman"/>
          <w:sz w:val="24"/>
          <w:szCs w:val="24"/>
        </w:rPr>
        <w:t>a</w:t>
      </w:r>
      <w:r w:rsidRPr="007A32E8">
        <w:rPr>
          <w:rFonts w:ascii="Times New Roman" w:hAnsi="Times New Roman" w:cs="Times New Roman"/>
          <w:sz w:val="24"/>
          <w:szCs w:val="24"/>
        </w:rPr>
        <w:t xml:space="preserve"> and 2b</w:t>
      </w:r>
      <w:r w:rsidRPr="00B70598">
        <w:rPr>
          <w:rFonts w:ascii="Times New Roman" w:hAnsi="Times New Roman" w:cs="Times New Roman"/>
          <w:sz w:val="24"/>
          <w:szCs w:val="24"/>
        </w:rPr>
        <w:t xml:space="preserve"> include some metrics based on this analysis of LTE coverage for the US, excluding Alaska.</w:t>
      </w:r>
      <w:r w:rsidR="007A32E8">
        <w:rPr>
          <w:rFonts w:ascii="Times New Roman" w:hAnsi="Times New Roman" w:cs="Times New Roman"/>
          <w:sz w:val="24"/>
          <w:szCs w:val="24"/>
        </w:rPr>
        <w:t xml:space="preserve">  </w:t>
      </w:r>
      <w:r w:rsidRPr="007A32E8">
        <w:rPr>
          <w:rFonts w:ascii="Times New Roman" w:hAnsi="Times New Roman" w:cs="Times New Roman"/>
          <w:sz w:val="24"/>
          <w:szCs w:val="24"/>
        </w:rPr>
        <w:t xml:space="preserve">Table </w:t>
      </w:r>
      <w:r w:rsidRPr="00B70598">
        <w:rPr>
          <w:rFonts w:ascii="Times New Roman" w:hAnsi="Times New Roman" w:cs="Times New Roman"/>
          <w:sz w:val="24"/>
          <w:szCs w:val="24"/>
        </w:rPr>
        <w:t>2a</w:t>
      </w:r>
      <w:r w:rsidRPr="00A14EAF">
        <w:rPr>
          <w:rFonts w:ascii="Times New Roman" w:hAnsi="Times New Roman" w:cs="Times New Roman"/>
          <w:sz w:val="24"/>
          <w:szCs w:val="24"/>
        </w:rPr>
        <w:t xml:space="preserve"> presents data on the extent of LTE coverage</w:t>
      </w:r>
      <w:r w:rsidR="00241FBF">
        <w:rPr>
          <w:rFonts w:ascii="Times New Roman" w:hAnsi="Times New Roman" w:cs="Times New Roman"/>
          <w:sz w:val="24"/>
          <w:szCs w:val="24"/>
        </w:rPr>
        <w:t xml:space="preserve"> in those areas.</w:t>
      </w:r>
      <w:r w:rsidRPr="00A14EAF">
        <w:rPr>
          <w:rFonts w:ascii="Times New Roman" w:hAnsi="Times New Roman" w:cs="Times New Roman"/>
          <w:sz w:val="24"/>
          <w:szCs w:val="24"/>
        </w:rPr>
        <w:t xml:space="preserve"> </w:t>
      </w:r>
      <w:r w:rsidR="00B02388">
        <w:rPr>
          <w:rFonts w:ascii="Times New Roman" w:hAnsi="Times New Roman" w:cs="Times New Roman"/>
          <w:sz w:val="24"/>
          <w:szCs w:val="24"/>
        </w:rPr>
        <w:t xml:space="preserve"> These figures are current best estimates and are subject to revision as updated data are available. For instance, p</w:t>
      </w:r>
      <w:r w:rsidR="00156B8B">
        <w:rPr>
          <w:rFonts w:ascii="Times New Roman" w:hAnsi="Times New Roman" w:cs="Times New Roman"/>
          <w:sz w:val="24"/>
          <w:szCs w:val="24"/>
        </w:rPr>
        <w:t>opulation and road</w:t>
      </w:r>
      <w:r w:rsidR="00530A55">
        <w:rPr>
          <w:rFonts w:ascii="Times New Roman" w:hAnsi="Times New Roman" w:cs="Times New Roman"/>
          <w:sz w:val="24"/>
          <w:szCs w:val="24"/>
        </w:rPr>
        <w:t xml:space="preserve"> </w:t>
      </w:r>
      <w:r w:rsidR="00156B8B">
        <w:rPr>
          <w:rFonts w:ascii="Times New Roman" w:hAnsi="Times New Roman" w:cs="Times New Roman"/>
          <w:sz w:val="24"/>
          <w:szCs w:val="24"/>
        </w:rPr>
        <w:t>miles figures are based on uniformly distributing 2010 census population and road</w:t>
      </w:r>
      <w:r w:rsidR="00530A55">
        <w:rPr>
          <w:rFonts w:ascii="Times New Roman" w:hAnsi="Times New Roman" w:cs="Times New Roman"/>
          <w:sz w:val="24"/>
          <w:szCs w:val="24"/>
        </w:rPr>
        <w:t xml:space="preserve"> </w:t>
      </w:r>
      <w:r w:rsidR="00156B8B">
        <w:rPr>
          <w:rFonts w:ascii="Times New Roman" w:hAnsi="Times New Roman" w:cs="Times New Roman"/>
          <w:sz w:val="24"/>
          <w:szCs w:val="24"/>
        </w:rPr>
        <w:t xml:space="preserve">miles within </w:t>
      </w:r>
      <w:r w:rsidR="00B02388">
        <w:rPr>
          <w:rFonts w:ascii="Times New Roman" w:hAnsi="Times New Roman" w:cs="Times New Roman"/>
          <w:sz w:val="24"/>
          <w:szCs w:val="24"/>
        </w:rPr>
        <w:t>each</w:t>
      </w:r>
      <w:r w:rsidR="00156B8B">
        <w:rPr>
          <w:rFonts w:ascii="Times New Roman" w:hAnsi="Times New Roman" w:cs="Times New Roman"/>
          <w:sz w:val="24"/>
          <w:szCs w:val="24"/>
        </w:rPr>
        <w:t xml:space="preserve"> census block and not on actual distributions of population and roads in </w:t>
      </w:r>
      <w:r w:rsidR="00B02388">
        <w:rPr>
          <w:rFonts w:ascii="Times New Roman" w:hAnsi="Times New Roman" w:cs="Times New Roman"/>
          <w:sz w:val="24"/>
          <w:szCs w:val="24"/>
        </w:rPr>
        <w:t xml:space="preserve">a </w:t>
      </w:r>
      <w:r w:rsidR="00156B8B">
        <w:rPr>
          <w:rFonts w:ascii="Times New Roman" w:hAnsi="Times New Roman" w:cs="Times New Roman"/>
          <w:sz w:val="24"/>
          <w:szCs w:val="24"/>
        </w:rPr>
        <w:t xml:space="preserve">block. </w:t>
      </w:r>
      <w:r w:rsidRPr="00A14EAF">
        <w:rPr>
          <w:rFonts w:ascii="Times New Roman" w:hAnsi="Times New Roman" w:cs="Times New Roman"/>
          <w:sz w:val="24"/>
          <w:szCs w:val="24"/>
        </w:rPr>
        <w:t>The specific percentages shown represent the percentage that a particular number comprises of the total in the first row of that particular column.  For instance, 67.8% of road-miles uncovered by LTE are in census blocks with partial LTE coverage.</w:t>
      </w:r>
      <w:r w:rsidR="007A32E8" w:rsidRPr="00A14EAF">
        <w:rPr>
          <w:rFonts w:ascii="Times New Roman" w:hAnsi="Times New Roman" w:cs="Times New Roman"/>
          <w:sz w:val="24"/>
          <w:szCs w:val="24"/>
        </w:rPr>
        <w:t xml:space="preserve">  </w:t>
      </w:r>
      <w:r w:rsidRPr="007A32E8">
        <w:rPr>
          <w:rFonts w:ascii="Times New Roman" w:hAnsi="Times New Roman" w:cs="Times New Roman"/>
          <w:sz w:val="24"/>
          <w:szCs w:val="24"/>
        </w:rPr>
        <w:t>Table 2b</w:t>
      </w:r>
      <w:r w:rsidRPr="00B70598">
        <w:rPr>
          <w:rFonts w:ascii="Times New Roman" w:hAnsi="Times New Roman" w:cs="Times New Roman"/>
          <w:sz w:val="24"/>
          <w:szCs w:val="24"/>
        </w:rPr>
        <w:t xml:space="preserve"> mirrors Table 2a and presents data on the extent of LTE coverage</w:t>
      </w:r>
      <w:r w:rsidRPr="00A14EAF">
        <w:rPr>
          <w:rFonts w:ascii="Times New Roman" w:hAnsi="Times New Roman" w:cs="Times New Roman"/>
          <w:sz w:val="24"/>
          <w:szCs w:val="24"/>
        </w:rPr>
        <w:t xml:space="preserve"> for Tribal areas</w:t>
      </w:r>
      <w:r>
        <w:rPr>
          <w:rStyle w:val="FootnoteReference"/>
          <w:rFonts w:cs="Times New Roman"/>
          <w:szCs w:val="24"/>
        </w:rPr>
        <w:footnoteReference w:id="35"/>
      </w:r>
      <w:r w:rsidRPr="007A32E8">
        <w:rPr>
          <w:rFonts w:ascii="Times New Roman" w:hAnsi="Times New Roman" w:cs="Times New Roman"/>
          <w:sz w:val="24"/>
          <w:szCs w:val="24"/>
        </w:rPr>
        <w:t xml:space="preserve"> excluding Alaska.  </w:t>
      </w:r>
      <w:r w:rsidR="007A32E8" w:rsidRPr="007A32E8">
        <w:rPr>
          <w:rFonts w:ascii="Times New Roman" w:hAnsi="Times New Roman" w:cs="Times New Roman"/>
          <w:sz w:val="24"/>
          <w:szCs w:val="24"/>
        </w:rPr>
        <w:t>Again, t</w:t>
      </w:r>
      <w:r w:rsidRPr="00B70598">
        <w:rPr>
          <w:rFonts w:ascii="Times New Roman" w:hAnsi="Times New Roman" w:cs="Times New Roman"/>
          <w:sz w:val="24"/>
          <w:szCs w:val="24"/>
        </w:rPr>
        <w:t>he specific percentages shown represent the percentage that a parti</w:t>
      </w:r>
      <w:r w:rsidRPr="00A14EAF">
        <w:rPr>
          <w:rFonts w:ascii="Times New Roman" w:hAnsi="Times New Roman" w:cs="Times New Roman"/>
          <w:sz w:val="24"/>
          <w:szCs w:val="24"/>
        </w:rPr>
        <w:t>cular number comprises of the total in the first row of that particular column. For instance, 52.8% of road-miles uncovered by LTE are in census blocks with partial LTE coverage.</w:t>
      </w:r>
    </w:p>
    <w:p w14:paraId="2D6A4EEA" w14:textId="77777777" w:rsidR="00F42C5F" w:rsidRPr="00E4790D" w:rsidRDefault="00F42C5F" w:rsidP="007627A0">
      <w:pPr>
        <w:pStyle w:val="ListParagraph"/>
        <w:keepLines/>
        <w:spacing w:line="240" w:lineRule="auto"/>
        <w:ind w:left="0"/>
        <w:contextualSpacing w:val="0"/>
        <w:jc w:val="center"/>
        <w:rPr>
          <w:rFonts w:ascii="Times New Roman" w:hAnsi="Times New Roman" w:cs="Times New Roman"/>
          <w:b/>
          <w:sz w:val="24"/>
          <w:szCs w:val="24"/>
          <w:u w:val="single"/>
        </w:rPr>
      </w:pPr>
      <w:r w:rsidRPr="00E4790D">
        <w:rPr>
          <w:rFonts w:ascii="Times New Roman" w:hAnsi="Times New Roman" w:cs="Times New Roman"/>
          <w:b/>
          <w:sz w:val="24"/>
          <w:szCs w:val="24"/>
          <w:u w:val="single"/>
        </w:rPr>
        <w:t>Table 2a</w:t>
      </w:r>
    </w:p>
    <w:p w14:paraId="6A484594" w14:textId="5E258AE8" w:rsidR="00F42C5F" w:rsidRPr="00744C36" w:rsidRDefault="00F42C5F" w:rsidP="00744C36">
      <w:pPr>
        <w:pStyle w:val="ListParagraph"/>
        <w:keepLines/>
        <w:spacing w:after="240" w:line="240" w:lineRule="auto"/>
        <w:ind w:left="0"/>
        <w:contextualSpacing w:val="0"/>
        <w:jc w:val="center"/>
        <w:rPr>
          <w:rFonts w:ascii="Times New Roman" w:hAnsi="Times New Roman" w:cs="Times New Roman"/>
          <w:b/>
          <w:sz w:val="24"/>
          <w:szCs w:val="24"/>
          <w:u w:val="single"/>
        </w:rPr>
      </w:pPr>
      <w:r w:rsidRPr="00E4790D">
        <w:rPr>
          <w:rFonts w:ascii="Times New Roman" w:hAnsi="Times New Roman" w:cs="Times New Roman"/>
          <w:b/>
          <w:sz w:val="24"/>
          <w:szCs w:val="24"/>
          <w:u w:val="single"/>
        </w:rPr>
        <w:t>US Coverage Analysis (</w:t>
      </w:r>
      <w:r w:rsidR="00241FBF">
        <w:rPr>
          <w:rFonts w:ascii="Times New Roman" w:hAnsi="Times New Roman" w:cs="Times New Roman"/>
          <w:b/>
          <w:sz w:val="24"/>
          <w:szCs w:val="24"/>
          <w:u w:val="single"/>
        </w:rPr>
        <w:t>Excluding</w:t>
      </w:r>
      <w:r w:rsidR="00241FBF" w:rsidRPr="00E4790D">
        <w:rPr>
          <w:rFonts w:ascii="Times New Roman" w:hAnsi="Times New Roman" w:cs="Times New Roman"/>
          <w:b/>
          <w:sz w:val="24"/>
          <w:szCs w:val="24"/>
          <w:u w:val="single"/>
        </w:rPr>
        <w:t xml:space="preserve"> </w:t>
      </w:r>
      <w:r w:rsidRPr="00E4790D">
        <w:rPr>
          <w:rFonts w:ascii="Times New Roman" w:hAnsi="Times New Roman" w:cs="Times New Roman"/>
          <w:b/>
          <w:sz w:val="24"/>
          <w:szCs w:val="24"/>
          <w:u w:val="single"/>
        </w:rPr>
        <w:t>Alaska): LTE Coverage</w:t>
      </w:r>
    </w:p>
    <w:tbl>
      <w:tblPr>
        <w:tblW w:w="14655" w:type="dxa"/>
        <w:tblLayout w:type="fixed"/>
        <w:tblLook w:val="04A0" w:firstRow="1" w:lastRow="0" w:firstColumn="1" w:lastColumn="0" w:noHBand="0" w:noVBand="1"/>
      </w:tblPr>
      <w:tblGrid>
        <w:gridCol w:w="255"/>
        <w:gridCol w:w="1250"/>
        <w:gridCol w:w="1270"/>
        <w:gridCol w:w="720"/>
        <w:gridCol w:w="1170"/>
        <w:gridCol w:w="1170"/>
        <w:gridCol w:w="1350"/>
        <w:gridCol w:w="1170"/>
        <w:gridCol w:w="1260"/>
        <w:gridCol w:w="1170"/>
        <w:gridCol w:w="1260"/>
        <w:gridCol w:w="1350"/>
        <w:gridCol w:w="1260"/>
      </w:tblGrid>
      <w:tr w:rsidR="00F42C5F" w:rsidRPr="00CF22A0" w14:paraId="41818DF7" w14:textId="77777777" w:rsidTr="00D87F40">
        <w:trPr>
          <w:trHeight w:val="885"/>
        </w:trPr>
        <w:tc>
          <w:tcPr>
            <w:tcW w:w="255" w:type="dxa"/>
            <w:tcBorders>
              <w:top w:val="double" w:sz="4" w:space="0" w:color="auto"/>
              <w:left w:val="double" w:sz="4" w:space="0" w:color="auto"/>
            </w:tcBorders>
            <w:shd w:val="clear" w:color="auto" w:fill="auto"/>
            <w:vAlign w:val="center"/>
            <w:hideMark/>
          </w:tcPr>
          <w:p w14:paraId="71A21C0C"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w:t>
            </w:r>
          </w:p>
        </w:tc>
        <w:tc>
          <w:tcPr>
            <w:tcW w:w="1250" w:type="dxa"/>
            <w:tcBorders>
              <w:top w:val="double" w:sz="4" w:space="0" w:color="auto"/>
              <w:right w:val="single" w:sz="4" w:space="0" w:color="auto"/>
            </w:tcBorders>
            <w:shd w:val="clear" w:color="auto" w:fill="auto"/>
            <w:noWrap/>
            <w:vAlign w:val="bottom"/>
            <w:hideMark/>
          </w:tcPr>
          <w:p w14:paraId="731AFE07"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p>
        </w:tc>
        <w:tc>
          <w:tcPr>
            <w:tcW w:w="1270" w:type="dxa"/>
            <w:vMerge w:val="restart"/>
            <w:tcBorders>
              <w:top w:val="double" w:sz="4" w:space="0" w:color="auto"/>
              <w:left w:val="single" w:sz="4" w:space="0" w:color="auto"/>
              <w:bottom w:val="nil"/>
              <w:right w:val="single" w:sz="4" w:space="0" w:color="auto"/>
            </w:tcBorders>
            <w:shd w:val="clear" w:color="000000" w:fill="E2EFDA"/>
            <w:vAlign w:val="center"/>
            <w:hideMark/>
          </w:tcPr>
          <w:p w14:paraId="6D90548B" w14:textId="77777777" w:rsidR="00F42C5F" w:rsidRPr="00CF22A0" w:rsidRDefault="00F42C5F" w:rsidP="00D87F40">
            <w:pPr>
              <w:spacing w:after="0" w:line="240" w:lineRule="auto"/>
              <w:jc w:val="center"/>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Blocks</w:t>
            </w:r>
          </w:p>
        </w:tc>
        <w:tc>
          <w:tcPr>
            <w:tcW w:w="720" w:type="dxa"/>
            <w:vMerge w:val="restart"/>
            <w:tcBorders>
              <w:top w:val="double" w:sz="4" w:space="0" w:color="auto"/>
              <w:left w:val="single" w:sz="4" w:space="0" w:color="auto"/>
              <w:bottom w:val="nil"/>
              <w:right w:val="single" w:sz="4" w:space="0" w:color="auto"/>
            </w:tcBorders>
            <w:shd w:val="clear" w:color="000000" w:fill="E2EFDA"/>
            <w:vAlign w:val="center"/>
            <w:hideMark/>
          </w:tcPr>
          <w:p w14:paraId="55083807" w14:textId="77777777" w:rsidR="00F42C5F" w:rsidRPr="00CF22A0" w:rsidRDefault="00F42C5F" w:rsidP="00D87F40">
            <w:pPr>
              <w:spacing w:after="0" w:line="240" w:lineRule="auto"/>
              <w:jc w:val="center"/>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Pop. Den</w:t>
            </w:r>
            <w:r>
              <w:rPr>
                <w:rFonts w:ascii="Times New Roman" w:eastAsia="Times New Roman" w:hAnsi="Times New Roman" w:cs="Times New Roman"/>
                <w:color w:val="000000"/>
                <w:sz w:val="22"/>
                <w:szCs w:val="22"/>
              </w:rPr>
              <w:t>-</w:t>
            </w:r>
            <w:r w:rsidRPr="00CF22A0">
              <w:rPr>
                <w:rFonts w:ascii="Times New Roman" w:eastAsia="Times New Roman" w:hAnsi="Times New Roman" w:cs="Times New Roman"/>
                <w:color w:val="000000"/>
                <w:sz w:val="22"/>
                <w:szCs w:val="22"/>
              </w:rPr>
              <w:t>sity</w:t>
            </w:r>
          </w:p>
        </w:tc>
        <w:tc>
          <w:tcPr>
            <w:tcW w:w="1170" w:type="dxa"/>
            <w:vMerge w:val="restart"/>
            <w:tcBorders>
              <w:top w:val="double" w:sz="4" w:space="0" w:color="auto"/>
              <w:left w:val="single" w:sz="4" w:space="0" w:color="auto"/>
              <w:bottom w:val="nil"/>
              <w:right w:val="single" w:sz="4" w:space="0" w:color="auto"/>
            </w:tcBorders>
            <w:shd w:val="clear" w:color="000000" w:fill="E2EFDA"/>
            <w:vAlign w:val="center"/>
            <w:hideMark/>
          </w:tcPr>
          <w:p w14:paraId="375A5529" w14:textId="2416D441" w:rsidR="00F42C5F" w:rsidRPr="00CF22A0" w:rsidRDefault="00F42C5F" w:rsidP="00D42D11">
            <w:pPr>
              <w:spacing w:after="0" w:line="240" w:lineRule="auto"/>
              <w:jc w:val="center"/>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Area</w:t>
            </w:r>
            <w:r w:rsidR="00D42D11">
              <w:rPr>
                <w:rFonts w:ascii="Times New Roman" w:eastAsia="Times New Roman" w:hAnsi="Times New Roman" w:cs="Times New Roman"/>
                <w:color w:val="000000"/>
                <w:sz w:val="22"/>
                <w:szCs w:val="22"/>
              </w:rPr>
              <w:br/>
            </w:r>
            <w:r w:rsidRPr="00CF22A0">
              <w:rPr>
                <w:rFonts w:ascii="Times New Roman" w:eastAsia="Times New Roman" w:hAnsi="Times New Roman" w:cs="Times New Roman"/>
                <w:color w:val="000000"/>
                <w:sz w:val="22"/>
                <w:szCs w:val="22"/>
              </w:rPr>
              <w:t>(sq mi)</w:t>
            </w:r>
          </w:p>
        </w:tc>
        <w:tc>
          <w:tcPr>
            <w:tcW w:w="1170" w:type="dxa"/>
            <w:vMerge w:val="restart"/>
            <w:tcBorders>
              <w:top w:val="double" w:sz="4" w:space="0" w:color="auto"/>
              <w:left w:val="single" w:sz="4" w:space="0" w:color="auto"/>
              <w:bottom w:val="nil"/>
              <w:right w:val="single" w:sz="4" w:space="0" w:color="auto"/>
            </w:tcBorders>
            <w:shd w:val="clear" w:color="000000" w:fill="E2EFDA"/>
            <w:vAlign w:val="center"/>
            <w:hideMark/>
          </w:tcPr>
          <w:p w14:paraId="1F81DFF6" w14:textId="77777777" w:rsidR="00F42C5F" w:rsidRPr="00CF22A0" w:rsidRDefault="00F42C5F" w:rsidP="00D87F40">
            <w:pPr>
              <w:spacing w:after="0" w:line="240" w:lineRule="auto"/>
              <w:jc w:val="center"/>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Road</w:t>
            </w:r>
            <w:r>
              <w:rPr>
                <w:rFonts w:ascii="Times New Roman" w:eastAsia="Times New Roman" w:hAnsi="Times New Roman" w:cs="Times New Roman"/>
                <w:color w:val="000000"/>
                <w:sz w:val="22"/>
                <w:szCs w:val="22"/>
              </w:rPr>
              <w:t xml:space="preserve"> M</w:t>
            </w:r>
            <w:r w:rsidRPr="00CF22A0">
              <w:rPr>
                <w:rFonts w:ascii="Times New Roman" w:eastAsia="Times New Roman" w:hAnsi="Times New Roman" w:cs="Times New Roman"/>
                <w:color w:val="000000"/>
                <w:sz w:val="22"/>
                <w:szCs w:val="22"/>
              </w:rPr>
              <w:t>iles</w:t>
            </w:r>
          </w:p>
        </w:tc>
        <w:tc>
          <w:tcPr>
            <w:tcW w:w="1350" w:type="dxa"/>
            <w:vMerge w:val="restart"/>
            <w:tcBorders>
              <w:top w:val="double" w:sz="4" w:space="0" w:color="auto"/>
              <w:left w:val="single" w:sz="4" w:space="0" w:color="auto"/>
              <w:bottom w:val="nil"/>
              <w:right w:val="single" w:sz="4" w:space="0" w:color="auto"/>
            </w:tcBorders>
            <w:shd w:val="clear" w:color="000000" w:fill="E2EFDA"/>
            <w:vAlign w:val="center"/>
            <w:hideMark/>
          </w:tcPr>
          <w:p w14:paraId="5479A094" w14:textId="77777777" w:rsidR="00F42C5F" w:rsidRPr="00CF22A0" w:rsidRDefault="00F42C5F" w:rsidP="00D87F40">
            <w:pPr>
              <w:spacing w:after="0" w:line="240" w:lineRule="auto"/>
              <w:jc w:val="center"/>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Population</w:t>
            </w:r>
          </w:p>
        </w:tc>
        <w:tc>
          <w:tcPr>
            <w:tcW w:w="1170" w:type="dxa"/>
            <w:vMerge w:val="restart"/>
            <w:tcBorders>
              <w:top w:val="double" w:sz="4" w:space="0" w:color="auto"/>
              <w:left w:val="single" w:sz="4" w:space="0" w:color="auto"/>
              <w:bottom w:val="nil"/>
              <w:right w:val="single" w:sz="4" w:space="0" w:color="auto"/>
            </w:tcBorders>
            <w:shd w:val="clear" w:color="000000" w:fill="E2EFDA"/>
            <w:vAlign w:val="center"/>
            <w:hideMark/>
          </w:tcPr>
          <w:p w14:paraId="59124127" w14:textId="77777777" w:rsidR="00F42C5F" w:rsidRDefault="00F42C5F" w:rsidP="00D87F40">
            <w:pPr>
              <w:spacing w:after="0" w:line="240" w:lineRule="auto"/>
              <w:jc w:val="center"/>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xml:space="preserve">LTE Covered Area  </w:t>
            </w:r>
          </w:p>
          <w:p w14:paraId="2C5A6AE2" w14:textId="77777777" w:rsidR="00F42C5F" w:rsidRPr="00CF22A0" w:rsidRDefault="00F42C5F" w:rsidP="00D87F40">
            <w:pPr>
              <w:spacing w:after="0" w:line="240" w:lineRule="auto"/>
              <w:jc w:val="center"/>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(sq mi)</w:t>
            </w:r>
          </w:p>
        </w:tc>
        <w:tc>
          <w:tcPr>
            <w:tcW w:w="1260" w:type="dxa"/>
            <w:vMerge w:val="restart"/>
            <w:tcBorders>
              <w:top w:val="double" w:sz="4" w:space="0" w:color="auto"/>
              <w:left w:val="single" w:sz="4" w:space="0" w:color="auto"/>
              <w:bottom w:val="nil"/>
              <w:right w:val="single" w:sz="4" w:space="0" w:color="auto"/>
            </w:tcBorders>
            <w:shd w:val="clear" w:color="000000" w:fill="E2EFDA"/>
            <w:vAlign w:val="center"/>
            <w:hideMark/>
          </w:tcPr>
          <w:p w14:paraId="23C3214B" w14:textId="77777777" w:rsidR="00F42C5F" w:rsidRDefault="00F42C5F" w:rsidP="00D87F40">
            <w:pPr>
              <w:spacing w:after="0" w:line="240" w:lineRule="auto"/>
              <w:jc w:val="center"/>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xml:space="preserve">LTE Uncovered Area </w:t>
            </w:r>
          </w:p>
          <w:p w14:paraId="0FE0EEC6" w14:textId="77777777" w:rsidR="00F42C5F" w:rsidRPr="00CF22A0" w:rsidRDefault="00F42C5F" w:rsidP="00D87F40">
            <w:pPr>
              <w:spacing w:after="0" w:line="240" w:lineRule="auto"/>
              <w:jc w:val="center"/>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(sq mi)</w:t>
            </w:r>
          </w:p>
        </w:tc>
        <w:tc>
          <w:tcPr>
            <w:tcW w:w="1170" w:type="dxa"/>
            <w:vMerge w:val="restart"/>
            <w:tcBorders>
              <w:top w:val="double" w:sz="4" w:space="0" w:color="auto"/>
              <w:left w:val="single" w:sz="4" w:space="0" w:color="auto"/>
              <w:bottom w:val="nil"/>
              <w:right w:val="single" w:sz="4" w:space="0" w:color="auto"/>
            </w:tcBorders>
            <w:shd w:val="clear" w:color="000000" w:fill="E2EFDA"/>
            <w:vAlign w:val="center"/>
            <w:hideMark/>
          </w:tcPr>
          <w:p w14:paraId="4334E212" w14:textId="77777777" w:rsidR="00F42C5F" w:rsidRPr="00CF22A0" w:rsidRDefault="00F42C5F" w:rsidP="00D87F40">
            <w:pPr>
              <w:spacing w:after="0" w:line="240" w:lineRule="auto"/>
              <w:jc w:val="center"/>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LTE Covered Road</w:t>
            </w:r>
            <w:r>
              <w:rPr>
                <w:rFonts w:ascii="Times New Roman" w:eastAsia="Times New Roman" w:hAnsi="Times New Roman" w:cs="Times New Roman"/>
                <w:color w:val="000000"/>
                <w:sz w:val="22"/>
                <w:szCs w:val="22"/>
              </w:rPr>
              <w:t xml:space="preserve"> M</w:t>
            </w:r>
            <w:r w:rsidRPr="00CF22A0">
              <w:rPr>
                <w:rFonts w:ascii="Times New Roman" w:eastAsia="Times New Roman" w:hAnsi="Times New Roman" w:cs="Times New Roman"/>
                <w:color w:val="000000"/>
                <w:sz w:val="22"/>
                <w:szCs w:val="22"/>
              </w:rPr>
              <w:t>iles</w:t>
            </w:r>
          </w:p>
        </w:tc>
        <w:tc>
          <w:tcPr>
            <w:tcW w:w="1260" w:type="dxa"/>
            <w:vMerge w:val="restart"/>
            <w:tcBorders>
              <w:top w:val="double" w:sz="4" w:space="0" w:color="auto"/>
              <w:left w:val="single" w:sz="4" w:space="0" w:color="auto"/>
              <w:bottom w:val="nil"/>
              <w:right w:val="single" w:sz="4" w:space="0" w:color="auto"/>
            </w:tcBorders>
            <w:shd w:val="clear" w:color="000000" w:fill="E2EFDA"/>
            <w:vAlign w:val="center"/>
            <w:hideMark/>
          </w:tcPr>
          <w:p w14:paraId="5ED19298" w14:textId="77777777" w:rsidR="00F42C5F" w:rsidRPr="00CF22A0" w:rsidRDefault="00F42C5F" w:rsidP="00D87F40">
            <w:pPr>
              <w:spacing w:after="0" w:line="240" w:lineRule="auto"/>
              <w:jc w:val="center"/>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LTE Uncovered Road</w:t>
            </w:r>
            <w:r>
              <w:rPr>
                <w:rFonts w:ascii="Times New Roman" w:eastAsia="Times New Roman" w:hAnsi="Times New Roman" w:cs="Times New Roman"/>
                <w:color w:val="000000"/>
                <w:sz w:val="22"/>
                <w:szCs w:val="22"/>
              </w:rPr>
              <w:t xml:space="preserve"> M</w:t>
            </w:r>
            <w:r w:rsidRPr="00CF22A0">
              <w:rPr>
                <w:rFonts w:ascii="Times New Roman" w:eastAsia="Times New Roman" w:hAnsi="Times New Roman" w:cs="Times New Roman"/>
                <w:color w:val="000000"/>
                <w:sz w:val="22"/>
                <w:szCs w:val="22"/>
              </w:rPr>
              <w:t>iles</w:t>
            </w:r>
          </w:p>
        </w:tc>
        <w:tc>
          <w:tcPr>
            <w:tcW w:w="1350" w:type="dxa"/>
            <w:vMerge w:val="restart"/>
            <w:tcBorders>
              <w:top w:val="double" w:sz="4" w:space="0" w:color="auto"/>
              <w:left w:val="single" w:sz="4" w:space="0" w:color="auto"/>
              <w:bottom w:val="nil"/>
              <w:right w:val="single" w:sz="4" w:space="0" w:color="auto"/>
            </w:tcBorders>
            <w:shd w:val="clear" w:color="000000" w:fill="E2EFDA"/>
            <w:vAlign w:val="center"/>
            <w:hideMark/>
          </w:tcPr>
          <w:p w14:paraId="28F1CB0E" w14:textId="77777777" w:rsidR="00F42C5F" w:rsidRPr="00CF22A0" w:rsidRDefault="00F42C5F" w:rsidP="00D87F40">
            <w:pPr>
              <w:spacing w:after="0" w:line="240" w:lineRule="auto"/>
              <w:jc w:val="center"/>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LTE Covered Population</w:t>
            </w:r>
          </w:p>
        </w:tc>
        <w:tc>
          <w:tcPr>
            <w:tcW w:w="1260" w:type="dxa"/>
            <w:vMerge w:val="restart"/>
            <w:tcBorders>
              <w:top w:val="double" w:sz="4" w:space="0" w:color="auto"/>
              <w:left w:val="single" w:sz="4" w:space="0" w:color="auto"/>
              <w:bottom w:val="nil"/>
              <w:right w:val="double" w:sz="4" w:space="0" w:color="auto"/>
            </w:tcBorders>
            <w:shd w:val="clear" w:color="000000" w:fill="E2EFDA"/>
            <w:vAlign w:val="center"/>
            <w:hideMark/>
          </w:tcPr>
          <w:p w14:paraId="5F0798E6" w14:textId="77777777" w:rsidR="00F42C5F" w:rsidRPr="00CF22A0" w:rsidRDefault="00F42C5F" w:rsidP="00D87F40">
            <w:pPr>
              <w:spacing w:after="0" w:line="240" w:lineRule="auto"/>
              <w:jc w:val="center"/>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LTE Uncovered Population</w:t>
            </w:r>
          </w:p>
        </w:tc>
      </w:tr>
      <w:tr w:rsidR="00F42C5F" w:rsidRPr="00CF22A0" w14:paraId="08E6D6FD" w14:textId="77777777" w:rsidTr="00D87F40">
        <w:trPr>
          <w:trHeight w:val="315"/>
        </w:trPr>
        <w:tc>
          <w:tcPr>
            <w:tcW w:w="255" w:type="dxa"/>
            <w:tcBorders>
              <w:left w:val="double" w:sz="4" w:space="0" w:color="auto"/>
              <w:bottom w:val="single" w:sz="12" w:space="0" w:color="auto"/>
            </w:tcBorders>
            <w:shd w:val="clear" w:color="auto" w:fill="auto"/>
            <w:vAlign w:val="center"/>
            <w:hideMark/>
          </w:tcPr>
          <w:p w14:paraId="2230117A"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w:t>
            </w:r>
          </w:p>
        </w:tc>
        <w:tc>
          <w:tcPr>
            <w:tcW w:w="1250" w:type="dxa"/>
            <w:tcBorders>
              <w:bottom w:val="single" w:sz="12" w:space="0" w:color="auto"/>
              <w:right w:val="single" w:sz="4" w:space="0" w:color="auto"/>
            </w:tcBorders>
            <w:shd w:val="clear" w:color="auto" w:fill="auto"/>
            <w:noWrap/>
            <w:vAlign w:val="bottom"/>
            <w:hideMark/>
          </w:tcPr>
          <w:p w14:paraId="291B3982"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p>
        </w:tc>
        <w:tc>
          <w:tcPr>
            <w:tcW w:w="1270" w:type="dxa"/>
            <w:vMerge/>
            <w:tcBorders>
              <w:left w:val="single" w:sz="4" w:space="0" w:color="auto"/>
              <w:bottom w:val="single" w:sz="12" w:space="0" w:color="auto"/>
              <w:right w:val="single" w:sz="4" w:space="0" w:color="auto"/>
            </w:tcBorders>
            <w:vAlign w:val="center"/>
            <w:hideMark/>
          </w:tcPr>
          <w:p w14:paraId="1479EEF2"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p>
        </w:tc>
        <w:tc>
          <w:tcPr>
            <w:tcW w:w="720" w:type="dxa"/>
            <w:vMerge/>
            <w:tcBorders>
              <w:left w:val="single" w:sz="4" w:space="0" w:color="auto"/>
              <w:bottom w:val="single" w:sz="12" w:space="0" w:color="auto"/>
              <w:right w:val="single" w:sz="4" w:space="0" w:color="auto"/>
            </w:tcBorders>
            <w:vAlign w:val="center"/>
            <w:hideMark/>
          </w:tcPr>
          <w:p w14:paraId="24D06EAA"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p>
        </w:tc>
        <w:tc>
          <w:tcPr>
            <w:tcW w:w="1170" w:type="dxa"/>
            <w:vMerge/>
            <w:tcBorders>
              <w:left w:val="single" w:sz="4" w:space="0" w:color="auto"/>
              <w:bottom w:val="single" w:sz="12" w:space="0" w:color="auto"/>
              <w:right w:val="single" w:sz="4" w:space="0" w:color="auto"/>
            </w:tcBorders>
            <w:vAlign w:val="center"/>
            <w:hideMark/>
          </w:tcPr>
          <w:p w14:paraId="6B3244CD"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p>
        </w:tc>
        <w:tc>
          <w:tcPr>
            <w:tcW w:w="1170" w:type="dxa"/>
            <w:vMerge/>
            <w:tcBorders>
              <w:left w:val="single" w:sz="4" w:space="0" w:color="auto"/>
              <w:bottom w:val="single" w:sz="12" w:space="0" w:color="auto"/>
              <w:right w:val="single" w:sz="4" w:space="0" w:color="auto"/>
            </w:tcBorders>
            <w:vAlign w:val="center"/>
            <w:hideMark/>
          </w:tcPr>
          <w:p w14:paraId="02864C89"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p>
        </w:tc>
        <w:tc>
          <w:tcPr>
            <w:tcW w:w="1350" w:type="dxa"/>
            <w:vMerge/>
            <w:tcBorders>
              <w:left w:val="single" w:sz="4" w:space="0" w:color="auto"/>
              <w:bottom w:val="single" w:sz="12" w:space="0" w:color="auto"/>
              <w:right w:val="single" w:sz="4" w:space="0" w:color="auto"/>
            </w:tcBorders>
            <w:vAlign w:val="center"/>
            <w:hideMark/>
          </w:tcPr>
          <w:p w14:paraId="7532D226"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p>
        </w:tc>
        <w:tc>
          <w:tcPr>
            <w:tcW w:w="1170" w:type="dxa"/>
            <w:vMerge/>
            <w:tcBorders>
              <w:left w:val="single" w:sz="4" w:space="0" w:color="auto"/>
              <w:bottom w:val="single" w:sz="12" w:space="0" w:color="auto"/>
              <w:right w:val="single" w:sz="4" w:space="0" w:color="auto"/>
            </w:tcBorders>
            <w:vAlign w:val="center"/>
            <w:hideMark/>
          </w:tcPr>
          <w:p w14:paraId="39B4E65B"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p>
        </w:tc>
        <w:tc>
          <w:tcPr>
            <w:tcW w:w="1260" w:type="dxa"/>
            <w:vMerge/>
            <w:tcBorders>
              <w:left w:val="single" w:sz="4" w:space="0" w:color="auto"/>
              <w:bottom w:val="single" w:sz="12" w:space="0" w:color="auto"/>
              <w:right w:val="single" w:sz="4" w:space="0" w:color="auto"/>
            </w:tcBorders>
            <w:vAlign w:val="center"/>
            <w:hideMark/>
          </w:tcPr>
          <w:p w14:paraId="6BF606D9"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p>
        </w:tc>
        <w:tc>
          <w:tcPr>
            <w:tcW w:w="1170" w:type="dxa"/>
            <w:vMerge/>
            <w:tcBorders>
              <w:left w:val="single" w:sz="4" w:space="0" w:color="auto"/>
              <w:bottom w:val="single" w:sz="12" w:space="0" w:color="auto"/>
              <w:right w:val="single" w:sz="4" w:space="0" w:color="auto"/>
            </w:tcBorders>
            <w:vAlign w:val="center"/>
            <w:hideMark/>
          </w:tcPr>
          <w:p w14:paraId="5871B235"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p>
        </w:tc>
        <w:tc>
          <w:tcPr>
            <w:tcW w:w="1260" w:type="dxa"/>
            <w:vMerge/>
            <w:tcBorders>
              <w:left w:val="single" w:sz="4" w:space="0" w:color="auto"/>
              <w:bottom w:val="single" w:sz="12" w:space="0" w:color="auto"/>
              <w:right w:val="single" w:sz="4" w:space="0" w:color="auto"/>
            </w:tcBorders>
            <w:vAlign w:val="center"/>
            <w:hideMark/>
          </w:tcPr>
          <w:p w14:paraId="1CCE935E"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p>
        </w:tc>
        <w:tc>
          <w:tcPr>
            <w:tcW w:w="1350" w:type="dxa"/>
            <w:vMerge/>
            <w:tcBorders>
              <w:left w:val="single" w:sz="4" w:space="0" w:color="auto"/>
              <w:bottom w:val="single" w:sz="12" w:space="0" w:color="auto"/>
              <w:right w:val="single" w:sz="4" w:space="0" w:color="auto"/>
            </w:tcBorders>
            <w:vAlign w:val="center"/>
            <w:hideMark/>
          </w:tcPr>
          <w:p w14:paraId="3BF83725"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p>
        </w:tc>
        <w:tc>
          <w:tcPr>
            <w:tcW w:w="1260" w:type="dxa"/>
            <w:vMerge/>
            <w:tcBorders>
              <w:left w:val="single" w:sz="4" w:space="0" w:color="auto"/>
              <w:bottom w:val="single" w:sz="12" w:space="0" w:color="auto"/>
              <w:right w:val="double" w:sz="4" w:space="0" w:color="auto"/>
            </w:tcBorders>
            <w:vAlign w:val="center"/>
            <w:hideMark/>
          </w:tcPr>
          <w:p w14:paraId="3C68508C"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p>
        </w:tc>
      </w:tr>
      <w:tr w:rsidR="00F42C5F" w:rsidRPr="00CF22A0" w14:paraId="20352B7E" w14:textId="77777777" w:rsidTr="00D87F40">
        <w:trPr>
          <w:trHeight w:val="672"/>
        </w:trPr>
        <w:tc>
          <w:tcPr>
            <w:tcW w:w="1505" w:type="dxa"/>
            <w:gridSpan w:val="2"/>
            <w:tcBorders>
              <w:top w:val="single" w:sz="12" w:space="0" w:color="auto"/>
              <w:left w:val="double" w:sz="4" w:space="0" w:color="auto"/>
              <w:bottom w:val="single" w:sz="4" w:space="0" w:color="auto"/>
              <w:right w:val="single" w:sz="4" w:space="0" w:color="auto"/>
            </w:tcBorders>
            <w:shd w:val="clear" w:color="000000" w:fill="DDEBF7"/>
            <w:vAlign w:val="center"/>
            <w:hideMark/>
          </w:tcPr>
          <w:p w14:paraId="1AD2705E" w14:textId="588439D3" w:rsidR="00F42C5F" w:rsidRPr="00CF22A0" w:rsidRDefault="00F42C5F" w:rsidP="00D87F40">
            <w:pPr>
              <w:spacing w:after="0" w:line="240" w:lineRule="auto"/>
              <w:rPr>
                <w:rFonts w:ascii="Times New Roman" w:eastAsia="Times New Roman" w:hAnsi="Times New Roman" w:cs="Times New Roman"/>
                <w:color w:val="000000"/>
                <w:sz w:val="22"/>
                <w:szCs w:val="22"/>
              </w:rPr>
            </w:pPr>
          </w:p>
        </w:tc>
        <w:tc>
          <w:tcPr>
            <w:tcW w:w="1270" w:type="dxa"/>
            <w:tcBorders>
              <w:top w:val="single" w:sz="12" w:space="0" w:color="auto"/>
              <w:left w:val="single" w:sz="4" w:space="0" w:color="auto"/>
              <w:bottom w:val="single" w:sz="4" w:space="0" w:color="auto"/>
              <w:right w:val="single" w:sz="4" w:space="0" w:color="auto"/>
            </w:tcBorders>
            <w:shd w:val="clear" w:color="000000" w:fill="DDEBF7"/>
            <w:noWrap/>
            <w:vAlign w:val="center"/>
            <w:hideMark/>
          </w:tcPr>
          <w:p w14:paraId="162D926E" w14:textId="63AB2C11" w:rsidR="00F42C5F" w:rsidRPr="00CF22A0" w:rsidRDefault="00F42C5F" w:rsidP="00D87F40">
            <w:pPr>
              <w:spacing w:after="0" w:line="240" w:lineRule="auto"/>
              <w:rPr>
                <w:rFonts w:ascii="Times New Roman" w:eastAsia="Times New Roman" w:hAnsi="Times New Roman" w:cs="Times New Roman"/>
                <w:color w:val="000000"/>
                <w:sz w:val="22"/>
                <w:szCs w:val="22"/>
              </w:rPr>
            </w:pPr>
          </w:p>
        </w:tc>
        <w:tc>
          <w:tcPr>
            <w:tcW w:w="720" w:type="dxa"/>
            <w:tcBorders>
              <w:top w:val="single" w:sz="12" w:space="0" w:color="auto"/>
              <w:left w:val="single" w:sz="4" w:space="0" w:color="auto"/>
              <w:bottom w:val="single" w:sz="4" w:space="0" w:color="auto"/>
              <w:right w:val="single" w:sz="4" w:space="0" w:color="auto"/>
            </w:tcBorders>
            <w:shd w:val="clear" w:color="000000" w:fill="DDEBF7"/>
            <w:noWrap/>
            <w:vAlign w:val="center"/>
            <w:hideMark/>
          </w:tcPr>
          <w:p w14:paraId="6D5735FD" w14:textId="38C66EE7" w:rsidR="00F42C5F" w:rsidRPr="00CF22A0" w:rsidRDefault="00F42C5F" w:rsidP="00D87F40">
            <w:pPr>
              <w:spacing w:after="0" w:line="240" w:lineRule="auto"/>
              <w:rPr>
                <w:rFonts w:ascii="Times New Roman" w:eastAsia="Times New Roman" w:hAnsi="Times New Roman" w:cs="Times New Roman"/>
                <w:color w:val="000000"/>
                <w:sz w:val="22"/>
                <w:szCs w:val="22"/>
              </w:rPr>
            </w:pPr>
          </w:p>
        </w:tc>
        <w:tc>
          <w:tcPr>
            <w:tcW w:w="1170" w:type="dxa"/>
            <w:tcBorders>
              <w:top w:val="single" w:sz="12" w:space="0" w:color="auto"/>
              <w:left w:val="single" w:sz="4" w:space="0" w:color="auto"/>
              <w:bottom w:val="single" w:sz="4" w:space="0" w:color="auto"/>
              <w:right w:val="single" w:sz="4" w:space="0" w:color="auto"/>
            </w:tcBorders>
            <w:shd w:val="clear" w:color="000000" w:fill="DDEBF7"/>
            <w:noWrap/>
            <w:vAlign w:val="center"/>
            <w:hideMark/>
          </w:tcPr>
          <w:p w14:paraId="45BF154F" w14:textId="2F996EE2" w:rsidR="00F42C5F" w:rsidRPr="00CF22A0" w:rsidRDefault="00F42C5F" w:rsidP="00D87F40">
            <w:pPr>
              <w:spacing w:after="0" w:line="240" w:lineRule="auto"/>
              <w:rPr>
                <w:rFonts w:ascii="Times New Roman" w:eastAsia="Times New Roman" w:hAnsi="Times New Roman" w:cs="Times New Roman"/>
                <w:color w:val="000000"/>
                <w:sz w:val="22"/>
                <w:szCs w:val="22"/>
              </w:rPr>
            </w:pPr>
          </w:p>
        </w:tc>
        <w:tc>
          <w:tcPr>
            <w:tcW w:w="1170" w:type="dxa"/>
            <w:tcBorders>
              <w:top w:val="single" w:sz="12" w:space="0" w:color="auto"/>
              <w:left w:val="single" w:sz="4" w:space="0" w:color="auto"/>
              <w:bottom w:val="single" w:sz="4" w:space="0" w:color="auto"/>
              <w:right w:val="single" w:sz="4" w:space="0" w:color="auto"/>
            </w:tcBorders>
            <w:shd w:val="clear" w:color="000000" w:fill="DDEBF7"/>
            <w:noWrap/>
            <w:vAlign w:val="center"/>
            <w:hideMark/>
          </w:tcPr>
          <w:p w14:paraId="4EA14ED7" w14:textId="2C3F9B36" w:rsidR="00F42C5F" w:rsidRPr="00CF22A0" w:rsidRDefault="00F42C5F" w:rsidP="00D87F40">
            <w:pPr>
              <w:spacing w:after="0" w:line="240" w:lineRule="auto"/>
              <w:rPr>
                <w:rFonts w:ascii="Times New Roman" w:eastAsia="Times New Roman" w:hAnsi="Times New Roman" w:cs="Times New Roman"/>
                <w:color w:val="000000"/>
                <w:sz w:val="22"/>
                <w:szCs w:val="22"/>
              </w:rPr>
            </w:pPr>
          </w:p>
        </w:tc>
        <w:tc>
          <w:tcPr>
            <w:tcW w:w="1350" w:type="dxa"/>
            <w:tcBorders>
              <w:top w:val="single" w:sz="12" w:space="0" w:color="auto"/>
              <w:left w:val="single" w:sz="4" w:space="0" w:color="auto"/>
              <w:bottom w:val="single" w:sz="4" w:space="0" w:color="auto"/>
              <w:right w:val="single" w:sz="4" w:space="0" w:color="auto"/>
            </w:tcBorders>
            <w:shd w:val="clear" w:color="000000" w:fill="DDEBF7"/>
            <w:noWrap/>
            <w:vAlign w:val="center"/>
            <w:hideMark/>
          </w:tcPr>
          <w:p w14:paraId="1D5A7176" w14:textId="1F32288E" w:rsidR="00F42C5F" w:rsidRPr="00CF22A0" w:rsidRDefault="00F42C5F" w:rsidP="00D87F40">
            <w:pPr>
              <w:spacing w:after="0" w:line="240" w:lineRule="auto"/>
              <w:rPr>
                <w:rFonts w:ascii="Times New Roman" w:eastAsia="Times New Roman" w:hAnsi="Times New Roman" w:cs="Times New Roman"/>
                <w:color w:val="000000"/>
                <w:sz w:val="22"/>
                <w:szCs w:val="22"/>
              </w:rPr>
            </w:pPr>
          </w:p>
        </w:tc>
        <w:tc>
          <w:tcPr>
            <w:tcW w:w="1170" w:type="dxa"/>
            <w:tcBorders>
              <w:top w:val="single" w:sz="12" w:space="0" w:color="auto"/>
              <w:left w:val="single" w:sz="4" w:space="0" w:color="auto"/>
              <w:bottom w:val="single" w:sz="4" w:space="0" w:color="auto"/>
              <w:right w:val="single" w:sz="4" w:space="0" w:color="auto"/>
            </w:tcBorders>
            <w:shd w:val="clear" w:color="000000" w:fill="DDEBF7"/>
            <w:noWrap/>
            <w:vAlign w:val="center"/>
            <w:hideMark/>
          </w:tcPr>
          <w:p w14:paraId="31BF902A" w14:textId="624AA36E" w:rsidR="00F42C5F" w:rsidRPr="00CF22A0" w:rsidRDefault="00F42C5F" w:rsidP="00D87F40">
            <w:pPr>
              <w:spacing w:after="0" w:line="240" w:lineRule="auto"/>
              <w:rPr>
                <w:rFonts w:ascii="Times New Roman" w:eastAsia="Times New Roman" w:hAnsi="Times New Roman" w:cs="Times New Roman"/>
                <w:color w:val="000000"/>
                <w:sz w:val="22"/>
                <w:szCs w:val="22"/>
              </w:rPr>
            </w:pPr>
          </w:p>
        </w:tc>
        <w:tc>
          <w:tcPr>
            <w:tcW w:w="1260" w:type="dxa"/>
            <w:tcBorders>
              <w:top w:val="single" w:sz="12" w:space="0" w:color="auto"/>
              <w:left w:val="single" w:sz="4" w:space="0" w:color="auto"/>
              <w:bottom w:val="single" w:sz="4" w:space="0" w:color="auto"/>
              <w:right w:val="single" w:sz="4" w:space="0" w:color="auto"/>
            </w:tcBorders>
            <w:shd w:val="clear" w:color="000000" w:fill="DDEBF7"/>
            <w:noWrap/>
            <w:vAlign w:val="center"/>
            <w:hideMark/>
          </w:tcPr>
          <w:p w14:paraId="1D0A5C00" w14:textId="646C969D" w:rsidR="00F42C5F" w:rsidRPr="00CF22A0" w:rsidRDefault="00F42C5F" w:rsidP="00D87F40">
            <w:pPr>
              <w:spacing w:after="0" w:line="240" w:lineRule="auto"/>
              <w:rPr>
                <w:rFonts w:ascii="Times New Roman" w:eastAsia="Times New Roman" w:hAnsi="Times New Roman" w:cs="Times New Roman"/>
                <w:color w:val="000000"/>
                <w:sz w:val="22"/>
                <w:szCs w:val="22"/>
              </w:rPr>
            </w:pPr>
          </w:p>
        </w:tc>
        <w:tc>
          <w:tcPr>
            <w:tcW w:w="1170" w:type="dxa"/>
            <w:tcBorders>
              <w:top w:val="single" w:sz="12" w:space="0" w:color="auto"/>
              <w:left w:val="single" w:sz="4" w:space="0" w:color="auto"/>
              <w:bottom w:val="single" w:sz="4" w:space="0" w:color="auto"/>
              <w:right w:val="single" w:sz="4" w:space="0" w:color="auto"/>
            </w:tcBorders>
            <w:shd w:val="clear" w:color="000000" w:fill="DDEBF7"/>
            <w:noWrap/>
            <w:vAlign w:val="center"/>
            <w:hideMark/>
          </w:tcPr>
          <w:p w14:paraId="31781D14" w14:textId="34DAF534" w:rsidR="00F42C5F" w:rsidRPr="00CF22A0" w:rsidRDefault="00F42C5F" w:rsidP="00D87F40">
            <w:pPr>
              <w:spacing w:after="0" w:line="240" w:lineRule="auto"/>
              <w:rPr>
                <w:rFonts w:ascii="Times New Roman" w:eastAsia="Times New Roman" w:hAnsi="Times New Roman" w:cs="Times New Roman"/>
                <w:color w:val="000000"/>
                <w:sz w:val="22"/>
                <w:szCs w:val="22"/>
              </w:rPr>
            </w:pPr>
          </w:p>
        </w:tc>
        <w:tc>
          <w:tcPr>
            <w:tcW w:w="1260" w:type="dxa"/>
            <w:tcBorders>
              <w:top w:val="single" w:sz="12" w:space="0" w:color="auto"/>
              <w:left w:val="single" w:sz="4" w:space="0" w:color="auto"/>
              <w:bottom w:val="single" w:sz="4" w:space="0" w:color="auto"/>
              <w:right w:val="single" w:sz="4" w:space="0" w:color="auto"/>
            </w:tcBorders>
            <w:shd w:val="clear" w:color="000000" w:fill="DDEBF7"/>
            <w:noWrap/>
            <w:vAlign w:val="center"/>
            <w:hideMark/>
          </w:tcPr>
          <w:p w14:paraId="68006121" w14:textId="4EFDA282" w:rsidR="00F42C5F" w:rsidRPr="00CF22A0" w:rsidRDefault="00F42C5F" w:rsidP="00D87F40">
            <w:pPr>
              <w:spacing w:after="0" w:line="240" w:lineRule="auto"/>
              <w:rPr>
                <w:rFonts w:ascii="Times New Roman" w:eastAsia="Times New Roman" w:hAnsi="Times New Roman" w:cs="Times New Roman"/>
                <w:color w:val="000000"/>
                <w:sz w:val="22"/>
                <w:szCs w:val="22"/>
              </w:rPr>
            </w:pPr>
          </w:p>
        </w:tc>
        <w:tc>
          <w:tcPr>
            <w:tcW w:w="1350" w:type="dxa"/>
            <w:tcBorders>
              <w:top w:val="single" w:sz="12" w:space="0" w:color="auto"/>
              <w:left w:val="single" w:sz="4" w:space="0" w:color="auto"/>
              <w:bottom w:val="single" w:sz="4" w:space="0" w:color="auto"/>
              <w:right w:val="single" w:sz="4" w:space="0" w:color="auto"/>
            </w:tcBorders>
            <w:shd w:val="clear" w:color="000000" w:fill="DDEBF7"/>
            <w:noWrap/>
            <w:vAlign w:val="center"/>
            <w:hideMark/>
          </w:tcPr>
          <w:p w14:paraId="719B1929" w14:textId="73502E2A" w:rsidR="00F42C5F" w:rsidRPr="00CF22A0" w:rsidRDefault="00F42C5F" w:rsidP="00D87F40">
            <w:pPr>
              <w:spacing w:after="0" w:line="240" w:lineRule="auto"/>
              <w:rPr>
                <w:rFonts w:ascii="Times New Roman" w:eastAsia="Times New Roman" w:hAnsi="Times New Roman" w:cs="Times New Roman"/>
                <w:color w:val="000000"/>
                <w:sz w:val="22"/>
                <w:szCs w:val="22"/>
              </w:rPr>
            </w:pPr>
          </w:p>
        </w:tc>
        <w:tc>
          <w:tcPr>
            <w:tcW w:w="1260" w:type="dxa"/>
            <w:tcBorders>
              <w:top w:val="single" w:sz="12" w:space="0" w:color="auto"/>
              <w:left w:val="single" w:sz="4" w:space="0" w:color="auto"/>
              <w:bottom w:val="single" w:sz="4" w:space="0" w:color="auto"/>
              <w:right w:val="double" w:sz="4" w:space="0" w:color="auto"/>
            </w:tcBorders>
            <w:shd w:val="clear" w:color="000000" w:fill="DDEBF7"/>
            <w:noWrap/>
            <w:vAlign w:val="center"/>
            <w:hideMark/>
          </w:tcPr>
          <w:p w14:paraId="6621227E" w14:textId="6607F266" w:rsidR="00F42C5F" w:rsidRPr="00CF22A0" w:rsidRDefault="00F42C5F" w:rsidP="00D87F40">
            <w:pPr>
              <w:spacing w:after="0" w:line="240" w:lineRule="auto"/>
              <w:rPr>
                <w:rFonts w:ascii="Times New Roman" w:eastAsia="Times New Roman" w:hAnsi="Times New Roman" w:cs="Times New Roman"/>
                <w:color w:val="000000"/>
                <w:sz w:val="22"/>
                <w:szCs w:val="22"/>
              </w:rPr>
            </w:pPr>
          </w:p>
        </w:tc>
      </w:tr>
      <w:tr w:rsidR="00F42C5F" w:rsidRPr="00CF22A0" w14:paraId="27C191D9" w14:textId="77777777" w:rsidTr="00D87F40">
        <w:trPr>
          <w:trHeight w:val="854"/>
        </w:trPr>
        <w:tc>
          <w:tcPr>
            <w:tcW w:w="1505" w:type="dxa"/>
            <w:gridSpan w:val="2"/>
            <w:vMerge w:val="restart"/>
            <w:tcBorders>
              <w:top w:val="single" w:sz="4" w:space="0" w:color="auto"/>
              <w:left w:val="double" w:sz="4" w:space="0" w:color="auto"/>
              <w:right w:val="single" w:sz="4" w:space="0" w:color="auto"/>
            </w:tcBorders>
            <w:shd w:val="clear" w:color="000000" w:fill="E2EFDA"/>
            <w:vAlign w:val="center"/>
            <w:hideMark/>
          </w:tcPr>
          <w:p w14:paraId="32D253F2"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Blocks With Complete LTE Coverage</w:t>
            </w:r>
          </w:p>
        </w:tc>
        <w:tc>
          <w:tcPr>
            <w:tcW w:w="1270" w:type="dxa"/>
            <w:tcBorders>
              <w:top w:val="single" w:sz="4" w:space="0" w:color="auto"/>
              <w:left w:val="single" w:sz="4" w:space="0" w:color="auto"/>
              <w:right w:val="single" w:sz="4" w:space="0" w:color="auto"/>
            </w:tcBorders>
            <w:shd w:val="clear" w:color="auto" w:fill="auto"/>
            <w:noWrap/>
            <w:vAlign w:val="center"/>
            <w:hideMark/>
          </w:tcPr>
          <w:p w14:paraId="49EB3637"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10,025,526</w:t>
            </w:r>
          </w:p>
        </w:tc>
        <w:tc>
          <w:tcPr>
            <w:tcW w:w="720" w:type="dxa"/>
            <w:tcBorders>
              <w:top w:val="single" w:sz="4" w:space="0" w:color="auto"/>
              <w:left w:val="single" w:sz="4" w:space="0" w:color="auto"/>
              <w:right w:val="single" w:sz="4" w:space="0" w:color="auto"/>
            </w:tcBorders>
            <w:shd w:val="clear" w:color="auto" w:fill="auto"/>
            <w:noWrap/>
            <w:vAlign w:val="center"/>
            <w:hideMark/>
          </w:tcPr>
          <w:p w14:paraId="5F8BCADF"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165</w:t>
            </w:r>
          </w:p>
        </w:tc>
        <w:tc>
          <w:tcPr>
            <w:tcW w:w="1170" w:type="dxa"/>
            <w:tcBorders>
              <w:top w:val="single" w:sz="4" w:space="0" w:color="auto"/>
              <w:left w:val="single" w:sz="4" w:space="0" w:color="auto"/>
              <w:right w:val="single" w:sz="4" w:space="0" w:color="auto"/>
            </w:tcBorders>
            <w:shd w:val="clear" w:color="auto" w:fill="auto"/>
            <w:noWrap/>
            <w:vAlign w:val="center"/>
            <w:hideMark/>
          </w:tcPr>
          <w:p w14:paraId="10F2C6A0"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1,864,053</w:t>
            </w:r>
          </w:p>
        </w:tc>
        <w:tc>
          <w:tcPr>
            <w:tcW w:w="1170" w:type="dxa"/>
            <w:tcBorders>
              <w:top w:val="single" w:sz="4" w:space="0" w:color="auto"/>
              <w:left w:val="single" w:sz="4" w:space="0" w:color="auto"/>
              <w:right w:val="single" w:sz="4" w:space="0" w:color="auto"/>
            </w:tcBorders>
            <w:shd w:val="clear" w:color="auto" w:fill="auto"/>
            <w:noWrap/>
            <w:vAlign w:val="center"/>
            <w:hideMark/>
          </w:tcPr>
          <w:p w14:paraId="4CBA9408"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5,474,988</w:t>
            </w:r>
          </w:p>
        </w:tc>
        <w:tc>
          <w:tcPr>
            <w:tcW w:w="1350" w:type="dxa"/>
            <w:tcBorders>
              <w:top w:val="single" w:sz="4" w:space="0" w:color="auto"/>
              <w:left w:val="single" w:sz="4" w:space="0" w:color="auto"/>
              <w:right w:val="single" w:sz="4" w:space="0" w:color="auto"/>
            </w:tcBorders>
            <w:shd w:val="clear" w:color="auto" w:fill="auto"/>
            <w:noWrap/>
            <w:vAlign w:val="center"/>
            <w:hideMark/>
          </w:tcPr>
          <w:p w14:paraId="2CCDE1AE"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308,046,217</w:t>
            </w:r>
          </w:p>
        </w:tc>
        <w:tc>
          <w:tcPr>
            <w:tcW w:w="1170" w:type="dxa"/>
            <w:tcBorders>
              <w:top w:val="single" w:sz="4" w:space="0" w:color="auto"/>
              <w:left w:val="single" w:sz="4" w:space="0" w:color="auto"/>
              <w:right w:val="single" w:sz="4" w:space="0" w:color="auto"/>
            </w:tcBorders>
            <w:shd w:val="clear" w:color="auto" w:fill="auto"/>
            <w:noWrap/>
            <w:vAlign w:val="center"/>
            <w:hideMark/>
          </w:tcPr>
          <w:p w14:paraId="7157A3D4"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1,864,053</w:t>
            </w:r>
          </w:p>
        </w:tc>
        <w:tc>
          <w:tcPr>
            <w:tcW w:w="1260" w:type="dxa"/>
            <w:tcBorders>
              <w:top w:val="single" w:sz="4" w:space="0" w:color="auto"/>
              <w:left w:val="single" w:sz="4" w:space="0" w:color="auto"/>
              <w:right w:val="single" w:sz="4" w:space="0" w:color="auto"/>
            </w:tcBorders>
            <w:shd w:val="clear" w:color="auto" w:fill="auto"/>
            <w:noWrap/>
            <w:vAlign w:val="center"/>
            <w:hideMark/>
          </w:tcPr>
          <w:p w14:paraId="4A34F121"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w:t>
            </w:r>
          </w:p>
        </w:tc>
        <w:tc>
          <w:tcPr>
            <w:tcW w:w="1170" w:type="dxa"/>
            <w:tcBorders>
              <w:top w:val="single" w:sz="4" w:space="0" w:color="auto"/>
              <w:left w:val="single" w:sz="4" w:space="0" w:color="auto"/>
              <w:right w:val="single" w:sz="4" w:space="0" w:color="auto"/>
            </w:tcBorders>
            <w:shd w:val="clear" w:color="auto" w:fill="auto"/>
            <w:noWrap/>
            <w:vAlign w:val="center"/>
            <w:hideMark/>
          </w:tcPr>
          <w:p w14:paraId="6C13553A"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5,474,988</w:t>
            </w:r>
          </w:p>
        </w:tc>
        <w:tc>
          <w:tcPr>
            <w:tcW w:w="1260" w:type="dxa"/>
            <w:tcBorders>
              <w:top w:val="single" w:sz="4" w:space="0" w:color="auto"/>
              <w:left w:val="single" w:sz="4" w:space="0" w:color="auto"/>
              <w:right w:val="single" w:sz="4" w:space="0" w:color="auto"/>
            </w:tcBorders>
            <w:shd w:val="clear" w:color="auto" w:fill="auto"/>
            <w:noWrap/>
            <w:vAlign w:val="center"/>
            <w:hideMark/>
          </w:tcPr>
          <w:p w14:paraId="3CB994E5"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w:t>
            </w:r>
          </w:p>
        </w:tc>
        <w:tc>
          <w:tcPr>
            <w:tcW w:w="1350" w:type="dxa"/>
            <w:tcBorders>
              <w:top w:val="single" w:sz="4" w:space="0" w:color="auto"/>
              <w:left w:val="single" w:sz="4" w:space="0" w:color="auto"/>
              <w:right w:val="single" w:sz="4" w:space="0" w:color="auto"/>
            </w:tcBorders>
            <w:shd w:val="clear" w:color="auto" w:fill="auto"/>
            <w:noWrap/>
            <w:vAlign w:val="center"/>
            <w:hideMark/>
          </w:tcPr>
          <w:p w14:paraId="3691F4BA"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308,046,217</w:t>
            </w:r>
          </w:p>
        </w:tc>
        <w:tc>
          <w:tcPr>
            <w:tcW w:w="1260" w:type="dxa"/>
            <w:tcBorders>
              <w:top w:val="single" w:sz="4" w:space="0" w:color="auto"/>
              <w:left w:val="single" w:sz="4" w:space="0" w:color="auto"/>
              <w:right w:val="double" w:sz="4" w:space="0" w:color="auto"/>
            </w:tcBorders>
            <w:shd w:val="clear" w:color="auto" w:fill="auto"/>
            <w:noWrap/>
            <w:vAlign w:val="center"/>
            <w:hideMark/>
          </w:tcPr>
          <w:p w14:paraId="18664DC1"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w:t>
            </w:r>
          </w:p>
        </w:tc>
      </w:tr>
      <w:tr w:rsidR="00F42C5F" w:rsidRPr="00CF22A0" w14:paraId="350EB5C4" w14:textId="77777777" w:rsidTr="00D87F40">
        <w:trPr>
          <w:trHeight w:val="87"/>
        </w:trPr>
        <w:tc>
          <w:tcPr>
            <w:tcW w:w="1505" w:type="dxa"/>
            <w:gridSpan w:val="2"/>
            <w:vMerge/>
            <w:tcBorders>
              <w:left w:val="double" w:sz="4" w:space="0" w:color="auto"/>
              <w:bottom w:val="single" w:sz="4" w:space="0" w:color="auto"/>
              <w:right w:val="single" w:sz="4" w:space="0" w:color="auto"/>
            </w:tcBorders>
            <w:vAlign w:val="center"/>
            <w:hideMark/>
          </w:tcPr>
          <w:p w14:paraId="4804F62B"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p>
        </w:tc>
        <w:tc>
          <w:tcPr>
            <w:tcW w:w="1270" w:type="dxa"/>
            <w:tcBorders>
              <w:left w:val="single" w:sz="4" w:space="0" w:color="auto"/>
              <w:bottom w:val="single" w:sz="4" w:space="0" w:color="auto"/>
              <w:right w:val="single" w:sz="4" w:space="0" w:color="auto"/>
            </w:tcBorders>
            <w:shd w:val="clear" w:color="auto" w:fill="auto"/>
            <w:noWrap/>
            <w:vAlign w:val="center"/>
            <w:hideMark/>
          </w:tcPr>
          <w:p w14:paraId="01649C47"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94.6%</w:t>
            </w:r>
          </w:p>
        </w:tc>
        <w:tc>
          <w:tcPr>
            <w:tcW w:w="720" w:type="dxa"/>
            <w:tcBorders>
              <w:left w:val="single" w:sz="4" w:space="0" w:color="auto"/>
              <w:bottom w:val="single" w:sz="4" w:space="0" w:color="auto"/>
              <w:right w:val="single" w:sz="4" w:space="0" w:color="auto"/>
            </w:tcBorders>
            <w:shd w:val="clear" w:color="auto" w:fill="auto"/>
            <w:noWrap/>
            <w:vAlign w:val="center"/>
            <w:hideMark/>
          </w:tcPr>
          <w:p w14:paraId="0BCBFC4E"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w:t>
            </w:r>
          </w:p>
        </w:tc>
        <w:tc>
          <w:tcPr>
            <w:tcW w:w="1170" w:type="dxa"/>
            <w:tcBorders>
              <w:left w:val="single" w:sz="4" w:space="0" w:color="auto"/>
              <w:bottom w:val="single" w:sz="4" w:space="0" w:color="auto"/>
              <w:right w:val="single" w:sz="4" w:space="0" w:color="auto"/>
            </w:tcBorders>
            <w:shd w:val="clear" w:color="auto" w:fill="auto"/>
            <w:noWrap/>
            <w:vAlign w:val="center"/>
            <w:hideMark/>
          </w:tcPr>
          <w:p w14:paraId="2B9AEBC5"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62.9%</w:t>
            </w:r>
          </w:p>
        </w:tc>
        <w:tc>
          <w:tcPr>
            <w:tcW w:w="1170" w:type="dxa"/>
            <w:tcBorders>
              <w:left w:val="single" w:sz="4" w:space="0" w:color="auto"/>
              <w:bottom w:val="single" w:sz="4" w:space="0" w:color="auto"/>
              <w:right w:val="single" w:sz="4" w:space="0" w:color="auto"/>
            </w:tcBorders>
            <w:shd w:val="clear" w:color="auto" w:fill="auto"/>
            <w:noWrap/>
            <w:vAlign w:val="center"/>
            <w:hideMark/>
          </w:tcPr>
          <w:p w14:paraId="7153A2B7"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80.6%</w:t>
            </w:r>
          </w:p>
        </w:tc>
        <w:tc>
          <w:tcPr>
            <w:tcW w:w="1350" w:type="dxa"/>
            <w:tcBorders>
              <w:left w:val="single" w:sz="4" w:space="0" w:color="auto"/>
              <w:bottom w:val="single" w:sz="4" w:space="0" w:color="auto"/>
              <w:right w:val="single" w:sz="4" w:space="0" w:color="auto"/>
            </w:tcBorders>
            <w:shd w:val="clear" w:color="auto" w:fill="auto"/>
            <w:noWrap/>
            <w:vAlign w:val="center"/>
            <w:hideMark/>
          </w:tcPr>
          <w:p w14:paraId="30964D3E"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98.7%</w:t>
            </w:r>
          </w:p>
        </w:tc>
        <w:tc>
          <w:tcPr>
            <w:tcW w:w="1170" w:type="dxa"/>
            <w:tcBorders>
              <w:left w:val="single" w:sz="4" w:space="0" w:color="auto"/>
              <w:bottom w:val="single" w:sz="4" w:space="0" w:color="auto"/>
              <w:right w:val="single" w:sz="4" w:space="0" w:color="auto"/>
            </w:tcBorders>
            <w:shd w:val="clear" w:color="auto" w:fill="auto"/>
            <w:noWrap/>
            <w:vAlign w:val="center"/>
            <w:hideMark/>
          </w:tcPr>
          <w:p w14:paraId="111DFE0C"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74.4%</w:t>
            </w:r>
          </w:p>
        </w:tc>
        <w:tc>
          <w:tcPr>
            <w:tcW w:w="1260" w:type="dxa"/>
            <w:tcBorders>
              <w:left w:val="single" w:sz="4" w:space="0" w:color="auto"/>
              <w:bottom w:val="single" w:sz="4" w:space="0" w:color="auto"/>
              <w:right w:val="single" w:sz="4" w:space="0" w:color="auto"/>
            </w:tcBorders>
            <w:shd w:val="clear" w:color="auto" w:fill="auto"/>
            <w:noWrap/>
            <w:vAlign w:val="center"/>
            <w:hideMark/>
          </w:tcPr>
          <w:p w14:paraId="46A7C084"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N/A</w:t>
            </w:r>
          </w:p>
        </w:tc>
        <w:tc>
          <w:tcPr>
            <w:tcW w:w="1170" w:type="dxa"/>
            <w:tcBorders>
              <w:left w:val="single" w:sz="4" w:space="0" w:color="auto"/>
              <w:bottom w:val="single" w:sz="4" w:space="0" w:color="auto"/>
              <w:right w:val="single" w:sz="4" w:space="0" w:color="auto"/>
            </w:tcBorders>
            <w:shd w:val="clear" w:color="auto" w:fill="auto"/>
            <w:noWrap/>
            <w:vAlign w:val="center"/>
            <w:hideMark/>
          </w:tcPr>
          <w:p w14:paraId="2C915D99"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87.8%</w:t>
            </w:r>
          </w:p>
        </w:tc>
        <w:tc>
          <w:tcPr>
            <w:tcW w:w="1260" w:type="dxa"/>
            <w:tcBorders>
              <w:left w:val="single" w:sz="4" w:space="0" w:color="auto"/>
              <w:bottom w:val="single" w:sz="4" w:space="0" w:color="auto"/>
              <w:right w:val="single" w:sz="4" w:space="0" w:color="auto"/>
            </w:tcBorders>
            <w:shd w:val="clear" w:color="auto" w:fill="auto"/>
            <w:noWrap/>
            <w:vAlign w:val="center"/>
          </w:tcPr>
          <w:p w14:paraId="5FC081A9"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N/A</w:t>
            </w:r>
          </w:p>
        </w:tc>
        <w:tc>
          <w:tcPr>
            <w:tcW w:w="1350" w:type="dxa"/>
            <w:tcBorders>
              <w:left w:val="single" w:sz="4" w:space="0" w:color="auto"/>
              <w:bottom w:val="single" w:sz="4" w:space="0" w:color="auto"/>
              <w:right w:val="single" w:sz="4" w:space="0" w:color="auto"/>
            </w:tcBorders>
            <w:shd w:val="clear" w:color="auto" w:fill="auto"/>
            <w:noWrap/>
            <w:vAlign w:val="center"/>
            <w:hideMark/>
          </w:tcPr>
          <w:p w14:paraId="773B0A61"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99.1%</w:t>
            </w:r>
          </w:p>
        </w:tc>
        <w:tc>
          <w:tcPr>
            <w:tcW w:w="1260" w:type="dxa"/>
            <w:tcBorders>
              <w:left w:val="single" w:sz="4" w:space="0" w:color="auto"/>
              <w:bottom w:val="single" w:sz="4" w:space="0" w:color="auto"/>
              <w:right w:val="double" w:sz="4" w:space="0" w:color="auto"/>
            </w:tcBorders>
            <w:shd w:val="clear" w:color="auto" w:fill="auto"/>
            <w:noWrap/>
            <w:vAlign w:val="center"/>
            <w:hideMark/>
          </w:tcPr>
          <w:p w14:paraId="2F0A3136"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N/A</w:t>
            </w:r>
          </w:p>
        </w:tc>
      </w:tr>
      <w:tr w:rsidR="00F42C5F" w:rsidRPr="00CF22A0" w14:paraId="321F7043" w14:textId="77777777" w:rsidTr="00D87F40">
        <w:trPr>
          <w:trHeight w:val="755"/>
        </w:trPr>
        <w:tc>
          <w:tcPr>
            <w:tcW w:w="1505" w:type="dxa"/>
            <w:gridSpan w:val="2"/>
            <w:vMerge w:val="restart"/>
            <w:tcBorders>
              <w:top w:val="single" w:sz="4" w:space="0" w:color="auto"/>
              <w:left w:val="double" w:sz="4" w:space="0" w:color="auto"/>
              <w:right w:val="single" w:sz="4" w:space="0" w:color="auto"/>
            </w:tcBorders>
            <w:shd w:val="clear" w:color="000000" w:fill="C6E0B4"/>
            <w:vAlign w:val="center"/>
            <w:hideMark/>
          </w:tcPr>
          <w:p w14:paraId="105FEF2E"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xml:space="preserve">Blocks With Partial LTE Coverage </w:t>
            </w:r>
          </w:p>
        </w:tc>
        <w:tc>
          <w:tcPr>
            <w:tcW w:w="1270" w:type="dxa"/>
            <w:tcBorders>
              <w:top w:val="single" w:sz="4" w:space="0" w:color="auto"/>
              <w:left w:val="single" w:sz="4" w:space="0" w:color="auto"/>
              <w:right w:val="single" w:sz="4" w:space="0" w:color="auto"/>
            </w:tcBorders>
            <w:shd w:val="clear" w:color="auto" w:fill="auto"/>
            <w:noWrap/>
            <w:vAlign w:val="center"/>
            <w:hideMark/>
          </w:tcPr>
          <w:p w14:paraId="4B677C6B"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351,511</w:t>
            </w:r>
          </w:p>
        </w:tc>
        <w:tc>
          <w:tcPr>
            <w:tcW w:w="720" w:type="dxa"/>
            <w:tcBorders>
              <w:top w:val="single" w:sz="4" w:space="0" w:color="auto"/>
              <w:left w:val="single" w:sz="4" w:space="0" w:color="auto"/>
              <w:right w:val="single" w:sz="4" w:space="0" w:color="auto"/>
            </w:tcBorders>
            <w:shd w:val="clear" w:color="auto" w:fill="auto"/>
            <w:noWrap/>
            <w:vAlign w:val="center"/>
            <w:hideMark/>
          </w:tcPr>
          <w:p w14:paraId="5C1D045D"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3</w:t>
            </w:r>
          </w:p>
        </w:tc>
        <w:tc>
          <w:tcPr>
            <w:tcW w:w="1170" w:type="dxa"/>
            <w:tcBorders>
              <w:top w:val="single" w:sz="4" w:space="0" w:color="auto"/>
              <w:left w:val="single" w:sz="4" w:space="0" w:color="auto"/>
              <w:right w:val="single" w:sz="4" w:space="0" w:color="auto"/>
            </w:tcBorders>
            <w:shd w:val="clear" w:color="auto" w:fill="auto"/>
            <w:noWrap/>
            <w:vAlign w:val="center"/>
            <w:hideMark/>
          </w:tcPr>
          <w:p w14:paraId="603D486A"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1,008,007</w:t>
            </w:r>
          </w:p>
        </w:tc>
        <w:tc>
          <w:tcPr>
            <w:tcW w:w="1170" w:type="dxa"/>
            <w:tcBorders>
              <w:top w:val="single" w:sz="4" w:space="0" w:color="auto"/>
              <w:left w:val="single" w:sz="4" w:space="0" w:color="auto"/>
              <w:right w:val="single" w:sz="4" w:space="0" w:color="auto"/>
            </w:tcBorders>
            <w:shd w:val="clear" w:color="auto" w:fill="auto"/>
            <w:noWrap/>
            <w:vAlign w:val="center"/>
            <w:hideMark/>
          </w:tcPr>
          <w:p w14:paraId="2A0FE22D"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1,137,707</w:t>
            </w:r>
          </w:p>
        </w:tc>
        <w:tc>
          <w:tcPr>
            <w:tcW w:w="1350" w:type="dxa"/>
            <w:tcBorders>
              <w:top w:val="single" w:sz="4" w:space="0" w:color="auto"/>
              <w:left w:val="single" w:sz="4" w:space="0" w:color="auto"/>
              <w:right w:val="single" w:sz="4" w:space="0" w:color="auto"/>
            </w:tcBorders>
            <w:shd w:val="clear" w:color="auto" w:fill="auto"/>
            <w:noWrap/>
            <w:vAlign w:val="center"/>
            <w:hideMark/>
          </w:tcPr>
          <w:p w14:paraId="3E649FC1"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3,377,520</w:t>
            </w:r>
          </w:p>
        </w:tc>
        <w:tc>
          <w:tcPr>
            <w:tcW w:w="1170" w:type="dxa"/>
            <w:tcBorders>
              <w:top w:val="single" w:sz="4" w:space="0" w:color="auto"/>
              <w:left w:val="single" w:sz="4" w:space="0" w:color="auto"/>
              <w:right w:val="single" w:sz="4" w:space="0" w:color="auto"/>
            </w:tcBorders>
            <w:shd w:val="clear" w:color="auto" w:fill="auto"/>
            <w:noWrap/>
            <w:vAlign w:val="center"/>
            <w:hideMark/>
          </w:tcPr>
          <w:p w14:paraId="35518CED"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w:t>
            </w:r>
          </w:p>
        </w:tc>
        <w:tc>
          <w:tcPr>
            <w:tcW w:w="1260" w:type="dxa"/>
            <w:tcBorders>
              <w:top w:val="single" w:sz="4" w:space="0" w:color="auto"/>
              <w:left w:val="single" w:sz="4" w:space="0" w:color="auto"/>
              <w:right w:val="single" w:sz="4" w:space="0" w:color="auto"/>
            </w:tcBorders>
            <w:shd w:val="clear" w:color="auto" w:fill="auto"/>
            <w:noWrap/>
            <w:vAlign w:val="center"/>
            <w:hideMark/>
          </w:tcPr>
          <w:p w14:paraId="14982376"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w:t>
            </w:r>
          </w:p>
        </w:tc>
        <w:tc>
          <w:tcPr>
            <w:tcW w:w="1170" w:type="dxa"/>
            <w:tcBorders>
              <w:top w:val="single" w:sz="4" w:space="0" w:color="auto"/>
              <w:left w:val="single" w:sz="4" w:space="0" w:color="auto"/>
              <w:right w:val="single" w:sz="4" w:space="0" w:color="auto"/>
            </w:tcBorders>
            <w:shd w:val="clear" w:color="auto" w:fill="auto"/>
            <w:noWrap/>
            <w:vAlign w:val="center"/>
            <w:hideMark/>
          </w:tcPr>
          <w:p w14:paraId="2B9524A9"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w:t>
            </w:r>
          </w:p>
        </w:tc>
        <w:tc>
          <w:tcPr>
            <w:tcW w:w="1260" w:type="dxa"/>
            <w:tcBorders>
              <w:top w:val="single" w:sz="4" w:space="0" w:color="auto"/>
              <w:left w:val="single" w:sz="4" w:space="0" w:color="auto"/>
              <w:right w:val="single" w:sz="4" w:space="0" w:color="auto"/>
            </w:tcBorders>
            <w:shd w:val="clear" w:color="auto" w:fill="auto"/>
            <w:noWrap/>
            <w:vAlign w:val="center"/>
            <w:hideMark/>
          </w:tcPr>
          <w:p w14:paraId="13AC231E"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w:t>
            </w:r>
          </w:p>
        </w:tc>
        <w:tc>
          <w:tcPr>
            <w:tcW w:w="1350" w:type="dxa"/>
            <w:tcBorders>
              <w:top w:val="single" w:sz="4" w:space="0" w:color="auto"/>
              <w:left w:val="single" w:sz="4" w:space="0" w:color="auto"/>
              <w:right w:val="single" w:sz="4" w:space="0" w:color="auto"/>
            </w:tcBorders>
            <w:shd w:val="clear" w:color="auto" w:fill="auto"/>
            <w:noWrap/>
            <w:vAlign w:val="center"/>
            <w:hideMark/>
          </w:tcPr>
          <w:p w14:paraId="4DCBE075"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w:t>
            </w:r>
          </w:p>
        </w:tc>
        <w:tc>
          <w:tcPr>
            <w:tcW w:w="1260" w:type="dxa"/>
            <w:tcBorders>
              <w:top w:val="single" w:sz="4" w:space="0" w:color="auto"/>
              <w:left w:val="single" w:sz="4" w:space="0" w:color="auto"/>
              <w:right w:val="double" w:sz="4" w:space="0" w:color="auto"/>
            </w:tcBorders>
            <w:shd w:val="clear" w:color="auto" w:fill="auto"/>
            <w:noWrap/>
            <w:vAlign w:val="center"/>
            <w:hideMark/>
          </w:tcPr>
          <w:p w14:paraId="216EC8F0"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w:t>
            </w:r>
          </w:p>
        </w:tc>
      </w:tr>
      <w:tr w:rsidR="00F42C5F" w:rsidRPr="00CF22A0" w14:paraId="695D0B41" w14:textId="77777777" w:rsidTr="00D87F40">
        <w:trPr>
          <w:trHeight w:val="87"/>
        </w:trPr>
        <w:tc>
          <w:tcPr>
            <w:tcW w:w="1505" w:type="dxa"/>
            <w:gridSpan w:val="2"/>
            <w:vMerge/>
            <w:tcBorders>
              <w:left w:val="double" w:sz="4" w:space="0" w:color="auto"/>
              <w:bottom w:val="double" w:sz="4" w:space="0" w:color="auto"/>
              <w:right w:val="single" w:sz="4" w:space="0" w:color="auto"/>
            </w:tcBorders>
            <w:vAlign w:val="center"/>
            <w:hideMark/>
          </w:tcPr>
          <w:p w14:paraId="7B228258"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p>
        </w:tc>
        <w:tc>
          <w:tcPr>
            <w:tcW w:w="1270" w:type="dxa"/>
            <w:tcBorders>
              <w:left w:val="single" w:sz="4" w:space="0" w:color="auto"/>
              <w:bottom w:val="single" w:sz="4" w:space="0" w:color="auto"/>
              <w:right w:val="single" w:sz="4" w:space="0" w:color="auto"/>
            </w:tcBorders>
            <w:shd w:val="clear" w:color="auto" w:fill="auto"/>
            <w:noWrap/>
            <w:vAlign w:val="center"/>
            <w:hideMark/>
          </w:tcPr>
          <w:p w14:paraId="75EF5929"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3.3%</w:t>
            </w:r>
          </w:p>
        </w:tc>
        <w:tc>
          <w:tcPr>
            <w:tcW w:w="720" w:type="dxa"/>
            <w:tcBorders>
              <w:left w:val="single" w:sz="4" w:space="0" w:color="auto"/>
              <w:bottom w:val="single" w:sz="4" w:space="0" w:color="auto"/>
              <w:right w:val="single" w:sz="4" w:space="0" w:color="auto"/>
            </w:tcBorders>
            <w:shd w:val="clear" w:color="auto" w:fill="auto"/>
            <w:noWrap/>
            <w:vAlign w:val="center"/>
            <w:hideMark/>
          </w:tcPr>
          <w:p w14:paraId="7A3C6903"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w:t>
            </w:r>
          </w:p>
        </w:tc>
        <w:tc>
          <w:tcPr>
            <w:tcW w:w="1170" w:type="dxa"/>
            <w:tcBorders>
              <w:left w:val="single" w:sz="4" w:space="0" w:color="auto"/>
              <w:bottom w:val="single" w:sz="4" w:space="0" w:color="auto"/>
              <w:right w:val="single" w:sz="4" w:space="0" w:color="auto"/>
            </w:tcBorders>
            <w:shd w:val="clear" w:color="auto" w:fill="auto"/>
            <w:noWrap/>
            <w:vAlign w:val="center"/>
            <w:hideMark/>
          </w:tcPr>
          <w:p w14:paraId="7A958050"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34.0%</w:t>
            </w:r>
          </w:p>
        </w:tc>
        <w:tc>
          <w:tcPr>
            <w:tcW w:w="1170" w:type="dxa"/>
            <w:tcBorders>
              <w:left w:val="single" w:sz="4" w:space="0" w:color="auto"/>
              <w:bottom w:val="single" w:sz="4" w:space="0" w:color="auto"/>
              <w:right w:val="single" w:sz="4" w:space="0" w:color="auto"/>
            </w:tcBorders>
            <w:shd w:val="clear" w:color="auto" w:fill="auto"/>
            <w:noWrap/>
            <w:vAlign w:val="center"/>
            <w:hideMark/>
          </w:tcPr>
          <w:p w14:paraId="54687060"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16.8%</w:t>
            </w:r>
          </w:p>
        </w:tc>
        <w:tc>
          <w:tcPr>
            <w:tcW w:w="1350" w:type="dxa"/>
            <w:tcBorders>
              <w:left w:val="single" w:sz="4" w:space="0" w:color="auto"/>
              <w:bottom w:val="single" w:sz="4" w:space="0" w:color="auto"/>
              <w:right w:val="single" w:sz="4" w:space="0" w:color="auto"/>
            </w:tcBorders>
            <w:shd w:val="clear" w:color="auto" w:fill="auto"/>
            <w:noWrap/>
            <w:vAlign w:val="center"/>
            <w:hideMark/>
          </w:tcPr>
          <w:p w14:paraId="45AC01B2"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1.1%</w:t>
            </w:r>
          </w:p>
        </w:tc>
        <w:tc>
          <w:tcPr>
            <w:tcW w:w="1170" w:type="dxa"/>
            <w:tcBorders>
              <w:left w:val="single" w:sz="4" w:space="0" w:color="auto"/>
              <w:bottom w:val="single" w:sz="4" w:space="0" w:color="auto"/>
              <w:right w:val="single" w:sz="4" w:space="0" w:color="auto"/>
            </w:tcBorders>
            <w:shd w:val="clear" w:color="auto" w:fill="auto"/>
            <w:noWrap/>
            <w:vAlign w:val="center"/>
            <w:hideMark/>
          </w:tcPr>
          <w:p w14:paraId="72C9D5F0"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w:t>
            </w:r>
          </w:p>
        </w:tc>
        <w:tc>
          <w:tcPr>
            <w:tcW w:w="1260" w:type="dxa"/>
            <w:tcBorders>
              <w:left w:val="single" w:sz="4" w:space="0" w:color="auto"/>
              <w:bottom w:val="single" w:sz="4" w:space="0" w:color="auto"/>
              <w:right w:val="single" w:sz="4" w:space="0" w:color="auto"/>
            </w:tcBorders>
            <w:shd w:val="clear" w:color="auto" w:fill="auto"/>
            <w:noWrap/>
            <w:vAlign w:val="center"/>
            <w:hideMark/>
          </w:tcPr>
          <w:p w14:paraId="442154F1"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w:t>
            </w:r>
          </w:p>
        </w:tc>
        <w:tc>
          <w:tcPr>
            <w:tcW w:w="1170" w:type="dxa"/>
            <w:tcBorders>
              <w:left w:val="single" w:sz="4" w:space="0" w:color="auto"/>
              <w:bottom w:val="single" w:sz="4" w:space="0" w:color="auto"/>
              <w:right w:val="single" w:sz="4" w:space="0" w:color="auto"/>
            </w:tcBorders>
            <w:shd w:val="clear" w:color="auto" w:fill="auto"/>
            <w:noWrap/>
            <w:vAlign w:val="center"/>
            <w:hideMark/>
          </w:tcPr>
          <w:p w14:paraId="4DC48C06"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w:t>
            </w:r>
          </w:p>
        </w:tc>
        <w:tc>
          <w:tcPr>
            <w:tcW w:w="1260" w:type="dxa"/>
            <w:tcBorders>
              <w:left w:val="single" w:sz="4" w:space="0" w:color="auto"/>
              <w:bottom w:val="single" w:sz="4" w:space="0" w:color="auto"/>
              <w:right w:val="single" w:sz="4" w:space="0" w:color="auto"/>
            </w:tcBorders>
            <w:shd w:val="clear" w:color="auto" w:fill="auto"/>
            <w:noWrap/>
            <w:vAlign w:val="center"/>
            <w:hideMark/>
          </w:tcPr>
          <w:p w14:paraId="083CA04B"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w:t>
            </w:r>
          </w:p>
        </w:tc>
        <w:tc>
          <w:tcPr>
            <w:tcW w:w="1350" w:type="dxa"/>
            <w:tcBorders>
              <w:left w:val="single" w:sz="4" w:space="0" w:color="auto"/>
              <w:bottom w:val="single" w:sz="4" w:space="0" w:color="auto"/>
              <w:right w:val="single" w:sz="4" w:space="0" w:color="auto"/>
            </w:tcBorders>
            <w:shd w:val="clear" w:color="auto" w:fill="auto"/>
            <w:noWrap/>
            <w:vAlign w:val="center"/>
            <w:hideMark/>
          </w:tcPr>
          <w:p w14:paraId="18DE161F"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w:t>
            </w:r>
          </w:p>
        </w:tc>
        <w:tc>
          <w:tcPr>
            <w:tcW w:w="1260" w:type="dxa"/>
            <w:tcBorders>
              <w:left w:val="single" w:sz="4" w:space="0" w:color="auto"/>
              <w:bottom w:val="single" w:sz="4" w:space="0" w:color="auto"/>
              <w:right w:val="double" w:sz="4" w:space="0" w:color="auto"/>
            </w:tcBorders>
            <w:shd w:val="clear" w:color="auto" w:fill="auto"/>
            <w:noWrap/>
            <w:vAlign w:val="center"/>
            <w:hideMark/>
          </w:tcPr>
          <w:p w14:paraId="1B035192"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w:t>
            </w:r>
          </w:p>
        </w:tc>
      </w:tr>
      <w:tr w:rsidR="00F42C5F" w:rsidRPr="00CF22A0" w14:paraId="4B0DC308" w14:textId="77777777" w:rsidTr="00D87F40">
        <w:trPr>
          <w:trHeight w:val="300"/>
        </w:trPr>
        <w:tc>
          <w:tcPr>
            <w:tcW w:w="255" w:type="dxa"/>
            <w:tcBorders>
              <w:top w:val="double" w:sz="4" w:space="0" w:color="auto"/>
              <w:right w:val="double" w:sz="4" w:space="0" w:color="auto"/>
            </w:tcBorders>
            <w:shd w:val="clear" w:color="auto" w:fill="auto"/>
            <w:vAlign w:val="center"/>
            <w:hideMark/>
          </w:tcPr>
          <w:p w14:paraId="3185A5D0"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w:t>
            </w:r>
          </w:p>
        </w:tc>
        <w:tc>
          <w:tcPr>
            <w:tcW w:w="1250" w:type="dxa"/>
            <w:tcBorders>
              <w:top w:val="double" w:sz="4" w:space="0" w:color="auto"/>
              <w:left w:val="double" w:sz="4" w:space="0" w:color="auto"/>
              <w:right w:val="single" w:sz="4" w:space="0" w:color="auto"/>
            </w:tcBorders>
            <w:shd w:val="clear" w:color="auto" w:fill="auto"/>
            <w:noWrap/>
            <w:vAlign w:val="bottom"/>
            <w:hideMark/>
          </w:tcPr>
          <w:p w14:paraId="6F36F74C" w14:textId="77777777" w:rsidR="00F42C5F" w:rsidRPr="00C51C72" w:rsidRDefault="00F42C5F" w:rsidP="00D87F40">
            <w:pPr>
              <w:spacing w:after="0" w:line="240" w:lineRule="auto"/>
              <w:rPr>
                <w:rFonts w:ascii="Times New Roman" w:eastAsia="Times New Roman" w:hAnsi="Times New Roman" w:cs="Times New Roman"/>
                <w:color w:val="000000"/>
                <w:sz w:val="22"/>
                <w:szCs w:val="22"/>
              </w:rPr>
            </w:pPr>
            <w:r w:rsidRPr="00C51C72">
              <w:rPr>
                <w:rFonts w:ascii="Times New Roman" w:eastAsia="Times New Roman" w:hAnsi="Times New Roman" w:cs="Times New Roman"/>
                <w:color w:val="000000"/>
                <w:sz w:val="22"/>
                <w:szCs w:val="22"/>
              </w:rPr>
              <w:t>Covered</w:t>
            </w:r>
          </w:p>
        </w:tc>
        <w:tc>
          <w:tcPr>
            <w:tcW w:w="1270" w:type="dxa"/>
            <w:tcBorders>
              <w:top w:val="single" w:sz="4" w:space="0" w:color="auto"/>
              <w:left w:val="single" w:sz="4" w:space="0" w:color="auto"/>
              <w:bottom w:val="nil"/>
              <w:right w:val="single" w:sz="4" w:space="0" w:color="auto"/>
            </w:tcBorders>
            <w:shd w:val="clear" w:color="auto" w:fill="auto"/>
            <w:noWrap/>
            <w:vAlign w:val="center"/>
            <w:hideMark/>
          </w:tcPr>
          <w:p w14:paraId="2ABA1D8A"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w:t>
            </w:r>
          </w:p>
        </w:tc>
        <w:tc>
          <w:tcPr>
            <w:tcW w:w="720" w:type="dxa"/>
            <w:tcBorders>
              <w:top w:val="single" w:sz="4" w:space="0" w:color="auto"/>
              <w:left w:val="single" w:sz="4" w:space="0" w:color="auto"/>
              <w:bottom w:val="nil"/>
              <w:right w:val="single" w:sz="4" w:space="0" w:color="auto"/>
            </w:tcBorders>
            <w:shd w:val="clear" w:color="auto" w:fill="auto"/>
            <w:noWrap/>
            <w:vAlign w:val="center"/>
            <w:hideMark/>
          </w:tcPr>
          <w:p w14:paraId="410C0595"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w:t>
            </w:r>
          </w:p>
        </w:tc>
        <w:tc>
          <w:tcPr>
            <w:tcW w:w="1170" w:type="dxa"/>
            <w:tcBorders>
              <w:top w:val="single" w:sz="4" w:space="0" w:color="auto"/>
              <w:left w:val="single" w:sz="4" w:space="0" w:color="auto"/>
              <w:bottom w:val="nil"/>
              <w:right w:val="single" w:sz="4" w:space="0" w:color="auto"/>
            </w:tcBorders>
            <w:shd w:val="clear" w:color="auto" w:fill="auto"/>
            <w:noWrap/>
            <w:vAlign w:val="center"/>
            <w:hideMark/>
          </w:tcPr>
          <w:p w14:paraId="053F05CA"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w:t>
            </w:r>
          </w:p>
        </w:tc>
        <w:tc>
          <w:tcPr>
            <w:tcW w:w="1170" w:type="dxa"/>
            <w:tcBorders>
              <w:top w:val="single" w:sz="4" w:space="0" w:color="auto"/>
              <w:left w:val="single" w:sz="4" w:space="0" w:color="auto"/>
              <w:bottom w:val="nil"/>
              <w:right w:val="single" w:sz="4" w:space="0" w:color="auto"/>
            </w:tcBorders>
            <w:shd w:val="clear" w:color="auto" w:fill="auto"/>
            <w:noWrap/>
            <w:vAlign w:val="center"/>
            <w:hideMark/>
          </w:tcPr>
          <w:p w14:paraId="5DCDD5FF"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w:t>
            </w:r>
          </w:p>
        </w:tc>
        <w:tc>
          <w:tcPr>
            <w:tcW w:w="1350" w:type="dxa"/>
            <w:tcBorders>
              <w:top w:val="single" w:sz="4" w:space="0" w:color="auto"/>
              <w:left w:val="single" w:sz="4" w:space="0" w:color="auto"/>
              <w:bottom w:val="nil"/>
              <w:right w:val="single" w:sz="4" w:space="0" w:color="auto"/>
            </w:tcBorders>
            <w:shd w:val="clear" w:color="auto" w:fill="auto"/>
            <w:noWrap/>
            <w:vAlign w:val="center"/>
            <w:hideMark/>
          </w:tcPr>
          <w:p w14:paraId="3C9779A5"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w:t>
            </w:r>
          </w:p>
        </w:tc>
        <w:tc>
          <w:tcPr>
            <w:tcW w:w="1170" w:type="dxa"/>
            <w:tcBorders>
              <w:top w:val="single" w:sz="4" w:space="0" w:color="auto"/>
              <w:left w:val="single" w:sz="4" w:space="0" w:color="auto"/>
              <w:bottom w:val="nil"/>
              <w:right w:val="single" w:sz="4" w:space="0" w:color="auto"/>
            </w:tcBorders>
            <w:shd w:val="clear" w:color="auto" w:fill="auto"/>
            <w:noWrap/>
            <w:vAlign w:val="center"/>
            <w:hideMark/>
          </w:tcPr>
          <w:p w14:paraId="1A2278E6"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642,543</w:t>
            </w:r>
          </w:p>
        </w:tc>
        <w:tc>
          <w:tcPr>
            <w:tcW w:w="1260" w:type="dxa"/>
            <w:tcBorders>
              <w:top w:val="single" w:sz="4" w:space="0" w:color="auto"/>
              <w:left w:val="single" w:sz="4" w:space="0" w:color="auto"/>
              <w:bottom w:val="nil"/>
              <w:right w:val="single" w:sz="4" w:space="0" w:color="auto"/>
            </w:tcBorders>
            <w:shd w:val="clear" w:color="auto" w:fill="auto"/>
            <w:noWrap/>
            <w:vAlign w:val="center"/>
            <w:hideMark/>
          </w:tcPr>
          <w:p w14:paraId="3784CDBF"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w:t>
            </w:r>
          </w:p>
        </w:tc>
        <w:tc>
          <w:tcPr>
            <w:tcW w:w="1170" w:type="dxa"/>
            <w:tcBorders>
              <w:top w:val="single" w:sz="4" w:space="0" w:color="auto"/>
              <w:left w:val="single" w:sz="4" w:space="0" w:color="auto"/>
              <w:bottom w:val="nil"/>
              <w:right w:val="single" w:sz="4" w:space="0" w:color="auto"/>
            </w:tcBorders>
            <w:shd w:val="clear" w:color="auto" w:fill="auto"/>
            <w:noWrap/>
            <w:vAlign w:val="center"/>
            <w:hideMark/>
          </w:tcPr>
          <w:p w14:paraId="7CD5E915"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759,838</w:t>
            </w:r>
          </w:p>
        </w:tc>
        <w:tc>
          <w:tcPr>
            <w:tcW w:w="1260" w:type="dxa"/>
            <w:tcBorders>
              <w:top w:val="single" w:sz="4" w:space="0" w:color="auto"/>
              <w:left w:val="single" w:sz="4" w:space="0" w:color="auto"/>
              <w:bottom w:val="nil"/>
              <w:right w:val="single" w:sz="4" w:space="0" w:color="auto"/>
            </w:tcBorders>
            <w:shd w:val="clear" w:color="auto" w:fill="auto"/>
            <w:noWrap/>
            <w:vAlign w:val="center"/>
            <w:hideMark/>
          </w:tcPr>
          <w:p w14:paraId="355BBC85"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w:t>
            </w:r>
          </w:p>
        </w:tc>
        <w:tc>
          <w:tcPr>
            <w:tcW w:w="1350" w:type="dxa"/>
            <w:tcBorders>
              <w:top w:val="single" w:sz="4" w:space="0" w:color="auto"/>
              <w:left w:val="single" w:sz="4" w:space="0" w:color="auto"/>
              <w:bottom w:val="nil"/>
              <w:right w:val="single" w:sz="4" w:space="0" w:color="auto"/>
            </w:tcBorders>
            <w:shd w:val="clear" w:color="auto" w:fill="auto"/>
            <w:noWrap/>
            <w:vAlign w:val="center"/>
            <w:hideMark/>
          </w:tcPr>
          <w:p w14:paraId="1B5C17C1"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2,656,594</w:t>
            </w:r>
          </w:p>
        </w:tc>
        <w:tc>
          <w:tcPr>
            <w:tcW w:w="1260" w:type="dxa"/>
            <w:tcBorders>
              <w:top w:val="single" w:sz="4" w:space="0" w:color="auto"/>
              <w:left w:val="single" w:sz="4" w:space="0" w:color="auto"/>
              <w:bottom w:val="nil"/>
              <w:right w:val="double" w:sz="4" w:space="0" w:color="auto"/>
            </w:tcBorders>
            <w:shd w:val="clear" w:color="auto" w:fill="auto"/>
            <w:noWrap/>
            <w:vAlign w:val="center"/>
            <w:hideMark/>
          </w:tcPr>
          <w:p w14:paraId="37080DFF"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w:t>
            </w:r>
          </w:p>
        </w:tc>
      </w:tr>
      <w:tr w:rsidR="00F42C5F" w:rsidRPr="00CF22A0" w14:paraId="6D2A31C5" w14:textId="77777777" w:rsidTr="00D87F40">
        <w:trPr>
          <w:trHeight w:val="300"/>
        </w:trPr>
        <w:tc>
          <w:tcPr>
            <w:tcW w:w="255" w:type="dxa"/>
            <w:tcBorders>
              <w:top w:val="nil"/>
              <w:right w:val="double" w:sz="4" w:space="0" w:color="auto"/>
            </w:tcBorders>
            <w:shd w:val="clear" w:color="auto" w:fill="auto"/>
            <w:vAlign w:val="center"/>
            <w:hideMark/>
          </w:tcPr>
          <w:p w14:paraId="69FFEA1D"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w:t>
            </w:r>
          </w:p>
        </w:tc>
        <w:tc>
          <w:tcPr>
            <w:tcW w:w="1250" w:type="dxa"/>
            <w:tcBorders>
              <w:top w:val="nil"/>
              <w:left w:val="double" w:sz="4" w:space="0" w:color="auto"/>
              <w:bottom w:val="single" w:sz="4" w:space="0" w:color="auto"/>
              <w:right w:val="single" w:sz="4" w:space="0" w:color="auto"/>
            </w:tcBorders>
            <w:shd w:val="clear" w:color="auto" w:fill="auto"/>
            <w:noWrap/>
            <w:vAlign w:val="bottom"/>
            <w:hideMark/>
          </w:tcPr>
          <w:p w14:paraId="19C53D12" w14:textId="77777777" w:rsidR="00F42C5F" w:rsidRPr="00C51C72" w:rsidRDefault="00F42C5F" w:rsidP="00D87F40">
            <w:pPr>
              <w:spacing w:after="0" w:line="240" w:lineRule="auto"/>
              <w:rPr>
                <w:rFonts w:ascii="Times New Roman" w:eastAsia="Times New Roman" w:hAnsi="Times New Roman" w:cs="Times New Roman"/>
                <w:color w:val="000000"/>
                <w:sz w:val="22"/>
                <w:szCs w:val="22"/>
              </w:rPr>
            </w:pPr>
            <w:r w:rsidRPr="00C51C72">
              <w:rPr>
                <w:rFonts w:ascii="Times New Roman" w:eastAsia="Times New Roman" w:hAnsi="Times New Roman" w:cs="Times New Roman"/>
                <w:color w:val="000000"/>
                <w:sz w:val="22"/>
                <w:szCs w:val="22"/>
              </w:rPr>
              <w:t> </w:t>
            </w:r>
          </w:p>
        </w:tc>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3EC4898C"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4DD8792"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11A69900"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3F4847E0"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52FA4307"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5EA3789"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25.6%</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6561745C"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6B9D558"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12.2%</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023A8EB4"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1B813AED"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0.9%</w:t>
            </w:r>
          </w:p>
        </w:tc>
        <w:tc>
          <w:tcPr>
            <w:tcW w:w="1260" w:type="dxa"/>
            <w:tcBorders>
              <w:top w:val="nil"/>
              <w:left w:val="single" w:sz="4" w:space="0" w:color="auto"/>
              <w:bottom w:val="single" w:sz="4" w:space="0" w:color="auto"/>
              <w:right w:val="double" w:sz="4" w:space="0" w:color="auto"/>
            </w:tcBorders>
            <w:shd w:val="clear" w:color="auto" w:fill="auto"/>
            <w:noWrap/>
            <w:vAlign w:val="center"/>
            <w:hideMark/>
          </w:tcPr>
          <w:p w14:paraId="47BE5E08"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w:t>
            </w:r>
          </w:p>
        </w:tc>
      </w:tr>
      <w:tr w:rsidR="00F42C5F" w:rsidRPr="00CF22A0" w14:paraId="7498B1FF" w14:textId="77777777" w:rsidTr="00D87F40">
        <w:trPr>
          <w:trHeight w:val="300"/>
        </w:trPr>
        <w:tc>
          <w:tcPr>
            <w:tcW w:w="255" w:type="dxa"/>
            <w:tcBorders>
              <w:bottom w:val="nil"/>
              <w:right w:val="double" w:sz="4" w:space="0" w:color="auto"/>
            </w:tcBorders>
            <w:shd w:val="clear" w:color="auto" w:fill="auto"/>
            <w:vAlign w:val="center"/>
            <w:hideMark/>
          </w:tcPr>
          <w:p w14:paraId="06C43CBE"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w:t>
            </w:r>
          </w:p>
        </w:tc>
        <w:tc>
          <w:tcPr>
            <w:tcW w:w="1250" w:type="dxa"/>
            <w:tcBorders>
              <w:top w:val="single" w:sz="4" w:space="0" w:color="auto"/>
              <w:left w:val="double" w:sz="4" w:space="0" w:color="auto"/>
              <w:bottom w:val="nil"/>
              <w:right w:val="single" w:sz="4" w:space="0" w:color="auto"/>
            </w:tcBorders>
            <w:shd w:val="clear" w:color="auto" w:fill="auto"/>
            <w:noWrap/>
            <w:vAlign w:val="bottom"/>
            <w:hideMark/>
          </w:tcPr>
          <w:p w14:paraId="315B0756" w14:textId="77777777" w:rsidR="00F42C5F" w:rsidRPr="00C51C72" w:rsidRDefault="00F42C5F" w:rsidP="00D87F40">
            <w:pPr>
              <w:spacing w:after="0" w:line="240" w:lineRule="auto"/>
              <w:rPr>
                <w:rFonts w:ascii="Times New Roman" w:eastAsia="Times New Roman" w:hAnsi="Times New Roman" w:cs="Times New Roman"/>
                <w:color w:val="000000"/>
                <w:sz w:val="22"/>
                <w:szCs w:val="22"/>
              </w:rPr>
            </w:pPr>
            <w:r w:rsidRPr="00C51C72">
              <w:rPr>
                <w:rFonts w:ascii="Times New Roman" w:eastAsia="Times New Roman" w:hAnsi="Times New Roman" w:cs="Times New Roman"/>
                <w:color w:val="000000"/>
                <w:sz w:val="22"/>
                <w:szCs w:val="22"/>
              </w:rPr>
              <w:t>Uncovered</w:t>
            </w:r>
          </w:p>
        </w:tc>
        <w:tc>
          <w:tcPr>
            <w:tcW w:w="1270" w:type="dxa"/>
            <w:tcBorders>
              <w:top w:val="single" w:sz="4" w:space="0" w:color="auto"/>
              <w:left w:val="single" w:sz="4" w:space="0" w:color="auto"/>
              <w:bottom w:val="nil"/>
              <w:right w:val="single" w:sz="4" w:space="0" w:color="auto"/>
            </w:tcBorders>
            <w:shd w:val="clear" w:color="auto" w:fill="auto"/>
            <w:noWrap/>
            <w:vAlign w:val="center"/>
            <w:hideMark/>
          </w:tcPr>
          <w:p w14:paraId="0C353E92"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w:t>
            </w:r>
          </w:p>
        </w:tc>
        <w:tc>
          <w:tcPr>
            <w:tcW w:w="720" w:type="dxa"/>
            <w:tcBorders>
              <w:top w:val="single" w:sz="4" w:space="0" w:color="auto"/>
              <w:left w:val="single" w:sz="4" w:space="0" w:color="auto"/>
              <w:bottom w:val="nil"/>
              <w:right w:val="single" w:sz="4" w:space="0" w:color="auto"/>
            </w:tcBorders>
            <w:shd w:val="clear" w:color="auto" w:fill="auto"/>
            <w:noWrap/>
            <w:vAlign w:val="center"/>
            <w:hideMark/>
          </w:tcPr>
          <w:p w14:paraId="71AE0FB9"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w:t>
            </w:r>
          </w:p>
        </w:tc>
        <w:tc>
          <w:tcPr>
            <w:tcW w:w="1170" w:type="dxa"/>
            <w:tcBorders>
              <w:top w:val="single" w:sz="4" w:space="0" w:color="auto"/>
              <w:left w:val="single" w:sz="4" w:space="0" w:color="auto"/>
              <w:bottom w:val="nil"/>
              <w:right w:val="single" w:sz="4" w:space="0" w:color="auto"/>
            </w:tcBorders>
            <w:shd w:val="clear" w:color="auto" w:fill="auto"/>
            <w:noWrap/>
            <w:vAlign w:val="center"/>
            <w:hideMark/>
          </w:tcPr>
          <w:p w14:paraId="3D9E1E40"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w:t>
            </w:r>
          </w:p>
        </w:tc>
        <w:tc>
          <w:tcPr>
            <w:tcW w:w="1170" w:type="dxa"/>
            <w:tcBorders>
              <w:top w:val="single" w:sz="4" w:space="0" w:color="auto"/>
              <w:left w:val="single" w:sz="4" w:space="0" w:color="auto"/>
              <w:bottom w:val="nil"/>
              <w:right w:val="single" w:sz="4" w:space="0" w:color="auto"/>
            </w:tcBorders>
            <w:shd w:val="clear" w:color="auto" w:fill="auto"/>
            <w:noWrap/>
            <w:vAlign w:val="center"/>
            <w:hideMark/>
          </w:tcPr>
          <w:p w14:paraId="75FB4268"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w:t>
            </w:r>
          </w:p>
        </w:tc>
        <w:tc>
          <w:tcPr>
            <w:tcW w:w="1350" w:type="dxa"/>
            <w:tcBorders>
              <w:top w:val="single" w:sz="4" w:space="0" w:color="auto"/>
              <w:left w:val="single" w:sz="4" w:space="0" w:color="auto"/>
              <w:bottom w:val="nil"/>
              <w:right w:val="single" w:sz="4" w:space="0" w:color="auto"/>
            </w:tcBorders>
            <w:shd w:val="clear" w:color="auto" w:fill="auto"/>
            <w:noWrap/>
            <w:vAlign w:val="center"/>
            <w:hideMark/>
          </w:tcPr>
          <w:p w14:paraId="432F82B9"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w:t>
            </w:r>
          </w:p>
        </w:tc>
        <w:tc>
          <w:tcPr>
            <w:tcW w:w="1170" w:type="dxa"/>
            <w:tcBorders>
              <w:top w:val="single" w:sz="4" w:space="0" w:color="auto"/>
              <w:left w:val="single" w:sz="4" w:space="0" w:color="auto"/>
              <w:bottom w:val="nil"/>
              <w:right w:val="single" w:sz="4" w:space="0" w:color="auto"/>
            </w:tcBorders>
            <w:shd w:val="clear" w:color="auto" w:fill="auto"/>
            <w:noWrap/>
            <w:vAlign w:val="center"/>
            <w:hideMark/>
          </w:tcPr>
          <w:p w14:paraId="10B6BF43"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w:t>
            </w:r>
          </w:p>
        </w:tc>
        <w:tc>
          <w:tcPr>
            <w:tcW w:w="1260" w:type="dxa"/>
            <w:tcBorders>
              <w:top w:val="single" w:sz="4" w:space="0" w:color="auto"/>
              <w:left w:val="single" w:sz="4" w:space="0" w:color="auto"/>
              <w:bottom w:val="nil"/>
              <w:right w:val="single" w:sz="4" w:space="0" w:color="auto"/>
            </w:tcBorders>
            <w:shd w:val="clear" w:color="auto" w:fill="auto"/>
            <w:noWrap/>
            <w:vAlign w:val="center"/>
            <w:hideMark/>
          </w:tcPr>
          <w:p w14:paraId="4DD42ED4"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365,464</w:t>
            </w:r>
          </w:p>
        </w:tc>
        <w:tc>
          <w:tcPr>
            <w:tcW w:w="1170" w:type="dxa"/>
            <w:tcBorders>
              <w:top w:val="single" w:sz="4" w:space="0" w:color="auto"/>
              <w:left w:val="single" w:sz="4" w:space="0" w:color="auto"/>
              <w:bottom w:val="nil"/>
              <w:right w:val="single" w:sz="4" w:space="0" w:color="auto"/>
            </w:tcBorders>
            <w:shd w:val="clear" w:color="auto" w:fill="auto"/>
            <w:noWrap/>
            <w:vAlign w:val="center"/>
            <w:hideMark/>
          </w:tcPr>
          <w:p w14:paraId="60154B69"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w:t>
            </w:r>
          </w:p>
        </w:tc>
        <w:tc>
          <w:tcPr>
            <w:tcW w:w="1260" w:type="dxa"/>
            <w:tcBorders>
              <w:top w:val="single" w:sz="4" w:space="0" w:color="auto"/>
              <w:left w:val="single" w:sz="4" w:space="0" w:color="auto"/>
              <w:bottom w:val="nil"/>
              <w:right w:val="single" w:sz="4" w:space="0" w:color="auto"/>
            </w:tcBorders>
            <w:shd w:val="clear" w:color="auto" w:fill="auto"/>
            <w:noWrap/>
            <w:vAlign w:val="center"/>
            <w:hideMark/>
          </w:tcPr>
          <w:p w14:paraId="2BFAF787"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377,869</w:t>
            </w:r>
          </w:p>
        </w:tc>
        <w:tc>
          <w:tcPr>
            <w:tcW w:w="1350" w:type="dxa"/>
            <w:tcBorders>
              <w:top w:val="single" w:sz="4" w:space="0" w:color="auto"/>
              <w:left w:val="single" w:sz="4" w:space="0" w:color="auto"/>
              <w:bottom w:val="nil"/>
              <w:right w:val="single" w:sz="4" w:space="0" w:color="auto"/>
            </w:tcBorders>
            <w:shd w:val="clear" w:color="auto" w:fill="auto"/>
            <w:noWrap/>
            <w:vAlign w:val="center"/>
            <w:hideMark/>
          </w:tcPr>
          <w:p w14:paraId="55F6BD99"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w:t>
            </w:r>
          </w:p>
        </w:tc>
        <w:tc>
          <w:tcPr>
            <w:tcW w:w="1260" w:type="dxa"/>
            <w:tcBorders>
              <w:top w:val="single" w:sz="4" w:space="0" w:color="auto"/>
              <w:left w:val="single" w:sz="4" w:space="0" w:color="auto"/>
              <w:bottom w:val="nil"/>
              <w:right w:val="double" w:sz="4" w:space="0" w:color="auto"/>
            </w:tcBorders>
            <w:shd w:val="clear" w:color="auto" w:fill="auto"/>
            <w:noWrap/>
            <w:vAlign w:val="center"/>
            <w:hideMark/>
          </w:tcPr>
          <w:p w14:paraId="75D48253"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720,926</w:t>
            </w:r>
          </w:p>
        </w:tc>
      </w:tr>
      <w:tr w:rsidR="00F42C5F" w:rsidRPr="00CF22A0" w14:paraId="041041D3" w14:textId="77777777" w:rsidTr="00D87F40">
        <w:trPr>
          <w:trHeight w:val="315"/>
        </w:trPr>
        <w:tc>
          <w:tcPr>
            <w:tcW w:w="255" w:type="dxa"/>
            <w:tcBorders>
              <w:top w:val="nil"/>
              <w:bottom w:val="single" w:sz="4" w:space="0" w:color="auto"/>
              <w:right w:val="double" w:sz="4" w:space="0" w:color="auto"/>
            </w:tcBorders>
            <w:shd w:val="clear" w:color="auto" w:fill="auto"/>
            <w:vAlign w:val="center"/>
            <w:hideMark/>
          </w:tcPr>
          <w:p w14:paraId="20F1699E"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w:t>
            </w:r>
          </w:p>
        </w:tc>
        <w:tc>
          <w:tcPr>
            <w:tcW w:w="1250" w:type="dxa"/>
            <w:tcBorders>
              <w:top w:val="nil"/>
              <w:left w:val="double" w:sz="4" w:space="0" w:color="auto"/>
              <w:bottom w:val="single" w:sz="4" w:space="0" w:color="auto"/>
              <w:right w:val="single" w:sz="4" w:space="0" w:color="auto"/>
            </w:tcBorders>
            <w:shd w:val="clear" w:color="auto" w:fill="auto"/>
            <w:noWrap/>
            <w:vAlign w:val="bottom"/>
            <w:hideMark/>
          </w:tcPr>
          <w:p w14:paraId="686D8E1D" w14:textId="77777777" w:rsidR="00F42C5F" w:rsidRPr="00C51C72" w:rsidRDefault="00F42C5F" w:rsidP="00D87F40">
            <w:pPr>
              <w:spacing w:after="0" w:line="240" w:lineRule="auto"/>
              <w:rPr>
                <w:rFonts w:ascii="Times New Roman" w:eastAsia="Times New Roman" w:hAnsi="Times New Roman" w:cs="Times New Roman"/>
                <w:color w:val="000000"/>
                <w:sz w:val="22"/>
                <w:szCs w:val="22"/>
              </w:rPr>
            </w:pPr>
          </w:p>
        </w:tc>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4DF1E5D2"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40A89B9"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33524F48"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77B84529"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73422516"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B95AC1C"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47F89666"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77.8%</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6AE93EF"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126DF93D"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67.8%</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1FFF6298"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w:t>
            </w:r>
          </w:p>
        </w:tc>
        <w:tc>
          <w:tcPr>
            <w:tcW w:w="1260" w:type="dxa"/>
            <w:tcBorders>
              <w:top w:val="nil"/>
              <w:left w:val="single" w:sz="4" w:space="0" w:color="auto"/>
              <w:bottom w:val="single" w:sz="4" w:space="0" w:color="auto"/>
              <w:right w:val="double" w:sz="4" w:space="0" w:color="auto"/>
            </w:tcBorders>
            <w:shd w:val="clear" w:color="auto" w:fill="auto"/>
            <w:noWrap/>
            <w:vAlign w:val="center"/>
            <w:hideMark/>
          </w:tcPr>
          <w:p w14:paraId="237614FF"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50.3%</w:t>
            </w:r>
          </w:p>
        </w:tc>
      </w:tr>
      <w:tr w:rsidR="00F42C5F" w:rsidRPr="00CF22A0" w14:paraId="5C169967" w14:textId="77777777" w:rsidTr="00D87F40">
        <w:trPr>
          <w:trHeight w:val="638"/>
        </w:trPr>
        <w:tc>
          <w:tcPr>
            <w:tcW w:w="1505" w:type="dxa"/>
            <w:gridSpan w:val="2"/>
            <w:vMerge w:val="restart"/>
            <w:tcBorders>
              <w:top w:val="single" w:sz="4" w:space="0" w:color="auto"/>
              <w:left w:val="double" w:sz="4" w:space="0" w:color="auto"/>
              <w:right w:val="single" w:sz="4" w:space="0" w:color="auto"/>
            </w:tcBorders>
            <w:shd w:val="clear" w:color="000000" w:fill="C6E0B4"/>
            <w:vAlign w:val="center"/>
            <w:hideMark/>
          </w:tcPr>
          <w:p w14:paraId="7EB9DE31"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xml:space="preserve">Blocks With No LTE Coverage* </w:t>
            </w:r>
          </w:p>
        </w:tc>
        <w:tc>
          <w:tcPr>
            <w:tcW w:w="1270" w:type="dxa"/>
            <w:tcBorders>
              <w:top w:val="single" w:sz="4" w:space="0" w:color="auto"/>
              <w:left w:val="single" w:sz="4" w:space="0" w:color="auto"/>
              <w:right w:val="single" w:sz="4" w:space="0" w:color="auto"/>
            </w:tcBorders>
            <w:shd w:val="clear" w:color="auto" w:fill="auto"/>
            <w:noWrap/>
            <w:vAlign w:val="center"/>
            <w:hideMark/>
          </w:tcPr>
          <w:p w14:paraId="3B8DF3E3"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215,920</w:t>
            </w:r>
          </w:p>
        </w:tc>
        <w:tc>
          <w:tcPr>
            <w:tcW w:w="720" w:type="dxa"/>
            <w:tcBorders>
              <w:top w:val="single" w:sz="4" w:space="0" w:color="auto"/>
              <w:left w:val="single" w:sz="4" w:space="0" w:color="auto"/>
              <w:right w:val="single" w:sz="4" w:space="0" w:color="auto"/>
            </w:tcBorders>
            <w:shd w:val="clear" w:color="auto" w:fill="auto"/>
            <w:noWrap/>
            <w:vAlign w:val="center"/>
            <w:hideMark/>
          </w:tcPr>
          <w:p w14:paraId="4FD22F7E"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7</w:t>
            </w:r>
          </w:p>
        </w:tc>
        <w:tc>
          <w:tcPr>
            <w:tcW w:w="1170" w:type="dxa"/>
            <w:tcBorders>
              <w:top w:val="single" w:sz="4" w:space="0" w:color="auto"/>
              <w:left w:val="single" w:sz="4" w:space="0" w:color="auto"/>
              <w:right w:val="single" w:sz="4" w:space="0" w:color="auto"/>
            </w:tcBorders>
            <w:shd w:val="clear" w:color="auto" w:fill="auto"/>
            <w:noWrap/>
            <w:vAlign w:val="center"/>
            <w:hideMark/>
          </w:tcPr>
          <w:p w14:paraId="4D74E16B"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104,007</w:t>
            </w:r>
          </w:p>
        </w:tc>
        <w:tc>
          <w:tcPr>
            <w:tcW w:w="1170" w:type="dxa"/>
            <w:tcBorders>
              <w:top w:val="single" w:sz="4" w:space="0" w:color="auto"/>
              <w:left w:val="single" w:sz="4" w:space="0" w:color="auto"/>
              <w:right w:val="single" w:sz="4" w:space="0" w:color="auto"/>
            </w:tcBorders>
            <w:shd w:val="clear" w:color="auto" w:fill="auto"/>
            <w:noWrap/>
            <w:vAlign w:val="center"/>
            <w:hideMark/>
          </w:tcPr>
          <w:p w14:paraId="17F8AE40"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179,411</w:t>
            </w:r>
          </w:p>
        </w:tc>
        <w:tc>
          <w:tcPr>
            <w:tcW w:w="1350" w:type="dxa"/>
            <w:tcBorders>
              <w:top w:val="single" w:sz="4" w:space="0" w:color="auto"/>
              <w:left w:val="single" w:sz="4" w:space="0" w:color="auto"/>
              <w:right w:val="single" w:sz="4" w:space="0" w:color="auto"/>
            </w:tcBorders>
            <w:shd w:val="clear" w:color="auto" w:fill="auto"/>
            <w:noWrap/>
            <w:vAlign w:val="center"/>
            <w:hideMark/>
          </w:tcPr>
          <w:p w14:paraId="3A4181B3"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712,524</w:t>
            </w:r>
          </w:p>
        </w:tc>
        <w:tc>
          <w:tcPr>
            <w:tcW w:w="1170" w:type="dxa"/>
            <w:tcBorders>
              <w:top w:val="single" w:sz="4" w:space="0" w:color="auto"/>
              <w:left w:val="single" w:sz="4" w:space="0" w:color="auto"/>
              <w:right w:val="single" w:sz="4" w:space="0" w:color="auto"/>
            </w:tcBorders>
            <w:shd w:val="clear" w:color="auto" w:fill="auto"/>
            <w:noWrap/>
            <w:vAlign w:val="center"/>
            <w:hideMark/>
          </w:tcPr>
          <w:p w14:paraId="7E198F8F"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w:t>
            </w:r>
          </w:p>
        </w:tc>
        <w:tc>
          <w:tcPr>
            <w:tcW w:w="1260" w:type="dxa"/>
            <w:tcBorders>
              <w:top w:val="single" w:sz="4" w:space="0" w:color="auto"/>
              <w:left w:val="single" w:sz="4" w:space="0" w:color="auto"/>
              <w:right w:val="single" w:sz="4" w:space="0" w:color="auto"/>
            </w:tcBorders>
            <w:shd w:val="clear" w:color="auto" w:fill="auto"/>
            <w:noWrap/>
            <w:vAlign w:val="center"/>
            <w:hideMark/>
          </w:tcPr>
          <w:p w14:paraId="35A5517E"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104,404</w:t>
            </w:r>
          </w:p>
        </w:tc>
        <w:tc>
          <w:tcPr>
            <w:tcW w:w="1170" w:type="dxa"/>
            <w:tcBorders>
              <w:top w:val="single" w:sz="4" w:space="0" w:color="auto"/>
              <w:left w:val="single" w:sz="4" w:space="0" w:color="auto"/>
              <w:right w:val="single" w:sz="4" w:space="0" w:color="auto"/>
            </w:tcBorders>
            <w:shd w:val="clear" w:color="auto" w:fill="auto"/>
            <w:noWrap/>
            <w:vAlign w:val="center"/>
            <w:hideMark/>
          </w:tcPr>
          <w:p w14:paraId="22342205"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w:t>
            </w:r>
          </w:p>
        </w:tc>
        <w:tc>
          <w:tcPr>
            <w:tcW w:w="1260" w:type="dxa"/>
            <w:tcBorders>
              <w:top w:val="single" w:sz="4" w:space="0" w:color="auto"/>
              <w:left w:val="single" w:sz="4" w:space="0" w:color="auto"/>
              <w:right w:val="single" w:sz="4" w:space="0" w:color="auto"/>
            </w:tcBorders>
            <w:shd w:val="clear" w:color="auto" w:fill="auto"/>
            <w:noWrap/>
            <w:vAlign w:val="center"/>
            <w:hideMark/>
          </w:tcPr>
          <w:p w14:paraId="4509EC16"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179,411</w:t>
            </w:r>
          </w:p>
        </w:tc>
        <w:tc>
          <w:tcPr>
            <w:tcW w:w="1350" w:type="dxa"/>
            <w:tcBorders>
              <w:top w:val="single" w:sz="4" w:space="0" w:color="auto"/>
              <w:left w:val="single" w:sz="4" w:space="0" w:color="auto"/>
              <w:right w:val="single" w:sz="4" w:space="0" w:color="auto"/>
            </w:tcBorders>
            <w:shd w:val="clear" w:color="auto" w:fill="auto"/>
            <w:noWrap/>
            <w:vAlign w:val="center"/>
            <w:hideMark/>
          </w:tcPr>
          <w:p w14:paraId="28B2F2C4"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w:t>
            </w:r>
          </w:p>
        </w:tc>
        <w:tc>
          <w:tcPr>
            <w:tcW w:w="1260" w:type="dxa"/>
            <w:tcBorders>
              <w:top w:val="single" w:sz="4" w:space="0" w:color="auto"/>
              <w:left w:val="single" w:sz="4" w:space="0" w:color="auto"/>
              <w:right w:val="double" w:sz="4" w:space="0" w:color="auto"/>
            </w:tcBorders>
            <w:shd w:val="clear" w:color="auto" w:fill="auto"/>
            <w:noWrap/>
            <w:vAlign w:val="center"/>
            <w:hideMark/>
          </w:tcPr>
          <w:p w14:paraId="74181CD2"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712,524</w:t>
            </w:r>
          </w:p>
        </w:tc>
      </w:tr>
      <w:tr w:rsidR="00F42C5F" w:rsidRPr="00CF22A0" w14:paraId="0281FCEA" w14:textId="77777777" w:rsidTr="00D87F40">
        <w:trPr>
          <w:trHeight w:val="315"/>
        </w:trPr>
        <w:tc>
          <w:tcPr>
            <w:tcW w:w="1505" w:type="dxa"/>
            <w:gridSpan w:val="2"/>
            <w:vMerge/>
            <w:tcBorders>
              <w:left w:val="double" w:sz="4" w:space="0" w:color="auto"/>
              <w:bottom w:val="double" w:sz="4" w:space="0" w:color="auto"/>
              <w:right w:val="single" w:sz="4" w:space="0" w:color="auto"/>
            </w:tcBorders>
            <w:vAlign w:val="center"/>
            <w:hideMark/>
          </w:tcPr>
          <w:p w14:paraId="6A07DAA8"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p>
        </w:tc>
        <w:tc>
          <w:tcPr>
            <w:tcW w:w="1270" w:type="dxa"/>
            <w:tcBorders>
              <w:left w:val="single" w:sz="4" w:space="0" w:color="auto"/>
              <w:bottom w:val="double" w:sz="4" w:space="0" w:color="auto"/>
              <w:right w:val="single" w:sz="4" w:space="0" w:color="auto"/>
            </w:tcBorders>
            <w:shd w:val="clear" w:color="auto" w:fill="auto"/>
            <w:noWrap/>
            <w:vAlign w:val="center"/>
            <w:hideMark/>
          </w:tcPr>
          <w:p w14:paraId="4A5C61DB"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2.0%</w:t>
            </w:r>
          </w:p>
        </w:tc>
        <w:tc>
          <w:tcPr>
            <w:tcW w:w="720" w:type="dxa"/>
            <w:tcBorders>
              <w:left w:val="single" w:sz="4" w:space="0" w:color="auto"/>
              <w:bottom w:val="double" w:sz="4" w:space="0" w:color="auto"/>
              <w:right w:val="single" w:sz="4" w:space="0" w:color="auto"/>
            </w:tcBorders>
            <w:shd w:val="clear" w:color="auto" w:fill="auto"/>
            <w:noWrap/>
            <w:vAlign w:val="center"/>
            <w:hideMark/>
          </w:tcPr>
          <w:p w14:paraId="5522EDF1"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w:t>
            </w:r>
          </w:p>
        </w:tc>
        <w:tc>
          <w:tcPr>
            <w:tcW w:w="1170" w:type="dxa"/>
            <w:tcBorders>
              <w:left w:val="single" w:sz="4" w:space="0" w:color="auto"/>
              <w:bottom w:val="double" w:sz="4" w:space="0" w:color="auto"/>
              <w:right w:val="single" w:sz="4" w:space="0" w:color="auto"/>
            </w:tcBorders>
            <w:shd w:val="clear" w:color="auto" w:fill="auto"/>
            <w:noWrap/>
            <w:vAlign w:val="center"/>
            <w:hideMark/>
          </w:tcPr>
          <w:p w14:paraId="380F1928"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3.5%</w:t>
            </w:r>
          </w:p>
        </w:tc>
        <w:tc>
          <w:tcPr>
            <w:tcW w:w="1170" w:type="dxa"/>
            <w:tcBorders>
              <w:left w:val="single" w:sz="4" w:space="0" w:color="auto"/>
              <w:bottom w:val="double" w:sz="4" w:space="0" w:color="auto"/>
              <w:right w:val="single" w:sz="4" w:space="0" w:color="auto"/>
            </w:tcBorders>
            <w:shd w:val="clear" w:color="auto" w:fill="auto"/>
            <w:noWrap/>
            <w:vAlign w:val="center"/>
            <w:hideMark/>
          </w:tcPr>
          <w:p w14:paraId="3644EEDF"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2.6%</w:t>
            </w:r>
          </w:p>
        </w:tc>
        <w:tc>
          <w:tcPr>
            <w:tcW w:w="1350" w:type="dxa"/>
            <w:tcBorders>
              <w:left w:val="single" w:sz="4" w:space="0" w:color="auto"/>
              <w:bottom w:val="double" w:sz="4" w:space="0" w:color="auto"/>
              <w:right w:val="single" w:sz="4" w:space="0" w:color="auto"/>
            </w:tcBorders>
            <w:shd w:val="clear" w:color="auto" w:fill="auto"/>
            <w:noWrap/>
            <w:vAlign w:val="center"/>
            <w:hideMark/>
          </w:tcPr>
          <w:p w14:paraId="0D8CA49A"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0.2%</w:t>
            </w:r>
          </w:p>
        </w:tc>
        <w:tc>
          <w:tcPr>
            <w:tcW w:w="1170" w:type="dxa"/>
            <w:tcBorders>
              <w:left w:val="single" w:sz="4" w:space="0" w:color="auto"/>
              <w:bottom w:val="double" w:sz="4" w:space="0" w:color="auto"/>
              <w:right w:val="single" w:sz="4" w:space="0" w:color="auto"/>
            </w:tcBorders>
            <w:shd w:val="clear" w:color="auto" w:fill="auto"/>
            <w:noWrap/>
            <w:vAlign w:val="center"/>
            <w:hideMark/>
          </w:tcPr>
          <w:p w14:paraId="67935546"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w:t>
            </w:r>
          </w:p>
        </w:tc>
        <w:tc>
          <w:tcPr>
            <w:tcW w:w="1260" w:type="dxa"/>
            <w:tcBorders>
              <w:left w:val="single" w:sz="4" w:space="0" w:color="auto"/>
              <w:bottom w:val="double" w:sz="4" w:space="0" w:color="auto"/>
              <w:right w:val="single" w:sz="4" w:space="0" w:color="auto"/>
            </w:tcBorders>
            <w:shd w:val="clear" w:color="auto" w:fill="auto"/>
            <w:noWrap/>
            <w:vAlign w:val="center"/>
            <w:hideMark/>
          </w:tcPr>
          <w:p w14:paraId="1A3B5A83"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22.2%</w:t>
            </w:r>
          </w:p>
        </w:tc>
        <w:tc>
          <w:tcPr>
            <w:tcW w:w="1170" w:type="dxa"/>
            <w:tcBorders>
              <w:left w:val="single" w:sz="4" w:space="0" w:color="auto"/>
              <w:bottom w:val="double" w:sz="4" w:space="0" w:color="auto"/>
              <w:right w:val="single" w:sz="4" w:space="0" w:color="auto"/>
            </w:tcBorders>
            <w:shd w:val="clear" w:color="auto" w:fill="auto"/>
            <w:noWrap/>
            <w:vAlign w:val="center"/>
            <w:hideMark/>
          </w:tcPr>
          <w:p w14:paraId="720C25A2"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w:t>
            </w:r>
          </w:p>
        </w:tc>
        <w:tc>
          <w:tcPr>
            <w:tcW w:w="1260" w:type="dxa"/>
            <w:tcBorders>
              <w:left w:val="single" w:sz="4" w:space="0" w:color="auto"/>
              <w:bottom w:val="double" w:sz="4" w:space="0" w:color="auto"/>
              <w:right w:val="single" w:sz="4" w:space="0" w:color="auto"/>
            </w:tcBorders>
            <w:shd w:val="clear" w:color="auto" w:fill="auto"/>
            <w:noWrap/>
            <w:vAlign w:val="center"/>
            <w:hideMark/>
          </w:tcPr>
          <w:p w14:paraId="570CB415"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32.2%</w:t>
            </w:r>
          </w:p>
        </w:tc>
        <w:tc>
          <w:tcPr>
            <w:tcW w:w="1350" w:type="dxa"/>
            <w:tcBorders>
              <w:left w:val="single" w:sz="4" w:space="0" w:color="auto"/>
              <w:bottom w:val="double" w:sz="4" w:space="0" w:color="auto"/>
              <w:right w:val="single" w:sz="4" w:space="0" w:color="auto"/>
            </w:tcBorders>
            <w:shd w:val="clear" w:color="auto" w:fill="auto"/>
            <w:noWrap/>
            <w:vAlign w:val="center"/>
            <w:hideMark/>
          </w:tcPr>
          <w:p w14:paraId="1D6569C4"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 </w:t>
            </w:r>
          </w:p>
        </w:tc>
        <w:tc>
          <w:tcPr>
            <w:tcW w:w="1260" w:type="dxa"/>
            <w:tcBorders>
              <w:left w:val="single" w:sz="4" w:space="0" w:color="auto"/>
              <w:bottom w:val="double" w:sz="4" w:space="0" w:color="auto"/>
              <w:right w:val="double" w:sz="4" w:space="0" w:color="auto"/>
            </w:tcBorders>
            <w:shd w:val="clear" w:color="auto" w:fill="auto"/>
            <w:noWrap/>
            <w:vAlign w:val="center"/>
            <w:hideMark/>
          </w:tcPr>
          <w:p w14:paraId="56973967" w14:textId="77777777" w:rsidR="00F42C5F" w:rsidRPr="00CF22A0" w:rsidRDefault="00F42C5F" w:rsidP="00D87F40">
            <w:pPr>
              <w:spacing w:after="0" w:line="240" w:lineRule="auto"/>
              <w:rPr>
                <w:rFonts w:ascii="Times New Roman" w:eastAsia="Times New Roman" w:hAnsi="Times New Roman" w:cs="Times New Roman"/>
                <w:color w:val="000000"/>
                <w:sz w:val="22"/>
                <w:szCs w:val="22"/>
              </w:rPr>
            </w:pPr>
            <w:r w:rsidRPr="00CF22A0">
              <w:rPr>
                <w:rFonts w:ascii="Times New Roman" w:eastAsia="Times New Roman" w:hAnsi="Times New Roman" w:cs="Times New Roman"/>
                <w:color w:val="000000"/>
                <w:sz w:val="22"/>
                <w:szCs w:val="22"/>
              </w:rPr>
              <w:t>49.7%</w:t>
            </w:r>
          </w:p>
        </w:tc>
      </w:tr>
    </w:tbl>
    <w:p w14:paraId="4FD03DFA" w14:textId="77777777" w:rsidR="00F42C5F" w:rsidRPr="00E4790D" w:rsidRDefault="00F42C5F" w:rsidP="00F42C5F">
      <w:pPr>
        <w:pStyle w:val="ListParagraph"/>
        <w:spacing w:after="0" w:line="240" w:lineRule="auto"/>
        <w:ind w:right="-86"/>
        <w:rPr>
          <w:rFonts w:ascii="Times New Roman" w:hAnsi="Times New Roman" w:cs="Times New Roman"/>
          <w:sz w:val="22"/>
          <w:szCs w:val="22"/>
        </w:rPr>
      </w:pPr>
    </w:p>
    <w:p w14:paraId="02E676AB" w14:textId="33ED17CC" w:rsidR="00F42C5F" w:rsidRPr="00E4790D" w:rsidRDefault="00F42C5F" w:rsidP="00F42C5F">
      <w:pPr>
        <w:pStyle w:val="ListParagraph"/>
        <w:spacing w:after="0" w:line="240" w:lineRule="auto"/>
        <w:ind w:right="-86"/>
        <w:rPr>
          <w:rFonts w:ascii="Times New Roman" w:hAnsi="Times New Roman" w:cs="Times New Roman"/>
          <w:sz w:val="22"/>
          <w:szCs w:val="22"/>
        </w:rPr>
      </w:pPr>
      <w:r w:rsidRPr="00E4790D">
        <w:rPr>
          <w:rFonts w:ascii="Times New Roman" w:hAnsi="Times New Roman" w:cs="Times New Roman"/>
          <w:sz w:val="22"/>
          <w:szCs w:val="22"/>
        </w:rPr>
        <w:t xml:space="preserve">Note: Based on Form 477 December 2015 coverage data. 2010 Census data on population and road miles. Blocks exclude Alaska and </w:t>
      </w:r>
      <w:r w:rsidR="00904BE8">
        <w:rPr>
          <w:rFonts w:ascii="Times New Roman" w:hAnsi="Times New Roman" w:cs="Times New Roman"/>
          <w:sz w:val="22"/>
          <w:szCs w:val="22"/>
        </w:rPr>
        <w:t>water-</w:t>
      </w:r>
      <w:r w:rsidRPr="00E4790D">
        <w:rPr>
          <w:rFonts w:ascii="Times New Roman" w:hAnsi="Times New Roman" w:cs="Times New Roman"/>
          <w:sz w:val="22"/>
          <w:szCs w:val="22"/>
        </w:rPr>
        <w:t xml:space="preserve">only blocks. 100% service is actually calculated as 99.9% service to take coverage bleed into account. </w:t>
      </w:r>
    </w:p>
    <w:p w14:paraId="5E63363E" w14:textId="77777777" w:rsidR="00F42C5F" w:rsidRPr="00E4790D" w:rsidRDefault="00F42C5F" w:rsidP="00F42C5F">
      <w:pPr>
        <w:pStyle w:val="ListParagraph"/>
        <w:spacing w:after="0" w:line="240" w:lineRule="auto"/>
        <w:ind w:right="-86"/>
        <w:rPr>
          <w:rFonts w:ascii="Times New Roman" w:hAnsi="Times New Roman" w:cs="Times New Roman"/>
          <w:sz w:val="22"/>
          <w:szCs w:val="22"/>
        </w:rPr>
      </w:pPr>
      <w:r w:rsidRPr="00E4790D">
        <w:rPr>
          <w:rFonts w:ascii="Times New Roman" w:hAnsi="Times New Roman" w:cs="Times New Roman"/>
          <w:sz w:val="22"/>
          <w:szCs w:val="22"/>
        </w:rPr>
        <w:t xml:space="preserve">*This includes blocks with no mobile service and blocks with less than LTE coverage. </w:t>
      </w:r>
    </w:p>
    <w:p w14:paraId="1F24C43E" w14:textId="77777777" w:rsidR="00F42C5F" w:rsidRDefault="00F42C5F" w:rsidP="00F42C5F">
      <w:pPr>
        <w:spacing w:line="360" w:lineRule="auto"/>
        <w:rPr>
          <w:rFonts w:ascii="Times New Roman" w:hAnsi="Times New Roman" w:cs="Times New Roman"/>
          <w:sz w:val="24"/>
          <w:szCs w:val="24"/>
        </w:rPr>
        <w:sectPr w:rsidR="00F42C5F" w:rsidSect="00A43FC2">
          <w:headerReference w:type="default" r:id="rId16"/>
          <w:type w:val="continuous"/>
          <w:pgSz w:w="15840" w:h="12240" w:orient="landscape"/>
          <w:pgMar w:top="1008" w:right="720" w:bottom="1008" w:left="720" w:header="720" w:footer="720" w:gutter="0"/>
          <w:cols w:space="720"/>
          <w:docGrid w:linePitch="360"/>
        </w:sectPr>
      </w:pPr>
    </w:p>
    <w:p w14:paraId="0EA0BCFD" w14:textId="6C7FAC56" w:rsidR="00F42C5F" w:rsidRPr="00375BA6" w:rsidRDefault="00F42C5F" w:rsidP="002F7A8E">
      <w:pPr>
        <w:pStyle w:val="ListParagraph"/>
        <w:spacing w:line="240" w:lineRule="auto"/>
        <w:ind w:left="0"/>
        <w:contextualSpacing w:val="0"/>
        <w:jc w:val="center"/>
        <w:rPr>
          <w:rFonts w:ascii="Times New Roman" w:hAnsi="Times New Roman" w:cs="Times New Roman"/>
          <w:b/>
          <w:sz w:val="24"/>
          <w:szCs w:val="24"/>
          <w:u w:val="single"/>
        </w:rPr>
      </w:pPr>
      <w:r>
        <w:rPr>
          <w:rFonts w:ascii="Times New Roman" w:hAnsi="Times New Roman" w:cs="Times New Roman"/>
          <w:b/>
          <w:sz w:val="24"/>
          <w:szCs w:val="24"/>
          <w:u w:val="single"/>
        </w:rPr>
        <w:br w:type="page"/>
      </w:r>
      <w:r w:rsidRPr="00375BA6">
        <w:rPr>
          <w:rFonts w:ascii="Times New Roman" w:hAnsi="Times New Roman" w:cs="Times New Roman"/>
          <w:b/>
          <w:sz w:val="24"/>
          <w:szCs w:val="24"/>
          <w:u w:val="single"/>
        </w:rPr>
        <w:t xml:space="preserve">Table </w:t>
      </w:r>
      <w:r>
        <w:rPr>
          <w:rFonts w:ascii="Times New Roman" w:hAnsi="Times New Roman" w:cs="Times New Roman"/>
          <w:b/>
          <w:sz w:val="24"/>
          <w:szCs w:val="24"/>
          <w:u w:val="single"/>
        </w:rPr>
        <w:t>2b</w:t>
      </w:r>
    </w:p>
    <w:p w14:paraId="6AEECB15" w14:textId="1DE774B0" w:rsidR="00F42C5F" w:rsidRPr="00744C36" w:rsidRDefault="00F42C5F" w:rsidP="00744C36">
      <w:pPr>
        <w:pStyle w:val="ListParagraph"/>
        <w:spacing w:after="240" w:line="240" w:lineRule="auto"/>
        <w:ind w:left="0"/>
        <w:contextualSpacing w:val="0"/>
        <w:jc w:val="center"/>
        <w:rPr>
          <w:rFonts w:ascii="Times New Roman" w:hAnsi="Times New Roman" w:cs="Times New Roman"/>
          <w:b/>
          <w:sz w:val="24"/>
          <w:szCs w:val="24"/>
          <w:u w:val="single"/>
        </w:rPr>
      </w:pPr>
      <w:r>
        <w:rPr>
          <w:rFonts w:ascii="Times New Roman" w:hAnsi="Times New Roman" w:cs="Times New Roman"/>
          <w:b/>
          <w:sz w:val="24"/>
          <w:szCs w:val="24"/>
          <w:u w:val="single"/>
        </w:rPr>
        <w:t>Tribal</w:t>
      </w:r>
      <w:r w:rsidRPr="00375BA6">
        <w:rPr>
          <w:rFonts w:ascii="Times New Roman" w:hAnsi="Times New Roman" w:cs="Times New Roman"/>
          <w:b/>
          <w:sz w:val="24"/>
          <w:szCs w:val="24"/>
          <w:u w:val="single"/>
        </w:rPr>
        <w:t xml:space="preserve"> Coverage Analysis (</w:t>
      </w:r>
      <w:r w:rsidR="00241FBF">
        <w:rPr>
          <w:rFonts w:ascii="Times New Roman" w:hAnsi="Times New Roman" w:cs="Times New Roman"/>
          <w:b/>
          <w:sz w:val="24"/>
          <w:szCs w:val="24"/>
          <w:u w:val="single"/>
        </w:rPr>
        <w:t>Excluding</w:t>
      </w:r>
      <w:r w:rsidR="00241FBF" w:rsidRPr="00375BA6">
        <w:rPr>
          <w:rFonts w:ascii="Times New Roman" w:hAnsi="Times New Roman" w:cs="Times New Roman"/>
          <w:b/>
          <w:sz w:val="24"/>
          <w:szCs w:val="24"/>
          <w:u w:val="single"/>
        </w:rPr>
        <w:t xml:space="preserve"> </w:t>
      </w:r>
      <w:r w:rsidRPr="00375BA6">
        <w:rPr>
          <w:rFonts w:ascii="Times New Roman" w:hAnsi="Times New Roman" w:cs="Times New Roman"/>
          <w:b/>
          <w:sz w:val="24"/>
          <w:szCs w:val="24"/>
          <w:u w:val="single"/>
        </w:rPr>
        <w:t>Alaska): LTE Coverage</w:t>
      </w:r>
    </w:p>
    <w:tbl>
      <w:tblPr>
        <w:tblW w:w="14677" w:type="dxa"/>
        <w:tblLayout w:type="fixed"/>
        <w:tblLook w:val="04A0" w:firstRow="1" w:lastRow="0" w:firstColumn="1" w:lastColumn="0" w:noHBand="0" w:noVBand="1"/>
      </w:tblPr>
      <w:tblGrid>
        <w:gridCol w:w="276"/>
        <w:gridCol w:w="1251"/>
        <w:gridCol w:w="1270"/>
        <w:gridCol w:w="720"/>
        <w:gridCol w:w="1170"/>
        <w:gridCol w:w="1170"/>
        <w:gridCol w:w="1350"/>
        <w:gridCol w:w="1170"/>
        <w:gridCol w:w="1260"/>
        <w:gridCol w:w="1170"/>
        <w:gridCol w:w="1260"/>
        <w:gridCol w:w="1350"/>
        <w:gridCol w:w="1260"/>
      </w:tblGrid>
      <w:tr w:rsidR="00F42C5F" w:rsidRPr="00375BA6" w14:paraId="6C050FE3" w14:textId="77777777" w:rsidTr="00D87F40">
        <w:trPr>
          <w:trHeight w:val="885"/>
        </w:trPr>
        <w:tc>
          <w:tcPr>
            <w:tcW w:w="276" w:type="dxa"/>
            <w:tcBorders>
              <w:top w:val="double" w:sz="4" w:space="0" w:color="auto"/>
              <w:left w:val="double" w:sz="4" w:space="0" w:color="auto"/>
            </w:tcBorders>
            <w:shd w:val="clear" w:color="auto" w:fill="auto"/>
            <w:vAlign w:val="center"/>
            <w:hideMark/>
          </w:tcPr>
          <w:p w14:paraId="65F1D94A" w14:textId="77777777" w:rsidR="00F42C5F" w:rsidRPr="00375BA6" w:rsidRDefault="00F42C5F" w:rsidP="00D87F40">
            <w:pPr>
              <w:spacing w:after="0" w:line="240" w:lineRule="auto"/>
              <w:rPr>
                <w:rFonts w:ascii="Times New Roman" w:eastAsia="Times New Roman" w:hAnsi="Times New Roman" w:cs="Times New Roman"/>
                <w:color w:val="000000"/>
                <w:sz w:val="22"/>
                <w:szCs w:val="22"/>
              </w:rPr>
            </w:pPr>
            <w:r w:rsidRPr="00375BA6">
              <w:rPr>
                <w:rFonts w:ascii="Times New Roman" w:eastAsia="Times New Roman" w:hAnsi="Times New Roman" w:cs="Times New Roman"/>
                <w:color w:val="000000"/>
                <w:sz w:val="22"/>
                <w:szCs w:val="22"/>
              </w:rPr>
              <w:t> </w:t>
            </w:r>
          </w:p>
        </w:tc>
        <w:tc>
          <w:tcPr>
            <w:tcW w:w="1251" w:type="dxa"/>
            <w:tcBorders>
              <w:top w:val="double" w:sz="4" w:space="0" w:color="auto"/>
              <w:right w:val="single" w:sz="4" w:space="0" w:color="auto"/>
            </w:tcBorders>
            <w:shd w:val="clear" w:color="auto" w:fill="auto"/>
            <w:noWrap/>
            <w:vAlign w:val="bottom"/>
            <w:hideMark/>
          </w:tcPr>
          <w:p w14:paraId="0A29E50C" w14:textId="77777777" w:rsidR="00F42C5F" w:rsidRPr="00375BA6" w:rsidRDefault="00F42C5F" w:rsidP="00D87F40">
            <w:pPr>
              <w:spacing w:after="0" w:line="240" w:lineRule="auto"/>
              <w:rPr>
                <w:rFonts w:ascii="Times New Roman" w:eastAsia="Times New Roman" w:hAnsi="Times New Roman" w:cs="Times New Roman"/>
                <w:color w:val="000000"/>
                <w:sz w:val="22"/>
                <w:szCs w:val="22"/>
              </w:rPr>
            </w:pPr>
          </w:p>
        </w:tc>
        <w:tc>
          <w:tcPr>
            <w:tcW w:w="1270" w:type="dxa"/>
            <w:vMerge w:val="restart"/>
            <w:tcBorders>
              <w:top w:val="double" w:sz="4" w:space="0" w:color="auto"/>
              <w:left w:val="single" w:sz="4" w:space="0" w:color="auto"/>
              <w:bottom w:val="nil"/>
              <w:right w:val="single" w:sz="4" w:space="0" w:color="auto"/>
            </w:tcBorders>
            <w:shd w:val="clear" w:color="000000" w:fill="E2EFDA"/>
            <w:vAlign w:val="center"/>
            <w:hideMark/>
          </w:tcPr>
          <w:p w14:paraId="0444A5D3"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eastAsia="Times New Roman" w:hAnsi="Times New Roman" w:cs="Times New Roman"/>
                <w:color w:val="000000"/>
                <w:sz w:val="22"/>
                <w:szCs w:val="22"/>
              </w:rPr>
              <w:t>Blocks</w:t>
            </w:r>
          </w:p>
        </w:tc>
        <w:tc>
          <w:tcPr>
            <w:tcW w:w="720" w:type="dxa"/>
            <w:vMerge w:val="restart"/>
            <w:tcBorders>
              <w:top w:val="double" w:sz="4" w:space="0" w:color="auto"/>
              <w:left w:val="single" w:sz="4" w:space="0" w:color="auto"/>
              <w:bottom w:val="nil"/>
              <w:right w:val="single" w:sz="4" w:space="0" w:color="auto"/>
            </w:tcBorders>
            <w:shd w:val="clear" w:color="000000" w:fill="E2EFDA"/>
            <w:vAlign w:val="center"/>
            <w:hideMark/>
          </w:tcPr>
          <w:p w14:paraId="589A466C"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eastAsia="Times New Roman" w:hAnsi="Times New Roman" w:cs="Times New Roman"/>
                <w:color w:val="000000"/>
                <w:sz w:val="22"/>
                <w:szCs w:val="22"/>
              </w:rPr>
              <w:t>Pop. Den-sity</w:t>
            </w:r>
          </w:p>
        </w:tc>
        <w:tc>
          <w:tcPr>
            <w:tcW w:w="1170" w:type="dxa"/>
            <w:vMerge w:val="restart"/>
            <w:tcBorders>
              <w:top w:val="double" w:sz="4" w:space="0" w:color="auto"/>
              <w:left w:val="single" w:sz="4" w:space="0" w:color="auto"/>
              <w:bottom w:val="nil"/>
              <w:right w:val="single" w:sz="4" w:space="0" w:color="auto"/>
            </w:tcBorders>
            <w:shd w:val="clear" w:color="000000" w:fill="E2EFDA"/>
            <w:vAlign w:val="center"/>
            <w:hideMark/>
          </w:tcPr>
          <w:p w14:paraId="318C94F9" w14:textId="47B2537F" w:rsidR="00F42C5F" w:rsidRPr="00375BA6" w:rsidRDefault="00F42C5F" w:rsidP="00D42D11">
            <w:pPr>
              <w:spacing w:after="0" w:line="240" w:lineRule="auto"/>
              <w:jc w:val="center"/>
              <w:rPr>
                <w:rFonts w:ascii="Times New Roman" w:eastAsia="Times New Roman" w:hAnsi="Times New Roman" w:cs="Times New Roman"/>
                <w:color w:val="000000"/>
                <w:sz w:val="22"/>
                <w:szCs w:val="22"/>
              </w:rPr>
            </w:pPr>
            <w:r w:rsidRPr="00375BA6">
              <w:rPr>
                <w:rFonts w:ascii="Times New Roman" w:eastAsia="Times New Roman" w:hAnsi="Times New Roman" w:cs="Times New Roman"/>
                <w:color w:val="000000"/>
                <w:sz w:val="22"/>
                <w:szCs w:val="22"/>
              </w:rPr>
              <w:t>Area</w:t>
            </w:r>
            <w:r w:rsidR="00D42D11">
              <w:rPr>
                <w:rFonts w:ascii="Times New Roman" w:eastAsia="Times New Roman" w:hAnsi="Times New Roman" w:cs="Times New Roman"/>
                <w:color w:val="000000"/>
                <w:sz w:val="22"/>
                <w:szCs w:val="22"/>
              </w:rPr>
              <w:br/>
            </w:r>
            <w:r w:rsidRPr="00375BA6">
              <w:rPr>
                <w:rFonts w:ascii="Times New Roman" w:eastAsia="Times New Roman" w:hAnsi="Times New Roman" w:cs="Times New Roman"/>
                <w:color w:val="000000"/>
                <w:sz w:val="22"/>
                <w:szCs w:val="22"/>
              </w:rPr>
              <w:t>(sq mi)</w:t>
            </w:r>
          </w:p>
        </w:tc>
        <w:tc>
          <w:tcPr>
            <w:tcW w:w="1170" w:type="dxa"/>
            <w:vMerge w:val="restart"/>
            <w:tcBorders>
              <w:top w:val="double" w:sz="4" w:space="0" w:color="auto"/>
              <w:left w:val="single" w:sz="4" w:space="0" w:color="auto"/>
              <w:bottom w:val="nil"/>
              <w:right w:val="single" w:sz="4" w:space="0" w:color="auto"/>
            </w:tcBorders>
            <w:shd w:val="clear" w:color="000000" w:fill="E2EFDA"/>
            <w:vAlign w:val="center"/>
            <w:hideMark/>
          </w:tcPr>
          <w:p w14:paraId="793BD1F8"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eastAsia="Times New Roman" w:hAnsi="Times New Roman" w:cs="Times New Roman"/>
                <w:color w:val="000000"/>
                <w:sz w:val="22"/>
                <w:szCs w:val="22"/>
              </w:rPr>
              <w:t>Road</w:t>
            </w:r>
            <w:r>
              <w:rPr>
                <w:rFonts w:ascii="Times New Roman" w:eastAsia="Times New Roman" w:hAnsi="Times New Roman" w:cs="Times New Roman"/>
                <w:color w:val="000000"/>
                <w:sz w:val="22"/>
                <w:szCs w:val="22"/>
              </w:rPr>
              <w:t xml:space="preserve"> M</w:t>
            </w:r>
            <w:r w:rsidRPr="00375BA6">
              <w:rPr>
                <w:rFonts w:ascii="Times New Roman" w:eastAsia="Times New Roman" w:hAnsi="Times New Roman" w:cs="Times New Roman"/>
                <w:color w:val="000000"/>
                <w:sz w:val="22"/>
                <w:szCs w:val="22"/>
              </w:rPr>
              <w:t>iles</w:t>
            </w:r>
          </w:p>
        </w:tc>
        <w:tc>
          <w:tcPr>
            <w:tcW w:w="1350" w:type="dxa"/>
            <w:vMerge w:val="restart"/>
            <w:tcBorders>
              <w:top w:val="double" w:sz="4" w:space="0" w:color="auto"/>
              <w:left w:val="single" w:sz="4" w:space="0" w:color="auto"/>
              <w:bottom w:val="nil"/>
              <w:right w:val="single" w:sz="12" w:space="0" w:color="auto"/>
            </w:tcBorders>
            <w:shd w:val="clear" w:color="000000" w:fill="E2EFDA"/>
            <w:vAlign w:val="center"/>
            <w:hideMark/>
          </w:tcPr>
          <w:p w14:paraId="06F31C2C"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eastAsia="Times New Roman" w:hAnsi="Times New Roman" w:cs="Times New Roman"/>
                <w:color w:val="000000"/>
                <w:sz w:val="22"/>
                <w:szCs w:val="22"/>
              </w:rPr>
              <w:t>Population</w:t>
            </w:r>
          </w:p>
        </w:tc>
        <w:tc>
          <w:tcPr>
            <w:tcW w:w="1170" w:type="dxa"/>
            <w:vMerge w:val="restart"/>
            <w:tcBorders>
              <w:top w:val="double" w:sz="4" w:space="0" w:color="auto"/>
              <w:left w:val="single" w:sz="12" w:space="0" w:color="auto"/>
              <w:bottom w:val="nil"/>
              <w:right w:val="single" w:sz="4" w:space="0" w:color="auto"/>
            </w:tcBorders>
            <w:shd w:val="clear" w:color="000000" w:fill="E2EFDA"/>
            <w:vAlign w:val="center"/>
            <w:hideMark/>
          </w:tcPr>
          <w:p w14:paraId="378C67E0"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eastAsia="Times New Roman" w:hAnsi="Times New Roman" w:cs="Times New Roman"/>
                <w:color w:val="000000"/>
                <w:sz w:val="22"/>
                <w:szCs w:val="22"/>
              </w:rPr>
              <w:t xml:space="preserve">LTE Covered Area  </w:t>
            </w:r>
          </w:p>
          <w:p w14:paraId="2079D671"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eastAsia="Times New Roman" w:hAnsi="Times New Roman" w:cs="Times New Roman"/>
                <w:color w:val="000000"/>
                <w:sz w:val="22"/>
                <w:szCs w:val="22"/>
              </w:rPr>
              <w:t>(sq mi)</w:t>
            </w:r>
          </w:p>
        </w:tc>
        <w:tc>
          <w:tcPr>
            <w:tcW w:w="1260" w:type="dxa"/>
            <w:vMerge w:val="restart"/>
            <w:tcBorders>
              <w:top w:val="double" w:sz="4" w:space="0" w:color="auto"/>
              <w:left w:val="single" w:sz="4" w:space="0" w:color="auto"/>
              <w:bottom w:val="nil"/>
              <w:right w:val="single" w:sz="12" w:space="0" w:color="auto"/>
            </w:tcBorders>
            <w:shd w:val="clear" w:color="000000" w:fill="E2EFDA"/>
            <w:vAlign w:val="center"/>
            <w:hideMark/>
          </w:tcPr>
          <w:p w14:paraId="7D246D43"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eastAsia="Times New Roman" w:hAnsi="Times New Roman" w:cs="Times New Roman"/>
                <w:color w:val="000000"/>
                <w:sz w:val="22"/>
                <w:szCs w:val="22"/>
              </w:rPr>
              <w:t xml:space="preserve">LTE Uncovered Area </w:t>
            </w:r>
          </w:p>
          <w:p w14:paraId="798096BA"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eastAsia="Times New Roman" w:hAnsi="Times New Roman" w:cs="Times New Roman"/>
                <w:color w:val="000000"/>
                <w:sz w:val="22"/>
                <w:szCs w:val="22"/>
              </w:rPr>
              <w:t>(sq mi)</w:t>
            </w:r>
          </w:p>
        </w:tc>
        <w:tc>
          <w:tcPr>
            <w:tcW w:w="1170" w:type="dxa"/>
            <w:vMerge w:val="restart"/>
            <w:tcBorders>
              <w:top w:val="double" w:sz="4" w:space="0" w:color="auto"/>
              <w:left w:val="single" w:sz="12" w:space="0" w:color="auto"/>
              <w:bottom w:val="nil"/>
              <w:right w:val="single" w:sz="4" w:space="0" w:color="auto"/>
            </w:tcBorders>
            <w:shd w:val="clear" w:color="000000" w:fill="E2EFDA"/>
            <w:vAlign w:val="center"/>
            <w:hideMark/>
          </w:tcPr>
          <w:p w14:paraId="55235348"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eastAsia="Times New Roman" w:hAnsi="Times New Roman" w:cs="Times New Roman"/>
                <w:color w:val="000000"/>
                <w:sz w:val="22"/>
                <w:szCs w:val="22"/>
              </w:rPr>
              <w:t>LTE Covered Road</w:t>
            </w:r>
            <w:r>
              <w:rPr>
                <w:rFonts w:ascii="Times New Roman" w:eastAsia="Times New Roman" w:hAnsi="Times New Roman" w:cs="Times New Roman"/>
                <w:color w:val="000000"/>
                <w:sz w:val="22"/>
                <w:szCs w:val="22"/>
              </w:rPr>
              <w:t xml:space="preserve"> M</w:t>
            </w:r>
            <w:r w:rsidRPr="00375BA6">
              <w:rPr>
                <w:rFonts w:ascii="Times New Roman" w:eastAsia="Times New Roman" w:hAnsi="Times New Roman" w:cs="Times New Roman"/>
                <w:color w:val="000000"/>
                <w:sz w:val="22"/>
                <w:szCs w:val="22"/>
              </w:rPr>
              <w:t>iles</w:t>
            </w:r>
          </w:p>
        </w:tc>
        <w:tc>
          <w:tcPr>
            <w:tcW w:w="1260" w:type="dxa"/>
            <w:vMerge w:val="restart"/>
            <w:tcBorders>
              <w:top w:val="double" w:sz="4" w:space="0" w:color="auto"/>
              <w:left w:val="single" w:sz="4" w:space="0" w:color="auto"/>
              <w:bottom w:val="nil"/>
              <w:right w:val="single" w:sz="12" w:space="0" w:color="auto"/>
            </w:tcBorders>
            <w:shd w:val="clear" w:color="000000" w:fill="E2EFDA"/>
            <w:vAlign w:val="center"/>
            <w:hideMark/>
          </w:tcPr>
          <w:p w14:paraId="473ED8C8"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eastAsia="Times New Roman" w:hAnsi="Times New Roman" w:cs="Times New Roman"/>
                <w:color w:val="000000"/>
                <w:sz w:val="22"/>
                <w:szCs w:val="22"/>
              </w:rPr>
              <w:t>LTE Uncovered Road</w:t>
            </w:r>
            <w:r>
              <w:rPr>
                <w:rFonts w:ascii="Times New Roman" w:eastAsia="Times New Roman" w:hAnsi="Times New Roman" w:cs="Times New Roman"/>
                <w:color w:val="000000"/>
                <w:sz w:val="22"/>
                <w:szCs w:val="22"/>
              </w:rPr>
              <w:t xml:space="preserve"> M</w:t>
            </w:r>
            <w:r w:rsidRPr="00375BA6">
              <w:rPr>
                <w:rFonts w:ascii="Times New Roman" w:eastAsia="Times New Roman" w:hAnsi="Times New Roman" w:cs="Times New Roman"/>
                <w:color w:val="000000"/>
                <w:sz w:val="22"/>
                <w:szCs w:val="22"/>
              </w:rPr>
              <w:t>iles</w:t>
            </w:r>
          </w:p>
        </w:tc>
        <w:tc>
          <w:tcPr>
            <w:tcW w:w="1350" w:type="dxa"/>
            <w:vMerge w:val="restart"/>
            <w:tcBorders>
              <w:top w:val="double" w:sz="4" w:space="0" w:color="auto"/>
              <w:left w:val="single" w:sz="12" w:space="0" w:color="auto"/>
              <w:bottom w:val="nil"/>
              <w:right w:val="single" w:sz="4" w:space="0" w:color="auto"/>
            </w:tcBorders>
            <w:shd w:val="clear" w:color="000000" w:fill="E2EFDA"/>
            <w:vAlign w:val="center"/>
            <w:hideMark/>
          </w:tcPr>
          <w:p w14:paraId="510F5283"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eastAsia="Times New Roman" w:hAnsi="Times New Roman" w:cs="Times New Roman"/>
                <w:color w:val="000000"/>
                <w:sz w:val="22"/>
                <w:szCs w:val="22"/>
              </w:rPr>
              <w:t>LTE Covered Population</w:t>
            </w:r>
          </w:p>
        </w:tc>
        <w:tc>
          <w:tcPr>
            <w:tcW w:w="1260" w:type="dxa"/>
            <w:vMerge w:val="restart"/>
            <w:tcBorders>
              <w:top w:val="double" w:sz="4" w:space="0" w:color="auto"/>
              <w:left w:val="single" w:sz="4" w:space="0" w:color="auto"/>
              <w:bottom w:val="nil"/>
              <w:right w:val="double" w:sz="4" w:space="0" w:color="auto"/>
            </w:tcBorders>
            <w:shd w:val="clear" w:color="000000" w:fill="E2EFDA"/>
            <w:vAlign w:val="center"/>
            <w:hideMark/>
          </w:tcPr>
          <w:p w14:paraId="53DD4DF8"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eastAsia="Times New Roman" w:hAnsi="Times New Roman" w:cs="Times New Roman"/>
                <w:color w:val="000000"/>
                <w:sz w:val="22"/>
                <w:szCs w:val="22"/>
              </w:rPr>
              <w:t>LTE Uncovered Population</w:t>
            </w:r>
          </w:p>
        </w:tc>
      </w:tr>
      <w:tr w:rsidR="00F42C5F" w:rsidRPr="00375BA6" w14:paraId="0430D916" w14:textId="77777777" w:rsidTr="00D87F40">
        <w:trPr>
          <w:trHeight w:val="315"/>
        </w:trPr>
        <w:tc>
          <w:tcPr>
            <w:tcW w:w="276" w:type="dxa"/>
            <w:tcBorders>
              <w:left w:val="double" w:sz="4" w:space="0" w:color="auto"/>
              <w:bottom w:val="single" w:sz="12" w:space="0" w:color="auto"/>
            </w:tcBorders>
            <w:shd w:val="clear" w:color="auto" w:fill="auto"/>
            <w:vAlign w:val="center"/>
            <w:hideMark/>
          </w:tcPr>
          <w:p w14:paraId="193F6DC8" w14:textId="77777777" w:rsidR="00F42C5F" w:rsidRPr="00375BA6" w:rsidRDefault="00F42C5F" w:rsidP="00D87F40">
            <w:pPr>
              <w:spacing w:after="0" w:line="240" w:lineRule="auto"/>
              <w:rPr>
                <w:rFonts w:ascii="Times New Roman" w:eastAsia="Times New Roman" w:hAnsi="Times New Roman" w:cs="Times New Roman"/>
                <w:color w:val="000000"/>
                <w:sz w:val="22"/>
                <w:szCs w:val="22"/>
              </w:rPr>
            </w:pPr>
            <w:r w:rsidRPr="00375BA6">
              <w:rPr>
                <w:rFonts w:ascii="Times New Roman" w:eastAsia="Times New Roman" w:hAnsi="Times New Roman" w:cs="Times New Roman"/>
                <w:color w:val="000000"/>
                <w:sz w:val="22"/>
                <w:szCs w:val="22"/>
              </w:rPr>
              <w:t> </w:t>
            </w:r>
          </w:p>
        </w:tc>
        <w:tc>
          <w:tcPr>
            <w:tcW w:w="1251" w:type="dxa"/>
            <w:tcBorders>
              <w:bottom w:val="single" w:sz="12" w:space="0" w:color="auto"/>
              <w:right w:val="single" w:sz="4" w:space="0" w:color="auto"/>
            </w:tcBorders>
            <w:shd w:val="clear" w:color="auto" w:fill="auto"/>
            <w:noWrap/>
            <w:vAlign w:val="bottom"/>
            <w:hideMark/>
          </w:tcPr>
          <w:p w14:paraId="31633DF1" w14:textId="77777777" w:rsidR="00F42C5F" w:rsidRPr="00375BA6" w:rsidRDefault="00F42C5F" w:rsidP="00D87F40">
            <w:pPr>
              <w:spacing w:after="0" w:line="240" w:lineRule="auto"/>
              <w:rPr>
                <w:rFonts w:ascii="Times New Roman" w:eastAsia="Times New Roman" w:hAnsi="Times New Roman" w:cs="Times New Roman"/>
                <w:color w:val="000000"/>
                <w:sz w:val="22"/>
                <w:szCs w:val="22"/>
              </w:rPr>
            </w:pPr>
          </w:p>
        </w:tc>
        <w:tc>
          <w:tcPr>
            <w:tcW w:w="1270" w:type="dxa"/>
            <w:vMerge/>
            <w:tcBorders>
              <w:left w:val="single" w:sz="4" w:space="0" w:color="auto"/>
              <w:bottom w:val="single" w:sz="12" w:space="0" w:color="auto"/>
              <w:right w:val="single" w:sz="4" w:space="0" w:color="auto"/>
            </w:tcBorders>
            <w:vAlign w:val="center"/>
            <w:hideMark/>
          </w:tcPr>
          <w:p w14:paraId="474C0770" w14:textId="77777777" w:rsidR="00F42C5F" w:rsidRPr="00375BA6" w:rsidRDefault="00F42C5F" w:rsidP="00D87F40">
            <w:pPr>
              <w:spacing w:after="0" w:line="240" w:lineRule="auto"/>
              <w:rPr>
                <w:rFonts w:ascii="Times New Roman" w:eastAsia="Times New Roman" w:hAnsi="Times New Roman" w:cs="Times New Roman"/>
                <w:color w:val="000000"/>
                <w:sz w:val="22"/>
                <w:szCs w:val="22"/>
              </w:rPr>
            </w:pPr>
          </w:p>
        </w:tc>
        <w:tc>
          <w:tcPr>
            <w:tcW w:w="720" w:type="dxa"/>
            <w:vMerge/>
            <w:tcBorders>
              <w:left w:val="single" w:sz="4" w:space="0" w:color="auto"/>
              <w:bottom w:val="single" w:sz="12" w:space="0" w:color="auto"/>
              <w:right w:val="single" w:sz="4" w:space="0" w:color="auto"/>
            </w:tcBorders>
            <w:vAlign w:val="center"/>
            <w:hideMark/>
          </w:tcPr>
          <w:p w14:paraId="4AC63911" w14:textId="77777777" w:rsidR="00F42C5F" w:rsidRPr="00375BA6" w:rsidRDefault="00F42C5F" w:rsidP="00D87F40">
            <w:pPr>
              <w:spacing w:after="0" w:line="240" w:lineRule="auto"/>
              <w:rPr>
                <w:rFonts w:ascii="Times New Roman" w:eastAsia="Times New Roman" w:hAnsi="Times New Roman" w:cs="Times New Roman"/>
                <w:color w:val="000000"/>
                <w:sz w:val="22"/>
                <w:szCs w:val="22"/>
              </w:rPr>
            </w:pPr>
          </w:p>
        </w:tc>
        <w:tc>
          <w:tcPr>
            <w:tcW w:w="1170" w:type="dxa"/>
            <w:vMerge/>
            <w:tcBorders>
              <w:left w:val="single" w:sz="4" w:space="0" w:color="auto"/>
              <w:bottom w:val="single" w:sz="12" w:space="0" w:color="auto"/>
              <w:right w:val="single" w:sz="4" w:space="0" w:color="auto"/>
            </w:tcBorders>
            <w:vAlign w:val="center"/>
            <w:hideMark/>
          </w:tcPr>
          <w:p w14:paraId="318811CD" w14:textId="77777777" w:rsidR="00F42C5F" w:rsidRPr="00375BA6" w:rsidRDefault="00F42C5F" w:rsidP="00D87F40">
            <w:pPr>
              <w:spacing w:after="0" w:line="240" w:lineRule="auto"/>
              <w:rPr>
                <w:rFonts w:ascii="Times New Roman" w:eastAsia="Times New Roman" w:hAnsi="Times New Roman" w:cs="Times New Roman"/>
                <w:color w:val="000000"/>
                <w:sz w:val="22"/>
                <w:szCs w:val="22"/>
              </w:rPr>
            </w:pPr>
          </w:p>
        </w:tc>
        <w:tc>
          <w:tcPr>
            <w:tcW w:w="1170" w:type="dxa"/>
            <w:vMerge/>
            <w:tcBorders>
              <w:left w:val="single" w:sz="4" w:space="0" w:color="auto"/>
              <w:bottom w:val="single" w:sz="12" w:space="0" w:color="auto"/>
              <w:right w:val="single" w:sz="4" w:space="0" w:color="auto"/>
            </w:tcBorders>
            <w:vAlign w:val="center"/>
            <w:hideMark/>
          </w:tcPr>
          <w:p w14:paraId="4C1FAA08" w14:textId="77777777" w:rsidR="00F42C5F" w:rsidRPr="00375BA6" w:rsidRDefault="00F42C5F" w:rsidP="00D87F40">
            <w:pPr>
              <w:spacing w:after="0" w:line="240" w:lineRule="auto"/>
              <w:rPr>
                <w:rFonts w:ascii="Times New Roman" w:eastAsia="Times New Roman" w:hAnsi="Times New Roman" w:cs="Times New Roman"/>
                <w:color w:val="000000"/>
                <w:sz w:val="22"/>
                <w:szCs w:val="22"/>
              </w:rPr>
            </w:pPr>
          </w:p>
        </w:tc>
        <w:tc>
          <w:tcPr>
            <w:tcW w:w="1350" w:type="dxa"/>
            <w:vMerge/>
            <w:tcBorders>
              <w:left w:val="single" w:sz="4" w:space="0" w:color="auto"/>
              <w:bottom w:val="single" w:sz="12" w:space="0" w:color="auto"/>
              <w:right w:val="single" w:sz="12" w:space="0" w:color="auto"/>
            </w:tcBorders>
            <w:vAlign w:val="center"/>
            <w:hideMark/>
          </w:tcPr>
          <w:p w14:paraId="75CAD676" w14:textId="77777777" w:rsidR="00F42C5F" w:rsidRPr="00375BA6" w:rsidRDefault="00F42C5F" w:rsidP="00D87F40">
            <w:pPr>
              <w:spacing w:after="0" w:line="240" w:lineRule="auto"/>
              <w:rPr>
                <w:rFonts w:ascii="Times New Roman" w:eastAsia="Times New Roman" w:hAnsi="Times New Roman" w:cs="Times New Roman"/>
                <w:color w:val="000000"/>
                <w:sz w:val="22"/>
                <w:szCs w:val="22"/>
              </w:rPr>
            </w:pPr>
          </w:p>
        </w:tc>
        <w:tc>
          <w:tcPr>
            <w:tcW w:w="1170" w:type="dxa"/>
            <w:vMerge/>
            <w:tcBorders>
              <w:left w:val="single" w:sz="12" w:space="0" w:color="auto"/>
              <w:bottom w:val="single" w:sz="12" w:space="0" w:color="auto"/>
              <w:right w:val="single" w:sz="4" w:space="0" w:color="auto"/>
            </w:tcBorders>
            <w:vAlign w:val="center"/>
            <w:hideMark/>
          </w:tcPr>
          <w:p w14:paraId="019259BE" w14:textId="77777777" w:rsidR="00F42C5F" w:rsidRPr="00375BA6" w:rsidRDefault="00F42C5F" w:rsidP="00D87F40">
            <w:pPr>
              <w:spacing w:after="0" w:line="240" w:lineRule="auto"/>
              <w:rPr>
                <w:rFonts w:ascii="Times New Roman" w:eastAsia="Times New Roman" w:hAnsi="Times New Roman" w:cs="Times New Roman"/>
                <w:color w:val="000000"/>
                <w:sz w:val="22"/>
                <w:szCs w:val="22"/>
              </w:rPr>
            </w:pPr>
          </w:p>
        </w:tc>
        <w:tc>
          <w:tcPr>
            <w:tcW w:w="1260" w:type="dxa"/>
            <w:vMerge/>
            <w:tcBorders>
              <w:left w:val="single" w:sz="4" w:space="0" w:color="auto"/>
              <w:bottom w:val="single" w:sz="12" w:space="0" w:color="auto"/>
              <w:right w:val="single" w:sz="12" w:space="0" w:color="auto"/>
            </w:tcBorders>
            <w:vAlign w:val="center"/>
            <w:hideMark/>
          </w:tcPr>
          <w:p w14:paraId="66897EA6" w14:textId="77777777" w:rsidR="00F42C5F" w:rsidRPr="00375BA6" w:rsidRDefault="00F42C5F" w:rsidP="00D87F40">
            <w:pPr>
              <w:spacing w:after="0" w:line="240" w:lineRule="auto"/>
              <w:rPr>
                <w:rFonts w:ascii="Times New Roman" w:eastAsia="Times New Roman" w:hAnsi="Times New Roman" w:cs="Times New Roman"/>
                <w:color w:val="000000"/>
                <w:sz w:val="22"/>
                <w:szCs w:val="22"/>
              </w:rPr>
            </w:pPr>
          </w:p>
        </w:tc>
        <w:tc>
          <w:tcPr>
            <w:tcW w:w="1170" w:type="dxa"/>
            <w:vMerge/>
            <w:tcBorders>
              <w:left w:val="single" w:sz="12" w:space="0" w:color="auto"/>
              <w:bottom w:val="single" w:sz="12" w:space="0" w:color="auto"/>
              <w:right w:val="single" w:sz="4" w:space="0" w:color="auto"/>
            </w:tcBorders>
            <w:vAlign w:val="center"/>
            <w:hideMark/>
          </w:tcPr>
          <w:p w14:paraId="43CCA216" w14:textId="77777777" w:rsidR="00F42C5F" w:rsidRPr="00375BA6" w:rsidRDefault="00F42C5F" w:rsidP="00D87F40">
            <w:pPr>
              <w:spacing w:after="0" w:line="240" w:lineRule="auto"/>
              <w:rPr>
                <w:rFonts w:ascii="Times New Roman" w:eastAsia="Times New Roman" w:hAnsi="Times New Roman" w:cs="Times New Roman"/>
                <w:color w:val="000000"/>
                <w:sz w:val="22"/>
                <w:szCs w:val="22"/>
              </w:rPr>
            </w:pPr>
          </w:p>
        </w:tc>
        <w:tc>
          <w:tcPr>
            <w:tcW w:w="1260" w:type="dxa"/>
            <w:vMerge/>
            <w:tcBorders>
              <w:left w:val="single" w:sz="4" w:space="0" w:color="auto"/>
              <w:bottom w:val="single" w:sz="12" w:space="0" w:color="auto"/>
              <w:right w:val="single" w:sz="12" w:space="0" w:color="auto"/>
            </w:tcBorders>
            <w:vAlign w:val="center"/>
            <w:hideMark/>
          </w:tcPr>
          <w:p w14:paraId="1C730DFF" w14:textId="77777777" w:rsidR="00F42C5F" w:rsidRPr="00375BA6" w:rsidRDefault="00F42C5F" w:rsidP="00D87F40">
            <w:pPr>
              <w:spacing w:after="0" w:line="240" w:lineRule="auto"/>
              <w:rPr>
                <w:rFonts w:ascii="Times New Roman" w:eastAsia="Times New Roman" w:hAnsi="Times New Roman" w:cs="Times New Roman"/>
                <w:color w:val="000000"/>
                <w:sz w:val="22"/>
                <w:szCs w:val="22"/>
              </w:rPr>
            </w:pPr>
          </w:p>
        </w:tc>
        <w:tc>
          <w:tcPr>
            <w:tcW w:w="1350" w:type="dxa"/>
            <w:vMerge/>
            <w:tcBorders>
              <w:left w:val="single" w:sz="12" w:space="0" w:color="auto"/>
              <w:bottom w:val="single" w:sz="12" w:space="0" w:color="auto"/>
              <w:right w:val="single" w:sz="4" w:space="0" w:color="auto"/>
            </w:tcBorders>
            <w:vAlign w:val="center"/>
            <w:hideMark/>
          </w:tcPr>
          <w:p w14:paraId="04ECA79D" w14:textId="77777777" w:rsidR="00F42C5F" w:rsidRPr="00375BA6" w:rsidRDefault="00F42C5F" w:rsidP="00D87F40">
            <w:pPr>
              <w:spacing w:after="0" w:line="240" w:lineRule="auto"/>
              <w:rPr>
                <w:rFonts w:ascii="Times New Roman" w:eastAsia="Times New Roman" w:hAnsi="Times New Roman" w:cs="Times New Roman"/>
                <w:color w:val="000000"/>
                <w:sz w:val="22"/>
                <w:szCs w:val="22"/>
              </w:rPr>
            </w:pPr>
          </w:p>
        </w:tc>
        <w:tc>
          <w:tcPr>
            <w:tcW w:w="1260" w:type="dxa"/>
            <w:vMerge/>
            <w:tcBorders>
              <w:left w:val="single" w:sz="4" w:space="0" w:color="auto"/>
              <w:bottom w:val="single" w:sz="12" w:space="0" w:color="auto"/>
              <w:right w:val="double" w:sz="4" w:space="0" w:color="auto"/>
            </w:tcBorders>
            <w:vAlign w:val="center"/>
            <w:hideMark/>
          </w:tcPr>
          <w:p w14:paraId="05E6D974" w14:textId="77777777" w:rsidR="00F42C5F" w:rsidRPr="00375BA6" w:rsidRDefault="00F42C5F" w:rsidP="00D87F40">
            <w:pPr>
              <w:spacing w:after="0" w:line="240" w:lineRule="auto"/>
              <w:rPr>
                <w:rFonts w:ascii="Times New Roman" w:eastAsia="Times New Roman" w:hAnsi="Times New Roman" w:cs="Times New Roman"/>
                <w:color w:val="000000"/>
                <w:sz w:val="22"/>
                <w:szCs w:val="22"/>
              </w:rPr>
            </w:pPr>
          </w:p>
        </w:tc>
      </w:tr>
      <w:tr w:rsidR="00F42C5F" w:rsidRPr="00375BA6" w14:paraId="109046FF" w14:textId="77777777" w:rsidTr="00D87F40">
        <w:trPr>
          <w:trHeight w:val="672"/>
        </w:trPr>
        <w:tc>
          <w:tcPr>
            <w:tcW w:w="1527" w:type="dxa"/>
            <w:gridSpan w:val="2"/>
            <w:tcBorders>
              <w:top w:val="single" w:sz="12" w:space="0" w:color="auto"/>
              <w:left w:val="double" w:sz="4" w:space="0" w:color="auto"/>
              <w:bottom w:val="single" w:sz="4" w:space="0" w:color="auto"/>
              <w:right w:val="single" w:sz="4" w:space="0" w:color="auto"/>
            </w:tcBorders>
            <w:shd w:val="clear" w:color="000000" w:fill="DDEBF7"/>
            <w:vAlign w:val="center"/>
            <w:hideMark/>
          </w:tcPr>
          <w:p w14:paraId="6104DF55" w14:textId="59EB1788" w:rsidR="00F42C5F" w:rsidRPr="00375BA6" w:rsidRDefault="00F42C5F" w:rsidP="00D87F40">
            <w:pPr>
              <w:spacing w:after="0" w:line="240" w:lineRule="auto"/>
              <w:rPr>
                <w:rFonts w:ascii="Times New Roman" w:eastAsia="Times New Roman" w:hAnsi="Times New Roman" w:cs="Times New Roman"/>
                <w:color w:val="000000"/>
                <w:sz w:val="22"/>
                <w:szCs w:val="22"/>
              </w:rPr>
            </w:pPr>
          </w:p>
        </w:tc>
        <w:tc>
          <w:tcPr>
            <w:tcW w:w="1270" w:type="dxa"/>
            <w:tcBorders>
              <w:top w:val="single" w:sz="12" w:space="0" w:color="auto"/>
              <w:left w:val="single" w:sz="4" w:space="0" w:color="auto"/>
              <w:bottom w:val="single" w:sz="4" w:space="0" w:color="auto"/>
              <w:right w:val="single" w:sz="4" w:space="0" w:color="auto"/>
            </w:tcBorders>
            <w:shd w:val="clear" w:color="000000" w:fill="DDEBF7"/>
            <w:noWrap/>
            <w:vAlign w:val="center"/>
            <w:hideMark/>
          </w:tcPr>
          <w:p w14:paraId="12F89E84"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hAnsi="Times New Roman" w:cs="Times New Roman"/>
                <w:sz w:val="22"/>
                <w:szCs w:val="22"/>
              </w:rPr>
              <w:t>359,605</w:t>
            </w:r>
          </w:p>
        </w:tc>
        <w:tc>
          <w:tcPr>
            <w:tcW w:w="720" w:type="dxa"/>
            <w:tcBorders>
              <w:top w:val="single" w:sz="12" w:space="0" w:color="auto"/>
              <w:left w:val="single" w:sz="4" w:space="0" w:color="auto"/>
              <w:bottom w:val="single" w:sz="4" w:space="0" w:color="auto"/>
              <w:right w:val="single" w:sz="4" w:space="0" w:color="auto"/>
            </w:tcBorders>
            <w:shd w:val="clear" w:color="000000" w:fill="DDEBF7"/>
            <w:noWrap/>
            <w:vAlign w:val="center"/>
            <w:hideMark/>
          </w:tcPr>
          <w:p w14:paraId="66E5F13D"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hAnsi="Times New Roman" w:cs="Times New Roman"/>
                <w:sz w:val="22"/>
                <w:szCs w:val="22"/>
              </w:rPr>
              <w:t>22</w:t>
            </w:r>
          </w:p>
        </w:tc>
        <w:tc>
          <w:tcPr>
            <w:tcW w:w="1170" w:type="dxa"/>
            <w:tcBorders>
              <w:top w:val="single" w:sz="12" w:space="0" w:color="auto"/>
              <w:left w:val="single" w:sz="4" w:space="0" w:color="auto"/>
              <w:bottom w:val="single" w:sz="4" w:space="0" w:color="auto"/>
              <w:right w:val="single" w:sz="4" w:space="0" w:color="auto"/>
            </w:tcBorders>
            <w:shd w:val="clear" w:color="000000" w:fill="DDEBF7"/>
            <w:noWrap/>
            <w:vAlign w:val="center"/>
            <w:hideMark/>
          </w:tcPr>
          <w:p w14:paraId="1E648F59"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hAnsi="Times New Roman" w:cs="Times New Roman"/>
                <w:sz w:val="22"/>
                <w:szCs w:val="22"/>
              </w:rPr>
              <w:t>163,924</w:t>
            </w:r>
          </w:p>
        </w:tc>
        <w:tc>
          <w:tcPr>
            <w:tcW w:w="1170" w:type="dxa"/>
            <w:tcBorders>
              <w:top w:val="single" w:sz="12" w:space="0" w:color="auto"/>
              <w:left w:val="single" w:sz="4" w:space="0" w:color="auto"/>
              <w:bottom w:val="single" w:sz="4" w:space="0" w:color="auto"/>
              <w:right w:val="single" w:sz="4" w:space="0" w:color="auto"/>
            </w:tcBorders>
            <w:shd w:val="clear" w:color="000000" w:fill="DDEBF7"/>
            <w:noWrap/>
            <w:vAlign w:val="center"/>
            <w:hideMark/>
          </w:tcPr>
          <w:p w14:paraId="12DC092D"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hAnsi="Times New Roman" w:cs="Times New Roman"/>
                <w:sz w:val="22"/>
                <w:szCs w:val="22"/>
              </w:rPr>
              <w:t>303,081</w:t>
            </w:r>
          </w:p>
        </w:tc>
        <w:tc>
          <w:tcPr>
            <w:tcW w:w="1350" w:type="dxa"/>
            <w:tcBorders>
              <w:top w:val="single" w:sz="12" w:space="0" w:color="auto"/>
              <w:left w:val="single" w:sz="4" w:space="0" w:color="auto"/>
              <w:bottom w:val="single" w:sz="4" w:space="0" w:color="auto"/>
              <w:right w:val="single" w:sz="12" w:space="0" w:color="auto"/>
            </w:tcBorders>
            <w:shd w:val="clear" w:color="000000" w:fill="DDEBF7"/>
            <w:noWrap/>
            <w:vAlign w:val="center"/>
            <w:hideMark/>
          </w:tcPr>
          <w:p w14:paraId="1E58AD89"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hAnsi="Times New Roman" w:cs="Times New Roman"/>
                <w:sz w:val="22"/>
                <w:szCs w:val="22"/>
              </w:rPr>
              <w:t>3,582,934</w:t>
            </w:r>
          </w:p>
        </w:tc>
        <w:tc>
          <w:tcPr>
            <w:tcW w:w="1170" w:type="dxa"/>
            <w:tcBorders>
              <w:top w:val="single" w:sz="12" w:space="0" w:color="auto"/>
              <w:left w:val="single" w:sz="12" w:space="0" w:color="auto"/>
              <w:bottom w:val="single" w:sz="4" w:space="0" w:color="auto"/>
              <w:right w:val="single" w:sz="4" w:space="0" w:color="auto"/>
            </w:tcBorders>
            <w:shd w:val="clear" w:color="000000" w:fill="DDEBF7"/>
            <w:noWrap/>
            <w:vAlign w:val="center"/>
            <w:hideMark/>
          </w:tcPr>
          <w:p w14:paraId="4B061E5C"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hAnsi="Times New Roman" w:cs="Times New Roman"/>
                <w:sz w:val="22"/>
                <w:szCs w:val="22"/>
              </w:rPr>
              <w:t>127,836</w:t>
            </w:r>
          </w:p>
        </w:tc>
        <w:tc>
          <w:tcPr>
            <w:tcW w:w="1260" w:type="dxa"/>
            <w:tcBorders>
              <w:top w:val="single" w:sz="12" w:space="0" w:color="auto"/>
              <w:left w:val="single" w:sz="4" w:space="0" w:color="auto"/>
              <w:bottom w:val="single" w:sz="4" w:space="0" w:color="auto"/>
              <w:right w:val="single" w:sz="12" w:space="0" w:color="auto"/>
            </w:tcBorders>
            <w:shd w:val="clear" w:color="000000" w:fill="DDEBF7"/>
            <w:noWrap/>
            <w:vAlign w:val="center"/>
            <w:hideMark/>
          </w:tcPr>
          <w:p w14:paraId="44C79519"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hAnsi="Times New Roman" w:cs="Times New Roman"/>
                <w:sz w:val="22"/>
                <w:szCs w:val="22"/>
              </w:rPr>
              <w:t>36,088</w:t>
            </w:r>
          </w:p>
        </w:tc>
        <w:tc>
          <w:tcPr>
            <w:tcW w:w="1170" w:type="dxa"/>
            <w:tcBorders>
              <w:top w:val="single" w:sz="12" w:space="0" w:color="auto"/>
              <w:left w:val="single" w:sz="12" w:space="0" w:color="auto"/>
              <w:bottom w:val="single" w:sz="4" w:space="0" w:color="auto"/>
              <w:right w:val="single" w:sz="4" w:space="0" w:color="auto"/>
            </w:tcBorders>
            <w:shd w:val="clear" w:color="000000" w:fill="DDEBF7"/>
            <w:noWrap/>
            <w:vAlign w:val="center"/>
            <w:hideMark/>
          </w:tcPr>
          <w:p w14:paraId="37AFCC94"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hAnsi="Times New Roman" w:cs="Times New Roman"/>
                <w:sz w:val="22"/>
                <w:szCs w:val="22"/>
              </w:rPr>
              <w:t>251,581</w:t>
            </w:r>
          </w:p>
        </w:tc>
        <w:tc>
          <w:tcPr>
            <w:tcW w:w="1260" w:type="dxa"/>
            <w:tcBorders>
              <w:top w:val="single" w:sz="12" w:space="0" w:color="auto"/>
              <w:left w:val="single" w:sz="4" w:space="0" w:color="auto"/>
              <w:bottom w:val="single" w:sz="4" w:space="0" w:color="auto"/>
              <w:right w:val="single" w:sz="12" w:space="0" w:color="auto"/>
            </w:tcBorders>
            <w:shd w:val="clear" w:color="000000" w:fill="DDEBF7"/>
            <w:noWrap/>
            <w:vAlign w:val="center"/>
            <w:hideMark/>
          </w:tcPr>
          <w:p w14:paraId="6E482434"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hAnsi="Times New Roman" w:cs="Times New Roman"/>
                <w:sz w:val="22"/>
                <w:szCs w:val="22"/>
              </w:rPr>
              <w:t>51,501</w:t>
            </w:r>
          </w:p>
        </w:tc>
        <w:tc>
          <w:tcPr>
            <w:tcW w:w="1350" w:type="dxa"/>
            <w:tcBorders>
              <w:top w:val="single" w:sz="12" w:space="0" w:color="auto"/>
              <w:left w:val="single" w:sz="12" w:space="0" w:color="auto"/>
              <w:bottom w:val="single" w:sz="4" w:space="0" w:color="auto"/>
              <w:right w:val="single" w:sz="4" w:space="0" w:color="auto"/>
            </w:tcBorders>
            <w:shd w:val="clear" w:color="000000" w:fill="DDEBF7"/>
            <w:noWrap/>
            <w:vAlign w:val="center"/>
            <w:hideMark/>
          </w:tcPr>
          <w:p w14:paraId="60A1C1F2"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hAnsi="Times New Roman" w:cs="Times New Roman"/>
                <w:sz w:val="22"/>
                <w:szCs w:val="22"/>
              </w:rPr>
              <w:t>3,461,007</w:t>
            </w:r>
          </w:p>
        </w:tc>
        <w:tc>
          <w:tcPr>
            <w:tcW w:w="1260" w:type="dxa"/>
            <w:tcBorders>
              <w:top w:val="single" w:sz="12" w:space="0" w:color="auto"/>
              <w:left w:val="single" w:sz="4" w:space="0" w:color="auto"/>
              <w:bottom w:val="single" w:sz="4" w:space="0" w:color="auto"/>
              <w:right w:val="double" w:sz="4" w:space="0" w:color="auto"/>
            </w:tcBorders>
            <w:shd w:val="clear" w:color="000000" w:fill="DDEBF7"/>
            <w:noWrap/>
            <w:vAlign w:val="center"/>
            <w:hideMark/>
          </w:tcPr>
          <w:p w14:paraId="389A3FD9"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hAnsi="Times New Roman" w:cs="Times New Roman"/>
                <w:sz w:val="22"/>
                <w:szCs w:val="22"/>
              </w:rPr>
              <w:t>121,927</w:t>
            </w:r>
          </w:p>
        </w:tc>
      </w:tr>
      <w:tr w:rsidR="00F42C5F" w:rsidRPr="00375BA6" w14:paraId="799BC7B6" w14:textId="77777777" w:rsidTr="00D87F40">
        <w:trPr>
          <w:trHeight w:val="683"/>
        </w:trPr>
        <w:tc>
          <w:tcPr>
            <w:tcW w:w="1527" w:type="dxa"/>
            <w:gridSpan w:val="2"/>
            <w:vMerge w:val="restart"/>
            <w:tcBorders>
              <w:top w:val="single" w:sz="4" w:space="0" w:color="auto"/>
              <w:left w:val="double" w:sz="4" w:space="0" w:color="auto"/>
              <w:bottom w:val="dashed" w:sz="4" w:space="0" w:color="auto"/>
              <w:right w:val="single" w:sz="4" w:space="0" w:color="auto"/>
            </w:tcBorders>
            <w:shd w:val="clear" w:color="000000" w:fill="E2EFDA"/>
            <w:vAlign w:val="center"/>
            <w:hideMark/>
          </w:tcPr>
          <w:p w14:paraId="0A004BFA" w14:textId="77777777" w:rsidR="00F42C5F" w:rsidRPr="00375BA6" w:rsidRDefault="00F42C5F" w:rsidP="00D87F40">
            <w:pPr>
              <w:spacing w:after="0" w:line="240" w:lineRule="auto"/>
              <w:rPr>
                <w:rFonts w:ascii="Times New Roman" w:eastAsia="Times New Roman" w:hAnsi="Times New Roman" w:cs="Times New Roman"/>
                <w:color w:val="000000"/>
                <w:sz w:val="22"/>
                <w:szCs w:val="22"/>
              </w:rPr>
            </w:pPr>
            <w:r w:rsidRPr="00375BA6">
              <w:rPr>
                <w:rFonts w:ascii="Times New Roman" w:eastAsia="Times New Roman" w:hAnsi="Times New Roman" w:cs="Times New Roman"/>
                <w:color w:val="000000"/>
                <w:sz w:val="22"/>
                <w:szCs w:val="22"/>
              </w:rPr>
              <w:t>Blocks With Complete LTE Coverage</w:t>
            </w:r>
          </w:p>
        </w:tc>
        <w:tc>
          <w:tcPr>
            <w:tcW w:w="1270" w:type="dxa"/>
            <w:tcBorders>
              <w:top w:val="single" w:sz="4" w:space="0" w:color="auto"/>
              <w:left w:val="single" w:sz="4" w:space="0" w:color="auto"/>
              <w:bottom w:val="dashed" w:sz="4" w:space="0" w:color="auto"/>
              <w:right w:val="single" w:sz="4" w:space="0" w:color="auto"/>
            </w:tcBorders>
            <w:shd w:val="clear" w:color="auto" w:fill="auto"/>
            <w:noWrap/>
            <w:vAlign w:val="center"/>
            <w:hideMark/>
          </w:tcPr>
          <w:p w14:paraId="486F7728"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hAnsi="Times New Roman" w:cs="Times New Roman"/>
                <w:sz w:val="22"/>
                <w:szCs w:val="22"/>
              </w:rPr>
              <w:t>300,912</w:t>
            </w:r>
          </w:p>
        </w:tc>
        <w:tc>
          <w:tcPr>
            <w:tcW w:w="720" w:type="dxa"/>
            <w:tcBorders>
              <w:top w:val="single" w:sz="4" w:space="0" w:color="auto"/>
              <w:left w:val="single" w:sz="4" w:space="0" w:color="auto"/>
              <w:bottom w:val="dashed" w:sz="4" w:space="0" w:color="auto"/>
              <w:right w:val="single" w:sz="4" w:space="0" w:color="auto"/>
            </w:tcBorders>
            <w:shd w:val="clear" w:color="auto" w:fill="auto"/>
            <w:noWrap/>
            <w:vAlign w:val="center"/>
            <w:hideMark/>
          </w:tcPr>
          <w:p w14:paraId="773B225A"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hAnsi="Times New Roman" w:cs="Times New Roman"/>
                <w:sz w:val="22"/>
                <w:szCs w:val="22"/>
              </w:rPr>
              <w:t>41</w:t>
            </w:r>
          </w:p>
        </w:tc>
        <w:tc>
          <w:tcPr>
            <w:tcW w:w="1170" w:type="dxa"/>
            <w:tcBorders>
              <w:top w:val="single" w:sz="4" w:space="0" w:color="auto"/>
              <w:left w:val="single" w:sz="4" w:space="0" w:color="auto"/>
              <w:bottom w:val="dashed" w:sz="4" w:space="0" w:color="auto"/>
              <w:right w:val="single" w:sz="4" w:space="0" w:color="auto"/>
            </w:tcBorders>
            <w:shd w:val="clear" w:color="auto" w:fill="auto"/>
            <w:noWrap/>
            <w:vAlign w:val="center"/>
            <w:hideMark/>
          </w:tcPr>
          <w:p w14:paraId="32A1DB52"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hAnsi="Times New Roman" w:cs="Times New Roman"/>
                <w:sz w:val="22"/>
                <w:szCs w:val="22"/>
              </w:rPr>
              <w:t>83,202</w:t>
            </w:r>
          </w:p>
        </w:tc>
        <w:tc>
          <w:tcPr>
            <w:tcW w:w="1170" w:type="dxa"/>
            <w:tcBorders>
              <w:top w:val="single" w:sz="4" w:space="0" w:color="auto"/>
              <w:left w:val="single" w:sz="4" w:space="0" w:color="auto"/>
              <w:bottom w:val="dashed" w:sz="4" w:space="0" w:color="auto"/>
              <w:right w:val="single" w:sz="4" w:space="0" w:color="auto"/>
            </w:tcBorders>
            <w:shd w:val="clear" w:color="auto" w:fill="auto"/>
            <w:noWrap/>
            <w:vAlign w:val="center"/>
            <w:hideMark/>
          </w:tcPr>
          <w:p w14:paraId="06679FC0"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hAnsi="Times New Roman" w:cs="Times New Roman"/>
                <w:sz w:val="22"/>
                <w:szCs w:val="22"/>
              </w:rPr>
              <w:t>204,184</w:t>
            </w:r>
          </w:p>
        </w:tc>
        <w:tc>
          <w:tcPr>
            <w:tcW w:w="1350" w:type="dxa"/>
            <w:tcBorders>
              <w:top w:val="single" w:sz="4" w:space="0" w:color="auto"/>
              <w:left w:val="single" w:sz="4" w:space="0" w:color="auto"/>
              <w:bottom w:val="dashed" w:sz="4" w:space="0" w:color="auto"/>
              <w:right w:val="single" w:sz="12" w:space="0" w:color="auto"/>
            </w:tcBorders>
            <w:shd w:val="clear" w:color="auto" w:fill="auto"/>
            <w:noWrap/>
            <w:vAlign w:val="center"/>
            <w:hideMark/>
          </w:tcPr>
          <w:p w14:paraId="50683CC0"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hAnsi="Times New Roman" w:cs="Times New Roman"/>
                <w:sz w:val="22"/>
                <w:szCs w:val="22"/>
              </w:rPr>
              <w:t>3,372,535</w:t>
            </w:r>
          </w:p>
        </w:tc>
        <w:tc>
          <w:tcPr>
            <w:tcW w:w="1170" w:type="dxa"/>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49EF6DD6"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hAnsi="Times New Roman" w:cs="Times New Roman"/>
                <w:sz w:val="22"/>
                <w:szCs w:val="22"/>
              </w:rPr>
              <w:t>83,202</w:t>
            </w:r>
          </w:p>
        </w:tc>
        <w:tc>
          <w:tcPr>
            <w:tcW w:w="1260" w:type="dxa"/>
            <w:tcBorders>
              <w:top w:val="single" w:sz="4" w:space="0" w:color="auto"/>
              <w:left w:val="single" w:sz="4" w:space="0" w:color="auto"/>
              <w:bottom w:val="dashed" w:sz="4" w:space="0" w:color="auto"/>
              <w:right w:val="single" w:sz="12" w:space="0" w:color="auto"/>
            </w:tcBorders>
            <w:shd w:val="clear" w:color="auto" w:fill="auto"/>
            <w:noWrap/>
            <w:vAlign w:val="center"/>
            <w:hideMark/>
          </w:tcPr>
          <w:p w14:paraId="01558DA7"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p>
        </w:tc>
        <w:tc>
          <w:tcPr>
            <w:tcW w:w="1170" w:type="dxa"/>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4A27EA27"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hAnsi="Times New Roman" w:cs="Times New Roman"/>
                <w:sz w:val="22"/>
                <w:szCs w:val="22"/>
              </w:rPr>
              <w:t>204,184</w:t>
            </w:r>
          </w:p>
        </w:tc>
        <w:tc>
          <w:tcPr>
            <w:tcW w:w="1260" w:type="dxa"/>
            <w:tcBorders>
              <w:top w:val="single" w:sz="4" w:space="0" w:color="auto"/>
              <w:left w:val="single" w:sz="4" w:space="0" w:color="auto"/>
              <w:bottom w:val="dashed" w:sz="4" w:space="0" w:color="auto"/>
              <w:right w:val="single" w:sz="12" w:space="0" w:color="auto"/>
            </w:tcBorders>
            <w:shd w:val="clear" w:color="auto" w:fill="auto"/>
            <w:noWrap/>
            <w:vAlign w:val="center"/>
            <w:hideMark/>
          </w:tcPr>
          <w:p w14:paraId="784EB3A1"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p>
        </w:tc>
        <w:tc>
          <w:tcPr>
            <w:tcW w:w="1350" w:type="dxa"/>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7E4E2E81"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hAnsi="Times New Roman" w:cs="Times New Roman"/>
                <w:sz w:val="22"/>
                <w:szCs w:val="22"/>
              </w:rPr>
              <w:t>3,372,535</w:t>
            </w:r>
          </w:p>
        </w:tc>
        <w:tc>
          <w:tcPr>
            <w:tcW w:w="1260" w:type="dxa"/>
            <w:tcBorders>
              <w:top w:val="single" w:sz="4" w:space="0" w:color="auto"/>
              <w:left w:val="single" w:sz="4" w:space="0" w:color="auto"/>
              <w:bottom w:val="dashed" w:sz="4" w:space="0" w:color="auto"/>
              <w:right w:val="double" w:sz="4" w:space="0" w:color="auto"/>
            </w:tcBorders>
            <w:shd w:val="clear" w:color="auto" w:fill="auto"/>
            <w:noWrap/>
            <w:vAlign w:val="center"/>
            <w:hideMark/>
          </w:tcPr>
          <w:p w14:paraId="185B175B"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p>
        </w:tc>
      </w:tr>
      <w:tr w:rsidR="00F42C5F" w:rsidRPr="00375BA6" w14:paraId="03428B25" w14:textId="77777777" w:rsidTr="00D87F40">
        <w:trPr>
          <w:trHeight w:val="440"/>
        </w:trPr>
        <w:tc>
          <w:tcPr>
            <w:tcW w:w="1527" w:type="dxa"/>
            <w:gridSpan w:val="2"/>
            <w:vMerge/>
            <w:tcBorders>
              <w:top w:val="dashed" w:sz="4" w:space="0" w:color="auto"/>
              <w:left w:val="double" w:sz="4" w:space="0" w:color="auto"/>
              <w:bottom w:val="single" w:sz="4" w:space="0" w:color="auto"/>
              <w:right w:val="single" w:sz="4" w:space="0" w:color="auto"/>
            </w:tcBorders>
            <w:vAlign w:val="center"/>
            <w:hideMark/>
          </w:tcPr>
          <w:p w14:paraId="68498029" w14:textId="77777777" w:rsidR="00F42C5F" w:rsidRPr="00375BA6" w:rsidRDefault="00F42C5F" w:rsidP="00D87F40">
            <w:pPr>
              <w:spacing w:after="0" w:line="240" w:lineRule="auto"/>
              <w:rPr>
                <w:rFonts w:ascii="Times New Roman" w:eastAsia="Times New Roman" w:hAnsi="Times New Roman" w:cs="Times New Roman"/>
                <w:color w:val="000000"/>
                <w:sz w:val="22"/>
                <w:szCs w:val="22"/>
              </w:rPr>
            </w:pPr>
          </w:p>
        </w:tc>
        <w:tc>
          <w:tcPr>
            <w:tcW w:w="1270" w:type="dxa"/>
            <w:tcBorders>
              <w:top w:val="dashed" w:sz="4" w:space="0" w:color="auto"/>
              <w:left w:val="single" w:sz="4" w:space="0" w:color="auto"/>
              <w:bottom w:val="single" w:sz="4" w:space="0" w:color="auto"/>
              <w:right w:val="single" w:sz="4" w:space="0" w:color="auto"/>
            </w:tcBorders>
            <w:shd w:val="clear" w:color="auto" w:fill="auto"/>
            <w:noWrap/>
            <w:hideMark/>
          </w:tcPr>
          <w:p w14:paraId="66C68639"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hAnsi="Times New Roman" w:cs="Times New Roman"/>
                <w:sz w:val="22"/>
                <w:szCs w:val="22"/>
              </w:rPr>
              <w:t>83.68%</w:t>
            </w:r>
          </w:p>
        </w:tc>
        <w:tc>
          <w:tcPr>
            <w:tcW w:w="720" w:type="dxa"/>
            <w:tcBorders>
              <w:top w:val="dashed" w:sz="4" w:space="0" w:color="auto"/>
              <w:left w:val="single" w:sz="4" w:space="0" w:color="auto"/>
              <w:bottom w:val="single" w:sz="4" w:space="0" w:color="auto"/>
              <w:right w:val="single" w:sz="4" w:space="0" w:color="auto"/>
            </w:tcBorders>
            <w:shd w:val="clear" w:color="auto" w:fill="auto"/>
            <w:noWrap/>
            <w:hideMark/>
          </w:tcPr>
          <w:p w14:paraId="69183709"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p>
        </w:tc>
        <w:tc>
          <w:tcPr>
            <w:tcW w:w="1170" w:type="dxa"/>
            <w:tcBorders>
              <w:top w:val="dashed" w:sz="4" w:space="0" w:color="auto"/>
              <w:left w:val="single" w:sz="4" w:space="0" w:color="auto"/>
              <w:bottom w:val="single" w:sz="4" w:space="0" w:color="auto"/>
              <w:right w:val="single" w:sz="4" w:space="0" w:color="auto"/>
            </w:tcBorders>
            <w:shd w:val="clear" w:color="auto" w:fill="auto"/>
            <w:noWrap/>
            <w:hideMark/>
          </w:tcPr>
          <w:p w14:paraId="6104378C"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hAnsi="Times New Roman" w:cs="Times New Roman"/>
                <w:sz w:val="22"/>
                <w:szCs w:val="22"/>
              </w:rPr>
              <w:t>50.76%</w:t>
            </w:r>
          </w:p>
        </w:tc>
        <w:tc>
          <w:tcPr>
            <w:tcW w:w="1170" w:type="dxa"/>
            <w:tcBorders>
              <w:top w:val="dashed" w:sz="4" w:space="0" w:color="auto"/>
              <w:left w:val="single" w:sz="4" w:space="0" w:color="auto"/>
              <w:bottom w:val="single" w:sz="4" w:space="0" w:color="auto"/>
              <w:right w:val="single" w:sz="4" w:space="0" w:color="auto"/>
            </w:tcBorders>
            <w:shd w:val="clear" w:color="auto" w:fill="auto"/>
            <w:noWrap/>
            <w:hideMark/>
          </w:tcPr>
          <w:p w14:paraId="79D3E98C"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hAnsi="Times New Roman" w:cs="Times New Roman"/>
                <w:sz w:val="22"/>
                <w:szCs w:val="22"/>
              </w:rPr>
              <w:t>67.37%</w:t>
            </w:r>
          </w:p>
        </w:tc>
        <w:tc>
          <w:tcPr>
            <w:tcW w:w="1350" w:type="dxa"/>
            <w:tcBorders>
              <w:top w:val="dashed" w:sz="4" w:space="0" w:color="auto"/>
              <w:left w:val="single" w:sz="4" w:space="0" w:color="auto"/>
              <w:bottom w:val="single" w:sz="4" w:space="0" w:color="auto"/>
              <w:right w:val="single" w:sz="12" w:space="0" w:color="auto"/>
            </w:tcBorders>
            <w:shd w:val="clear" w:color="auto" w:fill="auto"/>
            <w:noWrap/>
            <w:hideMark/>
          </w:tcPr>
          <w:p w14:paraId="51B38B15"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hAnsi="Times New Roman" w:cs="Times New Roman"/>
                <w:sz w:val="22"/>
                <w:szCs w:val="22"/>
              </w:rPr>
              <w:t>94.13%</w:t>
            </w:r>
          </w:p>
        </w:tc>
        <w:tc>
          <w:tcPr>
            <w:tcW w:w="1170" w:type="dxa"/>
            <w:tcBorders>
              <w:top w:val="dashed" w:sz="4" w:space="0" w:color="auto"/>
              <w:left w:val="single" w:sz="12" w:space="0" w:color="auto"/>
              <w:bottom w:val="single" w:sz="4" w:space="0" w:color="auto"/>
              <w:right w:val="single" w:sz="4" w:space="0" w:color="auto"/>
            </w:tcBorders>
            <w:shd w:val="clear" w:color="auto" w:fill="auto"/>
            <w:noWrap/>
            <w:hideMark/>
          </w:tcPr>
          <w:p w14:paraId="6FEB7BC5"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p>
        </w:tc>
        <w:tc>
          <w:tcPr>
            <w:tcW w:w="1260" w:type="dxa"/>
            <w:tcBorders>
              <w:top w:val="dashed" w:sz="4" w:space="0" w:color="auto"/>
              <w:left w:val="single" w:sz="4" w:space="0" w:color="auto"/>
              <w:bottom w:val="single" w:sz="4" w:space="0" w:color="auto"/>
              <w:right w:val="single" w:sz="12" w:space="0" w:color="auto"/>
            </w:tcBorders>
            <w:shd w:val="clear" w:color="auto" w:fill="auto"/>
            <w:noWrap/>
            <w:hideMark/>
          </w:tcPr>
          <w:p w14:paraId="37F817EC"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p>
        </w:tc>
        <w:tc>
          <w:tcPr>
            <w:tcW w:w="1170" w:type="dxa"/>
            <w:tcBorders>
              <w:top w:val="dashed" w:sz="4" w:space="0" w:color="auto"/>
              <w:left w:val="single" w:sz="12" w:space="0" w:color="auto"/>
              <w:bottom w:val="single" w:sz="4" w:space="0" w:color="auto"/>
              <w:right w:val="single" w:sz="4" w:space="0" w:color="auto"/>
            </w:tcBorders>
            <w:shd w:val="clear" w:color="auto" w:fill="auto"/>
            <w:noWrap/>
            <w:hideMark/>
          </w:tcPr>
          <w:p w14:paraId="43BA8D2E"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hAnsi="Times New Roman" w:cs="Times New Roman"/>
                <w:sz w:val="22"/>
                <w:szCs w:val="22"/>
              </w:rPr>
              <w:t>81.16%</w:t>
            </w:r>
          </w:p>
        </w:tc>
        <w:tc>
          <w:tcPr>
            <w:tcW w:w="1260" w:type="dxa"/>
            <w:tcBorders>
              <w:top w:val="dashed" w:sz="4" w:space="0" w:color="auto"/>
              <w:left w:val="single" w:sz="4" w:space="0" w:color="auto"/>
              <w:bottom w:val="single" w:sz="4" w:space="0" w:color="auto"/>
              <w:right w:val="single" w:sz="12" w:space="0" w:color="auto"/>
            </w:tcBorders>
            <w:shd w:val="clear" w:color="auto" w:fill="auto"/>
            <w:noWrap/>
            <w:hideMark/>
          </w:tcPr>
          <w:p w14:paraId="66C6EC62"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p>
        </w:tc>
        <w:tc>
          <w:tcPr>
            <w:tcW w:w="1350" w:type="dxa"/>
            <w:tcBorders>
              <w:top w:val="dashed" w:sz="4" w:space="0" w:color="auto"/>
              <w:left w:val="single" w:sz="12" w:space="0" w:color="auto"/>
              <w:bottom w:val="single" w:sz="4" w:space="0" w:color="auto"/>
              <w:right w:val="single" w:sz="4" w:space="0" w:color="auto"/>
            </w:tcBorders>
            <w:shd w:val="clear" w:color="auto" w:fill="auto"/>
            <w:noWrap/>
            <w:hideMark/>
          </w:tcPr>
          <w:p w14:paraId="78676129"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hAnsi="Times New Roman" w:cs="Times New Roman"/>
                <w:sz w:val="22"/>
                <w:szCs w:val="22"/>
              </w:rPr>
              <w:t>97.44%</w:t>
            </w:r>
          </w:p>
        </w:tc>
        <w:tc>
          <w:tcPr>
            <w:tcW w:w="1260" w:type="dxa"/>
            <w:tcBorders>
              <w:top w:val="dashed" w:sz="4" w:space="0" w:color="auto"/>
              <w:left w:val="single" w:sz="4" w:space="0" w:color="auto"/>
              <w:bottom w:val="single" w:sz="4" w:space="0" w:color="auto"/>
              <w:right w:val="double" w:sz="4" w:space="0" w:color="auto"/>
            </w:tcBorders>
            <w:shd w:val="clear" w:color="auto" w:fill="auto"/>
            <w:noWrap/>
            <w:hideMark/>
          </w:tcPr>
          <w:p w14:paraId="310761E0"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p>
        </w:tc>
      </w:tr>
      <w:tr w:rsidR="00F42C5F" w:rsidRPr="00375BA6" w14:paraId="1A0EF266" w14:textId="77777777" w:rsidTr="00D87F40">
        <w:trPr>
          <w:trHeight w:val="638"/>
        </w:trPr>
        <w:tc>
          <w:tcPr>
            <w:tcW w:w="1527" w:type="dxa"/>
            <w:gridSpan w:val="2"/>
            <w:vMerge w:val="restart"/>
            <w:tcBorders>
              <w:top w:val="single" w:sz="4" w:space="0" w:color="auto"/>
              <w:left w:val="double" w:sz="4" w:space="0" w:color="auto"/>
              <w:right w:val="single" w:sz="4" w:space="0" w:color="auto"/>
            </w:tcBorders>
            <w:shd w:val="clear" w:color="000000" w:fill="C6E0B4"/>
            <w:vAlign w:val="center"/>
            <w:hideMark/>
          </w:tcPr>
          <w:p w14:paraId="2AE0C9D5" w14:textId="77777777" w:rsidR="00F42C5F" w:rsidRPr="00375BA6" w:rsidRDefault="00F42C5F" w:rsidP="00D87F40">
            <w:pPr>
              <w:spacing w:after="0" w:line="240" w:lineRule="auto"/>
              <w:rPr>
                <w:rFonts w:ascii="Times New Roman" w:eastAsia="Times New Roman" w:hAnsi="Times New Roman" w:cs="Times New Roman"/>
                <w:color w:val="000000"/>
                <w:sz w:val="22"/>
                <w:szCs w:val="22"/>
              </w:rPr>
            </w:pPr>
            <w:r w:rsidRPr="00375BA6">
              <w:rPr>
                <w:rFonts w:ascii="Times New Roman" w:eastAsia="Times New Roman" w:hAnsi="Times New Roman" w:cs="Times New Roman"/>
                <w:color w:val="000000"/>
                <w:sz w:val="22"/>
                <w:szCs w:val="22"/>
              </w:rPr>
              <w:t xml:space="preserve">Blocks With Partial LTE Coverage </w:t>
            </w:r>
          </w:p>
        </w:tc>
        <w:tc>
          <w:tcPr>
            <w:tcW w:w="1270" w:type="dxa"/>
            <w:tcBorders>
              <w:top w:val="single" w:sz="4" w:space="0" w:color="auto"/>
              <w:left w:val="single" w:sz="4" w:space="0" w:color="auto"/>
              <w:bottom w:val="dashed" w:sz="4" w:space="0" w:color="auto"/>
              <w:right w:val="single" w:sz="4" w:space="0" w:color="auto"/>
            </w:tcBorders>
            <w:shd w:val="clear" w:color="auto" w:fill="auto"/>
            <w:noWrap/>
            <w:vAlign w:val="center"/>
            <w:hideMark/>
          </w:tcPr>
          <w:p w14:paraId="0CABBD7C"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hAnsi="Times New Roman" w:cs="Times New Roman"/>
                <w:sz w:val="22"/>
                <w:szCs w:val="22"/>
              </w:rPr>
              <w:t>24,981</w:t>
            </w:r>
          </w:p>
        </w:tc>
        <w:tc>
          <w:tcPr>
            <w:tcW w:w="720" w:type="dxa"/>
            <w:tcBorders>
              <w:top w:val="single" w:sz="4" w:space="0" w:color="auto"/>
              <w:left w:val="single" w:sz="4" w:space="0" w:color="auto"/>
              <w:bottom w:val="dashed" w:sz="4" w:space="0" w:color="auto"/>
              <w:right w:val="single" w:sz="4" w:space="0" w:color="auto"/>
            </w:tcBorders>
            <w:shd w:val="clear" w:color="auto" w:fill="auto"/>
            <w:noWrap/>
            <w:vAlign w:val="center"/>
            <w:hideMark/>
          </w:tcPr>
          <w:p w14:paraId="33910501"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hAnsi="Times New Roman" w:cs="Times New Roman"/>
                <w:sz w:val="22"/>
                <w:szCs w:val="22"/>
              </w:rPr>
              <w:t>2</w:t>
            </w:r>
          </w:p>
        </w:tc>
        <w:tc>
          <w:tcPr>
            <w:tcW w:w="1170" w:type="dxa"/>
            <w:tcBorders>
              <w:top w:val="single" w:sz="4" w:space="0" w:color="auto"/>
              <w:left w:val="single" w:sz="4" w:space="0" w:color="auto"/>
              <w:bottom w:val="dashed" w:sz="4" w:space="0" w:color="auto"/>
              <w:right w:val="single" w:sz="4" w:space="0" w:color="auto"/>
            </w:tcBorders>
            <w:shd w:val="clear" w:color="auto" w:fill="auto"/>
            <w:noWrap/>
            <w:vAlign w:val="center"/>
            <w:hideMark/>
          </w:tcPr>
          <w:p w14:paraId="5D79D1BA"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hAnsi="Times New Roman" w:cs="Times New Roman"/>
                <w:sz w:val="22"/>
                <w:szCs w:val="22"/>
              </w:rPr>
              <w:t>70,053</w:t>
            </w:r>
          </w:p>
        </w:tc>
        <w:tc>
          <w:tcPr>
            <w:tcW w:w="1170" w:type="dxa"/>
            <w:tcBorders>
              <w:top w:val="single" w:sz="4" w:space="0" w:color="auto"/>
              <w:left w:val="single" w:sz="4" w:space="0" w:color="auto"/>
              <w:bottom w:val="dashed" w:sz="4" w:space="0" w:color="auto"/>
              <w:right w:val="single" w:sz="4" w:space="0" w:color="auto"/>
            </w:tcBorders>
            <w:shd w:val="clear" w:color="auto" w:fill="auto"/>
            <w:noWrap/>
            <w:vAlign w:val="center"/>
            <w:hideMark/>
          </w:tcPr>
          <w:p w14:paraId="256FA8A9"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hAnsi="Times New Roman" w:cs="Times New Roman"/>
                <w:sz w:val="22"/>
                <w:szCs w:val="22"/>
              </w:rPr>
              <w:t>74,605</w:t>
            </w:r>
          </w:p>
        </w:tc>
        <w:tc>
          <w:tcPr>
            <w:tcW w:w="1350" w:type="dxa"/>
            <w:tcBorders>
              <w:top w:val="single" w:sz="4" w:space="0" w:color="auto"/>
              <w:left w:val="single" w:sz="4" w:space="0" w:color="auto"/>
              <w:bottom w:val="dashed" w:sz="4" w:space="0" w:color="auto"/>
              <w:right w:val="single" w:sz="12" w:space="0" w:color="auto"/>
            </w:tcBorders>
            <w:shd w:val="clear" w:color="auto" w:fill="auto"/>
            <w:noWrap/>
            <w:vAlign w:val="center"/>
            <w:hideMark/>
          </w:tcPr>
          <w:p w14:paraId="47A617F0"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hAnsi="Times New Roman" w:cs="Times New Roman"/>
                <w:sz w:val="22"/>
                <w:szCs w:val="22"/>
              </w:rPr>
              <w:t>125,095</w:t>
            </w:r>
          </w:p>
        </w:tc>
        <w:tc>
          <w:tcPr>
            <w:tcW w:w="1170" w:type="dxa"/>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49F12309"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p>
        </w:tc>
        <w:tc>
          <w:tcPr>
            <w:tcW w:w="1260" w:type="dxa"/>
            <w:tcBorders>
              <w:top w:val="single" w:sz="4" w:space="0" w:color="auto"/>
              <w:left w:val="single" w:sz="4" w:space="0" w:color="auto"/>
              <w:bottom w:val="dashed" w:sz="4" w:space="0" w:color="auto"/>
              <w:right w:val="single" w:sz="12" w:space="0" w:color="auto"/>
            </w:tcBorders>
            <w:shd w:val="clear" w:color="auto" w:fill="auto"/>
            <w:noWrap/>
            <w:vAlign w:val="center"/>
            <w:hideMark/>
          </w:tcPr>
          <w:p w14:paraId="42D9E9BC"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p>
        </w:tc>
        <w:tc>
          <w:tcPr>
            <w:tcW w:w="1170" w:type="dxa"/>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3CE8A67E"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p>
        </w:tc>
        <w:tc>
          <w:tcPr>
            <w:tcW w:w="1260" w:type="dxa"/>
            <w:tcBorders>
              <w:top w:val="single" w:sz="4" w:space="0" w:color="auto"/>
              <w:left w:val="single" w:sz="4" w:space="0" w:color="auto"/>
              <w:bottom w:val="dashed" w:sz="4" w:space="0" w:color="auto"/>
              <w:right w:val="single" w:sz="12" w:space="0" w:color="auto"/>
            </w:tcBorders>
            <w:shd w:val="clear" w:color="auto" w:fill="auto"/>
            <w:noWrap/>
            <w:vAlign w:val="center"/>
            <w:hideMark/>
          </w:tcPr>
          <w:p w14:paraId="4447F768"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p>
        </w:tc>
        <w:tc>
          <w:tcPr>
            <w:tcW w:w="1350" w:type="dxa"/>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17EB1D23"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p>
        </w:tc>
        <w:tc>
          <w:tcPr>
            <w:tcW w:w="1260" w:type="dxa"/>
            <w:tcBorders>
              <w:top w:val="single" w:sz="4" w:space="0" w:color="auto"/>
              <w:left w:val="single" w:sz="4" w:space="0" w:color="auto"/>
              <w:bottom w:val="dashed" w:sz="4" w:space="0" w:color="auto"/>
              <w:right w:val="double" w:sz="4" w:space="0" w:color="auto"/>
            </w:tcBorders>
            <w:shd w:val="clear" w:color="auto" w:fill="auto"/>
            <w:noWrap/>
            <w:vAlign w:val="center"/>
            <w:hideMark/>
          </w:tcPr>
          <w:p w14:paraId="31C97EB7"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p>
        </w:tc>
      </w:tr>
      <w:tr w:rsidR="00F42C5F" w:rsidRPr="00375BA6" w14:paraId="3ABD5A92" w14:textId="77777777" w:rsidTr="00D87F40">
        <w:trPr>
          <w:trHeight w:val="530"/>
        </w:trPr>
        <w:tc>
          <w:tcPr>
            <w:tcW w:w="1527" w:type="dxa"/>
            <w:gridSpan w:val="2"/>
            <w:vMerge/>
            <w:tcBorders>
              <w:left w:val="double" w:sz="4" w:space="0" w:color="auto"/>
              <w:bottom w:val="double" w:sz="4" w:space="0" w:color="auto"/>
              <w:right w:val="single" w:sz="4" w:space="0" w:color="auto"/>
            </w:tcBorders>
            <w:vAlign w:val="center"/>
            <w:hideMark/>
          </w:tcPr>
          <w:p w14:paraId="4A75E435" w14:textId="77777777" w:rsidR="00F42C5F" w:rsidRPr="00375BA6" w:rsidRDefault="00F42C5F" w:rsidP="00D87F40">
            <w:pPr>
              <w:spacing w:after="0" w:line="240" w:lineRule="auto"/>
              <w:rPr>
                <w:rFonts w:ascii="Times New Roman" w:eastAsia="Times New Roman" w:hAnsi="Times New Roman" w:cs="Times New Roman"/>
                <w:color w:val="000000"/>
                <w:sz w:val="22"/>
                <w:szCs w:val="22"/>
              </w:rPr>
            </w:pPr>
          </w:p>
        </w:tc>
        <w:tc>
          <w:tcPr>
            <w:tcW w:w="1270"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14:paraId="27C0A517"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hAnsi="Times New Roman" w:cs="Times New Roman"/>
                <w:sz w:val="22"/>
                <w:szCs w:val="22"/>
              </w:rPr>
              <w:t>6.95%</w:t>
            </w:r>
          </w:p>
        </w:tc>
        <w:tc>
          <w:tcPr>
            <w:tcW w:w="720"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14:paraId="248A230C"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p>
        </w:tc>
        <w:tc>
          <w:tcPr>
            <w:tcW w:w="1170"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14:paraId="626F45F8"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hAnsi="Times New Roman" w:cs="Times New Roman"/>
                <w:sz w:val="22"/>
                <w:szCs w:val="22"/>
              </w:rPr>
              <w:t>42.73%</w:t>
            </w:r>
          </w:p>
        </w:tc>
        <w:tc>
          <w:tcPr>
            <w:tcW w:w="1170"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14:paraId="61DC274A"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hAnsi="Times New Roman" w:cs="Times New Roman"/>
                <w:sz w:val="22"/>
                <w:szCs w:val="22"/>
              </w:rPr>
              <w:t>24.62%</w:t>
            </w:r>
          </w:p>
        </w:tc>
        <w:tc>
          <w:tcPr>
            <w:tcW w:w="1350" w:type="dxa"/>
            <w:tcBorders>
              <w:top w:val="dashed" w:sz="4" w:space="0" w:color="auto"/>
              <w:left w:val="single" w:sz="4" w:space="0" w:color="auto"/>
              <w:bottom w:val="single" w:sz="4" w:space="0" w:color="auto"/>
              <w:right w:val="single" w:sz="12" w:space="0" w:color="auto"/>
            </w:tcBorders>
            <w:shd w:val="clear" w:color="auto" w:fill="auto"/>
            <w:noWrap/>
            <w:vAlign w:val="center"/>
            <w:hideMark/>
          </w:tcPr>
          <w:p w14:paraId="55DC26CF"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hAnsi="Times New Roman" w:cs="Times New Roman"/>
                <w:sz w:val="22"/>
                <w:szCs w:val="22"/>
              </w:rPr>
              <w:t>3.49%</w:t>
            </w:r>
          </w:p>
        </w:tc>
        <w:tc>
          <w:tcPr>
            <w:tcW w:w="1170" w:type="dxa"/>
            <w:tcBorders>
              <w:top w:val="dashed" w:sz="4" w:space="0" w:color="auto"/>
              <w:left w:val="single" w:sz="12" w:space="0" w:color="auto"/>
              <w:bottom w:val="single" w:sz="4" w:space="0" w:color="auto"/>
              <w:right w:val="single" w:sz="4" w:space="0" w:color="auto"/>
            </w:tcBorders>
            <w:shd w:val="clear" w:color="auto" w:fill="auto"/>
            <w:noWrap/>
            <w:vAlign w:val="center"/>
            <w:hideMark/>
          </w:tcPr>
          <w:p w14:paraId="79C9C6BC"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p>
        </w:tc>
        <w:tc>
          <w:tcPr>
            <w:tcW w:w="1260" w:type="dxa"/>
            <w:tcBorders>
              <w:top w:val="dashed" w:sz="4" w:space="0" w:color="auto"/>
              <w:left w:val="single" w:sz="4" w:space="0" w:color="auto"/>
              <w:bottom w:val="single" w:sz="4" w:space="0" w:color="auto"/>
              <w:right w:val="single" w:sz="12" w:space="0" w:color="auto"/>
            </w:tcBorders>
            <w:shd w:val="clear" w:color="auto" w:fill="auto"/>
            <w:noWrap/>
            <w:vAlign w:val="center"/>
            <w:hideMark/>
          </w:tcPr>
          <w:p w14:paraId="4CDA1DF2"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p>
        </w:tc>
        <w:tc>
          <w:tcPr>
            <w:tcW w:w="1170" w:type="dxa"/>
            <w:tcBorders>
              <w:top w:val="dashed" w:sz="4" w:space="0" w:color="auto"/>
              <w:left w:val="single" w:sz="12" w:space="0" w:color="auto"/>
              <w:bottom w:val="single" w:sz="4" w:space="0" w:color="auto"/>
              <w:right w:val="single" w:sz="4" w:space="0" w:color="auto"/>
            </w:tcBorders>
            <w:shd w:val="clear" w:color="auto" w:fill="auto"/>
            <w:noWrap/>
            <w:vAlign w:val="center"/>
            <w:hideMark/>
          </w:tcPr>
          <w:p w14:paraId="66BBAC4C"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p>
        </w:tc>
        <w:tc>
          <w:tcPr>
            <w:tcW w:w="1260" w:type="dxa"/>
            <w:tcBorders>
              <w:top w:val="dashed" w:sz="4" w:space="0" w:color="auto"/>
              <w:left w:val="single" w:sz="4" w:space="0" w:color="auto"/>
              <w:bottom w:val="single" w:sz="4" w:space="0" w:color="auto"/>
              <w:right w:val="single" w:sz="12" w:space="0" w:color="auto"/>
            </w:tcBorders>
            <w:shd w:val="clear" w:color="auto" w:fill="auto"/>
            <w:noWrap/>
            <w:vAlign w:val="center"/>
            <w:hideMark/>
          </w:tcPr>
          <w:p w14:paraId="48CDC237"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p>
        </w:tc>
        <w:tc>
          <w:tcPr>
            <w:tcW w:w="1350" w:type="dxa"/>
            <w:tcBorders>
              <w:top w:val="dashed" w:sz="4" w:space="0" w:color="auto"/>
              <w:left w:val="single" w:sz="12" w:space="0" w:color="auto"/>
              <w:bottom w:val="single" w:sz="4" w:space="0" w:color="auto"/>
              <w:right w:val="single" w:sz="4" w:space="0" w:color="auto"/>
            </w:tcBorders>
            <w:shd w:val="clear" w:color="auto" w:fill="auto"/>
            <w:noWrap/>
            <w:vAlign w:val="center"/>
            <w:hideMark/>
          </w:tcPr>
          <w:p w14:paraId="18A09352"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p>
        </w:tc>
        <w:tc>
          <w:tcPr>
            <w:tcW w:w="1260" w:type="dxa"/>
            <w:tcBorders>
              <w:top w:val="dashed" w:sz="4" w:space="0" w:color="auto"/>
              <w:left w:val="single" w:sz="4" w:space="0" w:color="auto"/>
              <w:bottom w:val="single" w:sz="4" w:space="0" w:color="auto"/>
              <w:right w:val="double" w:sz="4" w:space="0" w:color="auto"/>
            </w:tcBorders>
            <w:shd w:val="clear" w:color="auto" w:fill="auto"/>
            <w:noWrap/>
            <w:vAlign w:val="center"/>
            <w:hideMark/>
          </w:tcPr>
          <w:p w14:paraId="6340745F"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p>
        </w:tc>
      </w:tr>
      <w:tr w:rsidR="00F42C5F" w:rsidRPr="00375BA6" w14:paraId="16E83212" w14:textId="77777777" w:rsidTr="00D87F40">
        <w:trPr>
          <w:trHeight w:val="420"/>
        </w:trPr>
        <w:tc>
          <w:tcPr>
            <w:tcW w:w="276" w:type="dxa"/>
            <w:tcBorders>
              <w:top w:val="double" w:sz="4" w:space="0" w:color="auto"/>
              <w:right w:val="double" w:sz="4" w:space="0" w:color="auto"/>
            </w:tcBorders>
            <w:shd w:val="clear" w:color="auto" w:fill="auto"/>
            <w:vAlign w:val="center"/>
            <w:hideMark/>
          </w:tcPr>
          <w:p w14:paraId="0D4868C3" w14:textId="77777777" w:rsidR="00F42C5F" w:rsidRPr="00375BA6" w:rsidRDefault="00F42C5F" w:rsidP="00D87F40">
            <w:pPr>
              <w:spacing w:after="0" w:line="240" w:lineRule="auto"/>
              <w:rPr>
                <w:rFonts w:ascii="Times New Roman" w:eastAsia="Times New Roman" w:hAnsi="Times New Roman" w:cs="Times New Roman"/>
                <w:color w:val="000000"/>
                <w:sz w:val="22"/>
                <w:szCs w:val="22"/>
              </w:rPr>
            </w:pPr>
            <w:r w:rsidRPr="00375BA6">
              <w:rPr>
                <w:rFonts w:ascii="Times New Roman" w:eastAsia="Times New Roman" w:hAnsi="Times New Roman" w:cs="Times New Roman"/>
                <w:color w:val="000000"/>
                <w:sz w:val="22"/>
                <w:szCs w:val="22"/>
              </w:rPr>
              <w:t> </w:t>
            </w:r>
          </w:p>
        </w:tc>
        <w:tc>
          <w:tcPr>
            <w:tcW w:w="1251" w:type="dxa"/>
            <w:tcBorders>
              <w:top w:val="double" w:sz="4" w:space="0" w:color="auto"/>
              <w:left w:val="double" w:sz="4" w:space="0" w:color="auto"/>
              <w:right w:val="single" w:sz="4" w:space="0" w:color="auto"/>
            </w:tcBorders>
            <w:shd w:val="clear" w:color="auto" w:fill="auto"/>
            <w:noWrap/>
            <w:vAlign w:val="bottom"/>
            <w:hideMark/>
          </w:tcPr>
          <w:p w14:paraId="2DE7AC86" w14:textId="77777777" w:rsidR="00F42C5F" w:rsidRPr="00375BA6" w:rsidRDefault="00F42C5F" w:rsidP="00D87F40">
            <w:pPr>
              <w:spacing w:after="0" w:line="240" w:lineRule="auto"/>
              <w:rPr>
                <w:rFonts w:ascii="Times New Roman" w:eastAsia="Times New Roman" w:hAnsi="Times New Roman" w:cs="Times New Roman"/>
                <w:color w:val="000000"/>
                <w:sz w:val="22"/>
                <w:szCs w:val="22"/>
              </w:rPr>
            </w:pPr>
            <w:r w:rsidRPr="00C51C72">
              <w:rPr>
                <w:rFonts w:ascii="Times New Roman" w:eastAsia="Times New Roman" w:hAnsi="Times New Roman" w:cs="Times New Roman"/>
                <w:color w:val="000000"/>
                <w:sz w:val="22"/>
                <w:szCs w:val="22"/>
              </w:rPr>
              <w:t>Covered</w:t>
            </w:r>
          </w:p>
        </w:tc>
        <w:tc>
          <w:tcPr>
            <w:tcW w:w="1270" w:type="dxa"/>
            <w:tcBorders>
              <w:top w:val="single" w:sz="4" w:space="0" w:color="auto"/>
              <w:left w:val="single" w:sz="4" w:space="0" w:color="auto"/>
              <w:bottom w:val="dashed" w:sz="4" w:space="0" w:color="auto"/>
              <w:right w:val="single" w:sz="4" w:space="0" w:color="auto"/>
            </w:tcBorders>
            <w:shd w:val="clear" w:color="auto" w:fill="auto"/>
            <w:noWrap/>
            <w:vAlign w:val="center"/>
            <w:hideMark/>
          </w:tcPr>
          <w:p w14:paraId="2BD2668D"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p>
        </w:tc>
        <w:tc>
          <w:tcPr>
            <w:tcW w:w="720" w:type="dxa"/>
            <w:tcBorders>
              <w:top w:val="single" w:sz="4" w:space="0" w:color="auto"/>
              <w:left w:val="single" w:sz="4" w:space="0" w:color="auto"/>
              <w:bottom w:val="dashed" w:sz="4" w:space="0" w:color="auto"/>
              <w:right w:val="single" w:sz="4" w:space="0" w:color="auto"/>
            </w:tcBorders>
            <w:shd w:val="clear" w:color="auto" w:fill="auto"/>
            <w:noWrap/>
            <w:vAlign w:val="center"/>
            <w:hideMark/>
          </w:tcPr>
          <w:p w14:paraId="41B4E8D8"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p>
        </w:tc>
        <w:tc>
          <w:tcPr>
            <w:tcW w:w="1170" w:type="dxa"/>
            <w:tcBorders>
              <w:top w:val="single" w:sz="4" w:space="0" w:color="auto"/>
              <w:left w:val="single" w:sz="4" w:space="0" w:color="auto"/>
              <w:bottom w:val="dashed" w:sz="4" w:space="0" w:color="auto"/>
              <w:right w:val="single" w:sz="4" w:space="0" w:color="auto"/>
            </w:tcBorders>
            <w:shd w:val="clear" w:color="auto" w:fill="auto"/>
            <w:noWrap/>
            <w:vAlign w:val="center"/>
            <w:hideMark/>
          </w:tcPr>
          <w:p w14:paraId="54557418"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p>
        </w:tc>
        <w:tc>
          <w:tcPr>
            <w:tcW w:w="1170" w:type="dxa"/>
            <w:tcBorders>
              <w:top w:val="single" w:sz="4" w:space="0" w:color="auto"/>
              <w:left w:val="single" w:sz="4" w:space="0" w:color="auto"/>
              <w:bottom w:val="dashed" w:sz="4" w:space="0" w:color="auto"/>
              <w:right w:val="single" w:sz="4" w:space="0" w:color="auto"/>
            </w:tcBorders>
            <w:shd w:val="clear" w:color="auto" w:fill="auto"/>
            <w:noWrap/>
            <w:vAlign w:val="center"/>
            <w:hideMark/>
          </w:tcPr>
          <w:p w14:paraId="6D539D73"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p>
        </w:tc>
        <w:tc>
          <w:tcPr>
            <w:tcW w:w="1350" w:type="dxa"/>
            <w:tcBorders>
              <w:top w:val="single" w:sz="4" w:space="0" w:color="auto"/>
              <w:left w:val="single" w:sz="4" w:space="0" w:color="auto"/>
              <w:bottom w:val="dashed" w:sz="4" w:space="0" w:color="auto"/>
              <w:right w:val="single" w:sz="12" w:space="0" w:color="auto"/>
            </w:tcBorders>
            <w:shd w:val="clear" w:color="auto" w:fill="auto"/>
            <w:noWrap/>
            <w:vAlign w:val="center"/>
          </w:tcPr>
          <w:p w14:paraId="3BCC31B9"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p>
        </w:tc>
        <w:tc>
          <w:tcPr>
            <w:tcW w:w="1170" w:type="dxa"/>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239C643E"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hAnsi="Times New Roman" w:cs="Times New Roman"/>
                <w:sz w:val="22"/>
                <w:szCs w:val="22"/>
              </w:rPr>
              <w:t>44,635</w:t>
            </w:r>
          </w:p>
        </w:tc>
        <w:tc>
          <w:tcPr>
            <w:tcW w:w="1260" w:type="dxa"/>
            <w:tcBorders>
              <w:top w:val="single" w:sz="4" w:space="0" w:color="auto"/>
              <w:left w:val="single" w:sz="4" w:space="0" w:color="auto"/>
              <w:bottom w:val="dashed" w:sz="4" w:space="0" w:color="auto"/>
              <w:right w:val="single" w:sz="12" w:space="0" w:color="auto"/>
            </w:tcBorders>
            <w:shd w:val="clear" w:color="auto" w:fill="auto"/>
            <w:noWrap/>
            <w:vAlign w:val="center"/>
          </w:tcPr>
          <w:p w14:paraId="41BE76CA"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p>
        </w:tc>
        <w:tc>
          <w:tcPr>
            <w:tcW w:w="1170" w:type="dxa"/>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42DFFC2C"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hAnsi="Times New Roman" w:cs="Times New Roman"/>
                <w:sz w:val="22"/>
                <w:szCs w:val="22"/>
              </w:rPr>
              <w:t>47,397</w:t>
            </w:r>
          </w:p>
        </w:tc>
        <w:tc>
          <w:tcPr>
            <w:tcW w:w="1260" w:type="dxa"/>
            <w:tcBorders>
              <w:top w:val="single" w:sz="4" w:space="0" w:color="auto"/>
              <w:left w:val="single" w:sz="4" w:space="0" w:color="auto"/>
              <w:bottom w:val="dashed" w:sz="4" w:space="0" w:color="auto"/>
              <w:right w:val="single" w:sz="12" w:space="0" w:color="auto"/>
            </w:tcBorders>
            <w:shd w:val="clear" w:color="auto" w:fill="auto"/>
            <w:noWrap/>
            <w:vAlign w:val="center"/>
          </w:tcPr>
          <w:p w14:paraId="25DA0731"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p>
        </w:tc>
        <w:tc>
          <w:tcPr>
            <w:tcW w:w="1350" w:type="dxa"/>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3852A929"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hAnsi="Times New Roman" w:cs="Times New Roman"/>
                <w:sz w:val="22"/>
                <w:szCs w:val="22"/>
              </w:rPr>
              <w:t>88,474</w:t>
            </w:r>
          </w:p>
        </w:tc>
        <w:tc>
          <w:tcPr>
            <w:tcW w:w="1260" w:type="dxa"/>
            <w:tcBorders>
              <w:top w:val="single" w:sz="4" w:space="0" w:color="auto"/>
              <w:left w:val="single" w:sz="4" w:space="0" w:color="auto"/>
              <w:bottom w:val="dashed" w:sz="4" w:space="0" w:color="auto"/>
              <w:right w:val="double" w:sz="4" w:space="0" w:color="auto"/>
            </w:tcBorders>
            <w:shd w:val="clear" w:color="auto" w:fill="auto"/>
            <w:noWrap/>
            <w:vAlign w:val="center"/>
            <w:hideMark/>
          </w:tcPr>
          <w:p w14:paraId="563052E0"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p>
        </w:tc>
      </w:tr>
      <w:tr w:rsidR="00F42C5F" w:rsidRPr="00375BA6" w14:paraId="40D48C16" w14:textId="77777777" w:rsidTr="00D87F40">
        <w:trPr>
          <w:trHeight w:val="440"/>
        </w:trPr>
        <w:tc>
          <w:tcPr>
            <w:tcW w:w="276" w:type="dxa"/>
            <w:tcBorders>
              <w:top w:val="nil"/>
              <w:right w:val="double" w:sz="4" w:space="0" w:color="auto"/>
            </w:tcBorders>
            <w:shd w:val="clear" w:color="auto" w:fill="auto"/>
            <w:vAlign w:val="center"/>
            <w:hideMark/>
          </w:tcPr>
          <w:p w14:paraId="64D59615" w14:textId="77777777" w:rsidR="00F42C5F" w:rsidRPr="00375BA6" w:rsidRDefault="00F42C5F" w:rsidP="00D87F40">
            <w:pPr>
              <w:spacing w:after="0" w:line="240" w:lineRule="auto"/>
              <w:rPr>
                <w:rFonts w:ascii="Times New Roman" w:eastAsia="Times New Roman" w:hAnsi="Times New Roman" w:cs="Times New Roman"/>
                <w:color w:val="000000"/>
                <w:sz w:val="22"/>
                <w:szCs w:val="22"/>
              </w:rPr>
            </w:pPr>
            <w:r w:rsidRPr="00375BA6">
              <w:rPr>
                <w:rFonts w:ascii="Times New Roman" w:eastAsia="Times New Roman" w:hAnsi="Times New Roman" w:cs="Times New Roman"/>
                <w:color w:val="000000"/>
                <w:sz w:val="22"/>
                <w:szCs w:val="22"/>
              </w:rPr>
              <w:t> </w:t>
            </w:r>
          </w:p>
        </w:tc>
        <w:tc>
          <w:tcPr>
            <w:tcW w:w="1251" w:type="dxa"/>
            <w:tcBorders>
              <w:top w:val="nil"/>
              <w:left w:val="double" w:sz="4" w:space="0" w:color="auto"/>
              <w:bottom w:val="single" w:sz="4" w:space="0" w:color="auto"/>
              <w:right w:val="single" w:sz="4" w:space="0" w:color="auto"/>
            </w:tcBorders>
            <w:shd w:val="clear" w:color="auto" w:fill="auto"/>
            <w:noWrap/>
            <w:vAlign w:val="bottom"/>
            <w:hideMark/>
          </w:tcPr>
          <w:p w14:paraId="70EB90A6" w14:textId="77777777" w:rsidR="00F42C5F" w:rsidRPr="00375BA6" w:rsidRDefault="00F42C5F" w:rsidP="00D87F40">
            <w:pPr>
              <w:spacing w:after="0" w:line="240" w:lineRule="auto"/>
              <w:rPr>
                <w:rFonts w:ascii="Times New Roman" w:eastAsia="Times New Roman" w:hAnsi="Times New Roman" w:cs="Times New Roman"/>
                <w:color w:val="000000"/>
                <w:sz w:val="22"/>
                <w:szCs w:val="22"/>
              </w:rPr>
            </w:pPr>
            <w:r w:rsidRPr="00C51C72">
              <w:rPr>
                <w:rFonts w:ascii="Times New Roman" w:eastAsia="Times New Roman" w:hAnsi="Times New Roman" w:cs="Times New Roman"/>
                <w:color w:val="000000"/>
                <w:sz w:val="22"/>
                <w:szCs w:val="22"/>
              </w:rPr>
              <w:t> </w:t>
            </w:r>
          </w:p>
        </w:tc>
        <w:tc>
          <w:tcPr>
            <w:tcW w:w="1270"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14:paraId="18191529"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p>
        </w:tc>
        <w:tc>
          <w:tcPr>
            <w:tcW w:w="720"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14:paraId="154D8C41"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p>
        </w:tc>
        <w:tc>
          <w:tcPr>
            <w:tcW w:w="1170"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14:paraId="5B0A6298"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p>
        </w:tc>
        <w:tc>
          <w:tcPr>
            <w:tcW w:w="1170"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14:paraId="387537E9"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p>
        </w:tc>
        <w:tc>
          <w:tcPr>
            <w:tcW w:w="1350" w:type="dxa"/>
            <w:tcBorders>
              <w:top w:val="dashed" w:sz="4" w:space="0" w:color="auto"/>
              <w:left w:val="single" w:sz="4" w:space="0" w:color="auto"/>
              <w:bottom w:val="single" w:sz="4" w:space="0" w:color="auto"/>
              <w:right w:val="single" w:sz="12" w:space="0" w:color="auto"/>
            </w:tcBorders>
            <w:shd w:val="clear" w:color="auto" w:fill="auto"/>
            <w:noWrap/>
            <w:vAlign w:val="center"/>
          </w:tcPr>
          <w:p w14:paraId="03EEC58F"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p>
        </w:tc>
        <w:tc>
          <w:tcPr>
            <w:tcW w:w="1170" w:type="dxa"/>
            <w:tcBorders>
              <w:top w:val="dashed" w:sz="4" w:space="0" w:color="auto"/>
              <w:left w:val="single" w:sz="12" w:space="0" w:color="auto"/>
              <w:bottom w:val="single" w:sz="4" w:space="0" w:color="auto"/>
              <w:right w:val="single" w:sz="4" w:space="0" w:color="auto"/>
            </w:tcBorders>
            <w:shd w:val="clear" w:color="auto" w:fill="auto"/>
            <w:noWrap/>
            <w:vAlign w:val="center"/>
            <w:hideMark/>
          </w:tcPr>
          <w:p w14:paraId="7A1D9F3D"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hAnsi="Times New Roman" w:cs="Times New Roman"/>
                <w:sz w:val="22"/>
                <w:szCs w:val="22"/>
              </w:rPr>
              <w:t>34.92%</w:t>
            </w:r>
          </w:p>
        </w:tc>
        <w:tc>
          <w:tcPr>
            <w:tcW w:w="1260" w:type="dxa"/>
            <w:tcBorders>
              <w:top w:val="dashed" w:sz="4" w:space="0" w:color="auto"/>
              <w:left w:val="single" w:sz="4" w:space="0" w:color="auto"/>
              <w:bottom w:val="single" w:sz="4" w:space="0" w:color="auto"/>
              <w:right w:val="single" w:sz="12" w:space="0" w:color="auto"/>
            </w:tcBorders>
            <w:shd w:val="clear" w:color="auto" w:fill="auto"/>
            <w:noWrap/>
            <w:vAlign w:val="center"/>
          </w:tcPr>
          <w:p w14:paraId="5D72F260"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p>
        </w:tc>
        <w:tc>
          <w:tcPr>
            <w:tcW w:w="1170" w:type="dxa"/>
            <w:tcBorders>
              <w:top w:val="dashed" w:sz="4" w:space="0" w:color="auto"/>
              <w:left w:val="single" w:sz="12" w:space="0" w:color="auto"/>
              <w:bottom w:val="single" w:sz="4" w:space="0" w:color="auto"/>
              <w:right w:val="single" w:sz="4" w:space="0" w:color="auto"/>
            </w:tcBorders>
            <w:shd w:val="clear" w:color="auto" w:fill="auto"/>
            <w:noWrap/>
            <w:vAlign w:val="center"/>
            <w:hideMark/>
          </w:tcPr>
          <w:p w14:paraId="1DC93999"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hAnsi="Times New Roman" w:cs="Times New Roman"/>
                <w:sz w:val="22"/>
                <w:szCs w:val="22"/>
              </w:rPr>
              <w:t>18.84%</w:t>
            </w:r>
          </w:p>
        </w:tc>
        <w:tc>
          <w:tcPr>
            <w:tcW w:w="1260" w:type="dxa"/>
            <w:tcBorders>
              <w:top w:val="dashed" w:sz="4" w:space="0" w:color="auto"/>
              <w:left w:val="single" w:sz="4" w:space="0" w:color="auto"/>
              <w:bottom w:val="single" w:sz="4" w:space="0" w:color="auto"/>
              <w:right w:val="single" w:sz="12" w:space="0" w:color="auto"/>
            </w:tcBorders>
            <w:shd w:val="clear" w:color="auto" w:fill="auto"/>
            <w:noWrap/>
            <w:vAlign w:val="center"/>
          </w:tcPr>
          <w:p w14:paraId="4BB36B90"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p>
        </w:tc>
        <w:tc>
          <w:tcPr>
            <w:tcW w:w="1350" w:type="dxa"/>
            <w:tcBorders>
              <w:top w:val="dashed" w:sz="4" w:space="0" w:color="auto"/>
              <w:left w:val="single" w:sz="12" w:space="0" w:color="auto"/>
              <w:bottom w:val="single" w:sz="4" w:space="0" w:color="auto"/>
              <w:right w:val="single" w:sz="4" w:space="0" w:color="auto"/>
            </w:tcBorders>
            <w:shd w:val="clear" w:color="auto" w:fill="auto"/>
            <w:noWrap/>
            <w:vAlign w:val="center"/>
            <w:hideMark/>
          </w:tcPr>
          <w:p w14:paraId="3D324A01"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hAnsi="Times New Roman" w:cs="Times New Roman"/>
                <w:sz w:val="22"/>
                <w:szCs w:val="22"/>
              </w:rPr>
              <w:t>2.56%</w:t>
            </w:r>
          </w:p>
        </w:tc>
        <w:tc>
          <w:tcPr>
            <w:tcW w:w="1260" w:type="dxa"/>
            <w:tcBorders>
              <w:top w:val="dashed" w:sz="4" w:space="0" w:color="auto"/>
              <w:left w:val="single" w:sz="4" w:space="0" w:color="auto"/>
              <w:bottom w:val="single" w:sz="4" w:space="0" w:color="auto"/>
              <w:right w:val="double" w:sz="4" w:space="0" w:color="auto"/>
            </w:tcBorders>
            <w:shd w:val="clear" w:color="auto" w:fill="auto"/>
            <w:noWrap/>
            <w:vAlign w:val="center"/>
            <w:hideMark/>
          </w:tcPr>
          <w:p w14:paraId="4D4DE845"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p>
        </w:tc>
      </w:tr>
      <w:tr w:rsidR="00F42C5F" w:rsidRPr="00375BA6" w14:paraId="4F54FB1A" w14:textId="77777777" w:rsidTr="00D87F40">
        <w:trPr>
          <w:trHeight w:val="503"/>
        </w:trPr>
        <w:tc>
          <w:tcPr>
            <w:tcW w:w="276" w:type="dxa"/>
            <w:tcBorders>
              <w:bottom w:val="nil"/>
              <w:right w:val="double" w:sz="4" w:space="0" w:color="auto"/>
            </w:tcBorders>
            <w:shd w:val="clear" w:color="auto" w:fill="auto"/>
            <w:vAlign w:val="center"/>
            <w:hideMark/>
          </w:tcPr>
          <w:p w14:paraId="350F0CD9" w14:textId="77777777" w:rsidR="00F42C5F" w:rsidRPr="00375BA6" w:rsidRDefault="00F42C5F" w:rsidP="00D87F40">
            <w:pPr>
              <w:spacing w:after="0" w:line="240" w:lineRule="auto"/>
              <w:rPr>
                <w:rFonts w:ascii="Times New Roman" w:eastAsia="Times New Roman" w:hAnsi="Times New Roman" w:cs="Times New Roman"/>
                <w:color w:val="000000"/>
                <w:sz w:val="22"/>
                <w:szCs w:val="22"/>
              </w:rPr>
            </w:pPr>
            <w:r w:rsidRPr="00375BA6">
              <w:rPr>
                <w:rFonts w:ascii="Times New Roman" w:eastAsia="Times New Roman" w:hAnsi="Times New Roman" w:cs="Times New Roman"/>
                <w:color w:val="000000"/>
                <w:sz w:val="22"/>
                <w:szCs w:val="22"/>
              </w:rPr>
              <w:t> </w:t>
            </w:r>
          </w:p>
        </w:tc>
        <w:tc>
          <w:tcPr>
            <w:tcW w:w="1251" w:type="dxa"/>
            <w:tcBorders>
              <w:top w:val="single" w:sz="4" w:space="0" w:color="auto"/>
              <w:left w:val="double" w:sz="4" w:space="0" w:color="auto"/>
              <w:bottom w:val="nil"/>
              <w:right w:val="single" w:sz="4" w:space="0" w:color="auto"/>
            </w:tcBorders>
            <w:shd w:val="clear" w:color="auto" w:fill="auto"/>
            <w:noWrap/>
            <w:vAlign w:val="bottom"/>
            <w:hideMark/>
          </w:tcPr>
          <w:p w14:paraId="1D6CA70B" w14:textId="77777777" w:rsidR="00F42C5F" w:rsidRPr="00375BA6" w:rsidRDefault="00F42C5F" w:rsidP="00D87F40">
            <w:pPr>
              <w:spacing w:after="0" w:line="240" w:lineRule="auto"/>
              <w:rPr>
                <w:rFonts w:ascii="Times New Roman" w:eastAsia="Times New Roman" w:hAnsi="Times New Roman" w:cs="Times New Roman"/>
                <w:color w:val="000000"/>
                <w:sz w:val="22"/>
                <w:szCs w:val="22"/>
              </w:rPr>
            </w:pPr>
            <w:r w:rsidRPr="00C51C72">
              <w:rPr>
                <w:rFonts w:ascii="Times New Roman" w:eastAsia="Times New Roman" w:hAnsi="Times New Roman" w:cs="Times New Roman"/>
                <w:color w:val="000000"/>
                <w:sz w:val="22"/>
                <w:szCs w:val="22"/>
              </w:rPr>
              <w:t>Uncovered</w:t>
            </w:r>
          </w:p>
        </w:tc>
        <w:tc>
          <w:tcPr>
            <w:tcW w:w="1270" w:type="dxa"/>
            <w:tcBorders>
              <w:top w:val="single" w:sz="4" w:space="0" w:color="auto"/>
              <w:left w:val="single" w:sz="4" w:space="0" w:color="auto"/>
              <w:bottom w:val="dashed" w:sz="4" w:space="0" w:color="auto"/>
              <w:right w:val="single" w:sz="4" w:space="0" w:color="auto"/>
            </w:tcBorders>
            <w:shd w:val="clear" w:color="auto" w:fill="auto"/>
            <w:noWrap/>
            <w:vAlign w:val="center"/>
            <w:hideMark/>
          </w:tcPr>
          <w:p w14:paraId="6C510C0A"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p>
        </w:tc>
        <w:tc>
          <w:tcPr>
            <w:tcW w:w="720" w:type="dxa"/>
            <w:tcBorders>
              <w:top w:val="single" w:sz="4" w:space="0" w:color="auto"/>
              <w:left w:val="single" w:sz="4" w:space="0" w:color="auto"/>
              <w:bottom w:val="dashed" w:sz="4" w:space="0" w:color="auto"/>
              <w:right w:val="single" w:sz="4" w:space="0" w:color="auto"/>
            </w:tcBorders>
            <w:shd w:val="clear" w:color="auto" w:fill="auto"/>
            <w:noWrap/>
            <w:vAlign w:val="center"/>
            <w:hideMark/>
          </w:tcPr>
          <w:p w14:paraId="7C47BA90"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p>
        </w:tc>
        <w:tc>
          <w:tcPr>
            <w:tcW w:w="1170" w:type="dxa"/>
            <w:tcBorders>
              <w:top w:val="single" w:sz="4" w:space="0" w:color="auto"/>
              <w:left w:val="single" w:sz="4" w:space="0" w:color="auto"/>
              <w:bottom w:val="dashed" w:sz="4" w:space="0" w:color="auto"/>
              <w:right w:val="single" w:sz="4" w:space="0" w:color="auto"/>
            </w:tcBorders>
            <w:shd w:val="clear" w:color="auto" w:fill="auto"/>
            <w:noWrap/>
            <w:vAlign w:val="center"/>
            <w:hideMark/>
          </w:tcPr>
          <w:p w14:paraId="66CD2BE8"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p>
        </w:tc>
        <w:tc>
          <w:tcPr>
            <w:tcW w:w="1170" w:type="dxa"/>
            <w:tcBorders>
              <w:top w:val="single" w:sz="4" w:space="0" w:color="auto"/>
              <w:left w:val="single" w:sz="4" w:space="0" w:color="auto"/>
              <w:bottom w:val="dashed" w:sz="4" w:space="0" w:color="auto"/>
              <w:right w:val="single" w:sz="4" w:space="0" w:color="auto"/>
            </w:tcBorders>
            <w:shd w:val="clear" w:color="auto" w:fill="auto"/>
            <w:noWrap/>
            <w:vAlign w:val="center"/>
            <w:hideMark/>
          </w:tcPr>
          <w:p w14:paraId="681A5E63"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p>
        </w:tc>
        <w:tc>
          <w:tcPr>
            <w:tcW w:w="1350" w:type="dxa"/>
            <w:tcBorders>
              <w:top w:val="single" w:sz="4" w:space="0" w:color="auto"/>
              <w:left w:val="single" w:sz="4" w:space="0" w:color="auto"/>
              <w:bottom w:val="dashed" w:sz="4" w:space="0" w:color="auto"/>
              <w:right w:val="single" w:sz="12" w:space="0" w:color="auto"/>
            </w:tcBorders>
            <w:shd w:val="clear" w:color="auto" w:fill="auto"/>
            <w:noWrap/>
            <w:vAlign w:val="center"/>
            <w:hideMark/>
          </w:tcPr>
          <w:p w14:paraId="56A3E683"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p>
        </w:tc>
        <w:tc>
          <w:tcPr>
            <w:tcW w:w="1170"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68CF14AA"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p>
        </w:tc>
        <w:tc>
          <w:tcPr>
            <w:tcW w:w="1260" w:type="dxa"/>
            <w:tcBorders>
              <w:top w:val="single" w:sz="4" w:space="0" w:color="auto"/>
              <w:left w:val="single" w:sz="4" w:space="0" w:color="auto"/>
              <w:bottom w:val="dashed" w:sz="4" w:space="0" w:color="auto"/>
              <w:right w:val="single" w:sz="12" w:space="0" w:color="auto"/>
            </w:tcBorders>
            <w:shd w:val="clear" w:color="auto" w:fill="auto"/>
            <w:noWrap/>
            <w:vAlign w:val="center"/>
            <w:hideMark/>
          </w:tcPr>
          <w:p w14:paraId="6B58BF3B"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hAnsi="Times New Roman" w:cs="Times New Roman"/>
                <w:sz w:val="22"/>
                <w:szCs w:val="22"/>
              </w:rPr>
              <w:t>25,418</w:t>
            </w:r>
          </w:p>
        </w:tc>
        <w:tc>
          <w:tcPr>
            <w:tcW w:w="1170"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46AD35D7"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p>
        </w:tc>
        <w:tc>
          <w:tcPr>
            <w:tcW w:w="1260" w:type="dxa"/>
            <w:tcBorders>
              <w:top w:val="single" w:sz="4" w:space="0" w:color="auto"/>
              <w:left w:val="single" w:sz="4" w:space="0" w:color="auto"/>
              <w:bottom w:val="dashed" w:sz="4" w:space="0" w:color="auto"/>
              <w:right w:val="single" w:sz="12" w:space="0" w:color="auto"/>
            </w:tcBorders>
            <w:shd w:val="clear" w:color="auto" w:fill="auto"/>
            <w:noWrap/>
            <w:vAlign w:val="center"/>
            <w:hideMark/>
          </w:tcPr>
          <w:p w14:paraId="7DF7593C"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hAnsi="Times New Roman" w:cs="Times New Roman"/>
                <w:sz w:val="22"/>
                <w:szCs w:val="22"/>
              </w:rPr>
              <w:t>27,209</w:t>
            </w:r>
          </w:p>
        </w:tc>
        <w:tc>
          <w:tcPr>
            <w:tcW w:w="1350"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152754BA"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p>
        </w:tc>
        <w:tc>
          <w:tcPr>
            <w:tcW w:w="1260" w:type="dxa"/>
            <w:tcBorders>
              <w:top w:val="single" w:sz="4" w:space="0" w:color="auto"/>
              <w:left w:val="single" w:sz="4" w:space="0" w:color="auto"/>
              <w:bottom w:val="dashed" w:sz="4" w:space="0" w:color="auto"/>
              <w:right w:val="double" w:sz="4" w:space="0" w:color="auto"/>
            </w:tcBorders>
            <w:shd w:val="clear" w:color="auto" w:fill="auto"/>
            <w:noWrap/>
            <w:vAlign w:val="center"/>
          </w:tcPr>
          <w:p w14:paraId="20EA15D9"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hAnsi="Times New Roman" w:cs="Times New Roman"/>
                <w:sz w:val="22"/>
                <w:szCs w:val="22"/>
              </w:rPr>
              <w:t>36,621</w:t>
            </w:r>
          </w:p>
        </w:tc>
      </w:tr>
      <w:tr w:rsidR="00F42C5F" w:rsidRPr="00375BA6" w14:paraId="4818974C" w14:textId="77777777" w:rsidTr="00D87F40">
        <w:trPr>
          <w:trHeight w:val="440"/>
        </w:trPr>
        <w:tc>
          <w:tcPr>
            <w:tcW w:w="276" w:type="dxa"/>
            <w:tcBorders>
              <w:top w:val="nil"/>
              <w:bottom w:val="single" w:sz="4" w:space="0" w:color="auto"/>
              <w:right w:val="double" w:sz="4" w:space="0" w:color="auto"/>
            </w:tcBorders>
            <w:shd w:val="clear" w:color="auto" w:fill="auto"/>
            <w:vAlign w:val="center"/>
            <w:hideMark/>
          </w:tcPr>
          <w:p w14:paraId="0A31E30C" w14:textId="77777777" w:rsidR="00F42C5F" w:rsidRPr="00375BA6" w:rsidRDefault="00F42C5F" w:rsidP="00D87F40">
            <w:pPr>
              <w:spacing w:after="0" w:line="240" w:lineRule="auto"/>
              <w:rPr>
                <w:rFonts w:ascii="Times New Roman" w:eastAsia="Times New Roman" w:hAnsi="Times New Roman" w:cs="Times New Roman"/>
                <w:color w:val="000000"/>
                <w:sz w:val="22"/>
                <w:szCs w:val="22"/>
              </w:rPr>
            </w:pPr>
            <w:r w:rsidRPr="00375BA6">
              <w:rPr>
                <w:rFonts w:ascii="Times New Roman" w:eastAsia="Times New Roman" w:hAnsi="Times New Roman" w:cs="Times New Roman"/>
                <w:color w:val="000000"/>
                <w:sz w:val="22"/>
                <w:szCs w:val="22"/>
              </w:rPr>
              <w:t> </w:t>
            </w:r>
          </w:p>
        </w:tc>
        <w:tc>
          <w:tcPr>
            <w:tcW w:w="1251" w:type="dxa"/>
            <w:tcBorders>
              <w:top w:val="nil"/>
              <w:left w:val="double" w:sz="4" w:space="0" w:color="auto"/>
              <w:bottom w:val="single" w:sz="4" w:space="0" w:color="auto"/>
              <w:right w:val="single" w:sz="4" w:space="0" w:color="auto"/>
            </w:tcBorders>
            <w:shd w:val="clear" w:color="auto" w:fill="auto"/>
            <w:noWrap/>
            <w:hideMark/>
          </w:tcPr>
          <w:p w14:paraId="36E00B97" w14:textId="77777777" w:rsidR="00F42C5F" w:rsidRPr="00375BA6" w:rsidRDefault="00F42C5F" w:rsidP="00D87F40">
            <w:pPr>
              <w:spacing w:after="0" w:line="240" w:lineRule="auto"/>
              <w:rPr>
                <w:rFonts w:ascii="Times New Roman" w:eastAsia="Times New Roman" w:hAnsi="Times New Roman" w:cs="Times New Roman"/>
                <w:color w:val="000000"/>
                <w:sz w:val="22"/>
                <w:szCs w:val="22"/>
              </w:rPr>
            </w:pPr>
          </w:p>
        </w:tc>
        <w:tc>
          <w:tcPr>
            <w:tcW w:w="1270"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14:paraId="4C297D97"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p>
        </w:tc>
        <w:tc>
          <w:tcPr>
            <w:tcW w:w="720"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14:paraId="6EC3EC9C"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p>
        </w:tc>
        <w:tc>
          <w:tcPr>
            <w:tcW w:w="1170"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14:paraId="6D5905F2"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p>
        </w:tc>
        <w:tc>
          <w:tcPr>
            <w:tcW w:w="1170"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14:paraId="0B45F6B3"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p>
        </w:tc>
        <w:tc>
          <w:tcPr>
            <w:tcW w:w="1350" w:type="dxa"/>
            <w:tcBorders>
              <w:top w:val="dashed" w:sz="4" w:space="0" w:color="auto"/>
              <w:left w:val="single" w:sz="4" w:space="0" w:color="auto"/>
              <w:bottom w:val="single" w:sz="4" w:space="0" w:color="auto"/>
              <w:right w:val="single" w:sz="12" w:space="0" w:color="auto"/>
            </w:tcBorders>
            <w:shd w:val="clear" w:color="auto" w:fill="auto"/>
            <w:noWrap/>
            <w:vAlign w:val="center"/>
            <w:hideMark/>
          </w:tcPr>
          <w:p w14:paraId="1615E628"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p>
        </w:tc>
        <w:tc>
          <w:tcPr>
            <w:tcW w:w="1170" w:type="dxa"/>
            <w:tcBorders>
              <w:top w:val="dashed" w:sz="4" w:space="0" w:color="auto"/>
              <w:left w:val="single" w:sz="12" w:space="0" w:color="auto"/>
              <w:bottom w:val="single" w:sz="4" w:space="0" w:color="auto"/>
              <w:right w:val="single" w:sz="4" w:space="0" w:color="auto"/>
            </w:tcBorders>
            <w:shd w:val="clear" w:color="auto" w:fill="auto"/>
            <w:noWrap/>
            <w:vAlign w:val="center"/>
          </w:tcPr>
          <w:p w14:paraId="612B37B0"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p>
        </w:tc>
        <w:tc>
          <w:tcPr>
            <w:tcW w:w="1260" w:type="dxa"/>
            <w:tcBorders>
              <w:top w:val="dashed" w:sz="4" w:space="0" w:color="auto"/>
              <w:left w:val="single" w:sz="4" w:space="0" w:color="auto"/>
              <w:bottom w:val="single" w:sz="4" w:space="0" w:color="auto"/>
              <w:right w:val="single" w:sz="12" w:space="0" w:color="auto"/>
            </w:tcBorders>
            <w:shd w:val="clear" w:color="auto" w:fill="auto"/>
            <w:noWrap/>
            <w:vAlign w:val="center"/>
            <w:hideMark/>
          </w:tcPr>
          <w:p w14:paraId="52044CC1"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hAnsi="Times New Roman" w:cs="Times New Roman"/>
                <w:sz w:val="22"/>
                <w:szCs w:val="22"/>
              </w:rPr>
              <w:t>70.43%</w:t>
            </w:r>
          </w:p>
        </w:tc>
        <w:tc>
          <w:tcPr>
            <w:tcW w:w="1170" w:type="dxa"/>
            <w:tcBorders>
              <w:top w:val="dashed" w:sz="4" w:space="0" w:color="auto"/>
              <w:left w:val="single" w:sz="12" w:space="0" w:color="auto"/>
              <w:bottom w:val="single" w:sz="4" w:space="0" w:color="auto"/>
              <w:right w:val="single" w:sz="4" w:space="0" w:color="auto"/>
            </w:tcBorders>
            <w:shd w:val="clear" w:color="auto" w:fill="auto"/>
            <w:noWrap/>
            <w:vAlign w:val="center"/>
          </w:tcPr>
          <w:p w14:paraId="0A015E96"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p>
        </w:tc>
        <w:tc>
          <w:tcPr>
            <w:tcW w:w="1260" w:type="dxa"/>
            <w:tcBorders>
              <w:top w:val="dashed" w:sz="4" w:space="0" w:color="auto"/>
              <w:left w:val="single" w:sz="4" w:space="0" w:color="auto"/>
              <w:bottom w:val="single" w:sz="4" w:space="0" w:color="auto"/>
              <w:right w:val="single" w:sz="12" w:space="0" w:color="auto"/>
            </w:tcBorders>
            <w:shd w:val="clear" w:color="auto" w:fill="auto"/>
            <w:noWrap/>
            <w:vAlign w:val="center"/>
            <w:hideMark/>
          </w:tcPr>
          <w:p w14:paraId="71964521"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hAnsi="Times New Roman" w:cs="Times New Roman"/>
                <w:sz w:val="22"/>
                <w:szCs w:val="22"/>
              </w:rPr>
              <w:t>52.83%</w:t>
            </w:r>
          </w:p>
        </w:tc>
        <w:tc>
          <w:tcPr>
            <w:tcW w:w="1350" w:type="dxa"/>
            <w:tcBorders>
              <w:top w:val="dashed" w:sz="4" w:space="0" w:color="auto"/>
              <w:left w:val="single" w:sz="12" w:space="0" w:color="auto"/>
              <w:bottom w:val="single" w:sz="4" w:space="0" w:color="auto"/>
              <w:right w:val="single" w:sz="4" w:space="0" w:color="auto"/>
            </w:tcBorders>
            <w:shd w:val="clear" w:color="auto" w:fill="auto"/>
            <w:noWrap/>
            <w:vAlign w:val="center"/>
          </w:tcPr>
          <w:p w14:paraId="2CE6FC60"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p>
        </w:tc>
        <w:tc>
          <w:tcPr>
            <w:tcW w:w="1260" w:type="dxa"/>
            <w:tcBorders>
              <w:top w:val="dashed" w:sz="4" w:space="0" w:color="auto"/>
              <w:left w:val="single" w:sz="4" w:space="0" w:color="auto"/>
              <w:bottom w:val="single" w:sz="4" w:space="0" w:color="auto"/>
              <w:right w:val="double" w:sz="4" w:space="0" w:color="auto"/>
            </w:tcBorders>
            <w:shd w:val="clear" w:color="auto" w:fill="auto"/>
            <w:noWrap/>
            <w:vAlign w:val="center"/>
          </w:tcPr>
          <w:p w14:paraId="346CAC3E"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hAnsi="Times New Roman" w:cs="Times New Roman"/>
                <w:sz w:val="22"/>
                <w:szCs w:val="22"/>
              </w:rPr>
              <w:t>30.04%</w:t>
            </w:r>
          </w:p>
        </w:tc>
      </w:tr>
      <w:tr w:rsidR="00F42C5F" w:rsidRPr="00375BA6" w14:paraId="71DD3064" w14:textId="77777777" w:rsidTr="00D87F40">
        <w:trPr>
          <w:trHeight w:val="638"/>
        </w:trPr>
        <w:tc>
          <w:tcPr>
            <w:tcW w:w="1527" w:type="dxa"/>
            <w:gridSpan w:val="2"/>
            <w:vMerge w:val="restart"/>
            <w:tcBorders>
              <w:top w:val="single" w:sz="4" w:space="0" w:color="auto"/>
              <w:left w:val="double" w:sz="4" w:space="0" w:color="auto"/>
              <w:right w:val="single" w:sz="4" w:space="0" w:color="auto"/>
            </w:tcBorders>
            <w:shd w:val="clear" w:color="000000" w:fill="C6E0B4"/>
            <w:vAlign w:val="center"/>
            <w:hideMark/>
          </w:tcPr>
          <w:p w14:paraId="7271111A" w14:textId="77777777" w:rsidR="00F42C5F" w:rsidRPr="00375BA6" w:rsidRDefault="00F42C5F" w:rsidP="00D87F40">
            <w:pPr>
              <w:spacing w:after="0" w:line="240" w:lineRule="auto"/>
              <w:rPr>
                <w:rFonts w:ascii="Times New Roman" w:eastAsia="Times New Roman" w:hAnsi="Times New Roman" w:cs="Times New Roman"/>
                <w:color w:val="000000"/>
                <w:sz w:val="22"/>
                <w:szCs w:val="22"/>
              </w:rPr>
            </w:pPr>
            <w:r w:rsidRPr="00375BA6">
              <w:rPr>
                <w:rFonts w:ascii="Times New Roman" w:eastAsia="Times New Roman" w:hAnsi="Times New Roman" w:cs="Times New Roman"/>
                <w:color w:val="000000"/>
                <w:sz w:val="22"/>
                <w:szCs w:val="22"/>
              </w:rPr>
              <w:t xml:space="preserve">Blocks With No LTE Coverage* </w:t>
            </w:r>
          </w:p>
        </w:tc>
        <w:tc>
          <w:tcPr>
            <w:tcW w:w="1270" w:type="dxa"/>
            <w:tcBorders>
              <w:top w:val="single" w:sz="4" w:space="0" w:color="auto"/>
              <w:left w:val="single" w:sz="4" w:space="0" w:color="auto"/>
              <w:bottom w:val="dashed" w:sz="4" w:space="0" w:color="auto"/>
              <w:right w:val="single" w:sz="4" w:space="0" w:color="auto"/>
            </w:tcBorders>
            <w:shd w:val="clear" w:color="auto" w:fill="auto"/>
            <w:noWrap/>
            <w:vAlign w:val="center"/>
            <w:hideMark/>
          </w:tcPr>
          <w:p w14:paraId="76AA121F"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hAnsi="Times New Roman" w:cs="Times New Roman"/>
                <w:sz w:val="22"/>
                <w:szCs w:val="22"/>
              </w:rPr>
              <w:t>33,712</w:t>
            </w:r>
          </w:p>
        </w:tc>
        <w:tc>
          <w:tcPr>
            <w:tcW w:w="720" w:type="dxa"/>
            <w:tcBorders>
              <w:top w:val="single" w:sz="4" w:space="0" w:color="auto"/>
              <w:left w:val="single" w:sz="4" w:space="0" w:color="auto"/>
              <w:bottom w:val="dashed" w:sz="4" w:space="0" w:color="auto"/>
              <w:right w:val="single" w:sz="4" w:space="0" w:color="auto"/>
            </w:tcBorders>
            <w:shd w:val="clear" w:color="auto" w:fill="auto"/>
            <w:noWrap/>
            <w:vAlign w:val="center"/>
            <w:hideMark/>
          </w:tcPr>
          <w:p w14:paraId="75861CE1"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hAnsi="Times New Roman" w:cs="Times New Roman"/>
                <w:sz w:val="22"/>
                <w:szCs w:val="22"/>
              </w:rPr>
              <w:t>8</w:t>
            </w:r>
          </w:p>
        </w:tc>
        <w:tc>
          <w:tcPr>
            <w:tcW w:w="1170" w:type="dxa"/>
            <w:tcBorders>
              <w:top w:val="single" w:sz="4" w:space="0" w:color="auto"/>
              <w:left w:val="single" w:sz="4" w:space="0" w:color="auto"/>
              <w:bottom w:val="dashed" w:sz="4" w:space="0" w:color="auto"/>
              <w:right w:val="single" w:sz="4" w:space="0" w:color="auto"/>
            </w:tcBorders>
            <w:shd w:val="clear" w:color="auto" w:fill="auto"/>
            <w:noWrap/>
            <w:vAlign w:val="center"/>
            <w:hideMark/>
          </w:tcPr>
          <w:p w14:paraId="350EDA0D"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hAnsi="Times New Roman" w:cs="Times New Roman"/>
                <w:sz w:val="22"/>
                <w:szCs w:val="22"/>
              </w:rPr>
              <w:t>10,670</w:t>
            </w:r>
          </w:p>
        </w:tc>
        <w:tc>
          <w:tcPr>
            <w:tcW w:w="1170" w:type="dxa"/>
            <w:tcBorders>
              <w:top w:val="single" w:sz="4" w:space="0" w:color="auto"/>
              <w:left w:val="single" w:sz="4" w:space="0" w:color="auto"/>
              <w:bottom w:val="dashed" w:sz="4" w:space="0" w:color="auto"/>
              <w:right w:val="single" w:sz="4" w:space="0" w:color="auto"/>
            </w:tcBorders>
            <w:shd w:val="clear" w:color="auto" w:fill="auto"/>
            <w:noWrap/>
            <w:vAlign w:val="center"/>
            <w:hideMark/>
          </w:tcPr>
          <w:p w14:paraId="15CFF75F"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hAnsi="Times New Roman" w:cs="Times New Roman"/>
                <w:sz w:val="22"/>
                <w:szCs w:val="22"/>
              </w:rPr>
              <w:t>24,292</w:t>
            </w:r>
          </w:p>
        </w:tc>
        <w:tc>
          <w:tcPr>
            <w:tcW w:w="1350" w:type="dxa"/>
            <w:tcBorders>
              <w:top w:val="single" w:sz="4" w:space="0" w:color="auto"/>
              <w:left w:val="single" w:sz="4" w:space="0" w:color="auto"/>
              <w:bottom w:val="dashed" w:sz="4" w:space="0" w:color="auto"/>
              <w:right w:val="single" w:sz="12" w:space="0" w:color="auto"/>
            </w:tcBorders>
            <w:shd w:val="clear" w:color="auto" w:fill="auto"/>
            <w:noWrap/>
            <w:vAlign w:val="center"/>
            <w:hideMark/>
          </w:tcPr>
          <w:p w14:paraId="6651B866"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hAnsi="Times New Roman" w:cs="Times New Roman"/>
                <w:sz w:val="22"/>
                <w:szCs w:val="22"/>
              </w:rPr>
              <w:t>85,304</w:t>
            </w:r>
          </w:p>
        </w:tc>
        <w:tc>
          <w:tcPr>
            <w:tcW w:w="1170" w:type="dxa"/>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681C066E"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p>
        </w:tc>
        <w:tc>
          <w:tcPr>
            <w:tcW w:w="1260" w:type="dxa"/>
            <w:tcBorders>
              <w:top w:val="single" w:sz="4" w:space="0" w:color="auto"/>
              <w:left w:val="single" w:sz="4" w:space="0" w:color="auto"/>
              <w:bottom w:val="dashed" w:sz="4" w:space="0" w:color="auto"/>
              <w:right w:val="single" w:sz="12" w:space="0" w:color="auto"/>
            </w:tcBorders>
            <w:shd w:val="clear" w:color="auto" w:fill="auto"/>
            <w:noWrap/>
            <w:vAlign w:val="center"/>
            <w:hideMark/>
          </w:tcPr>
          <w:p w14:paraId="162FA0F3"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hAnsi="Times New Roman" w:cs="Times New Roman"/>
                <w:sz w:val="22"/>
                <w:szCs w:val="22"/>
              </w:rPr>
              <w:t>10,669</w:t>
            </w:r>
          </w:p>
        </w:tc>
        <w:tc>
          <w:tcPr>
            <w:tcW w:w="1170" w:type="dxa"/>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3C3E4ED6"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p>
        </w:tc>
        <w:tc>
          <w:tcPr>
            <w:tcW w:w="1260" w:type="dxa"/>
            <w:tcBorders>
              <w:top w:val="single" w:sz="4" w:space="0" w:color="auto"/>
              <w:left w:val="single" w:sz="4" w:space="0" w:color="auto"/>
              <w:bottom w:val="dashed" w:sz="4" w:space="0" w:color="auto"/>
              <w:right w:val="single" w:sz="12" w:space="0" w:color="auto"/>
            </w:tcBorders>
            <w:shd w:val="clear" w:color="auto" w:fill="auto"/>
            <w:noWrap/>
            <w:vAlign w:val="center"/>
            <w:hideMark/>
          </w:tcPr>
          <w:p w14:paraId="3D63494D"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hAnsi="Times New Roman" w:cs="Times New Roman"/>
                <w:sz w:val="22"/>
                <w:szCs w:val="22"/>
              </w:rPr>
              <w:t>24,291</w:t>
            </w:r>
          </w:p>
        </w:tc>
        <w:tc>
          <w:tcPr>
            <w:tcW w:w="1350" w:type="dxa"/>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24FFD57B"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p>
        </w:tc>
        <w:tc>
          <w:tcPr>
            <w:tcW w:w="1260" w:type="dxa"/>
            <w:tcBorders>
              <w:top w:val="single" w:sz="4" w:space="0" w:color="auto"/>
              <w:left w:val="single" w:sz="4" w:space="0" w:color="auto"/>
              <w:bottom w:val="dashed" w:sz="4" w:space="0" w:color="auto"/>
              <w:right w:val="double" w:sz="4" w:space="0" w:color="auto"/>
            </w:tcBorders>
            <w:shd w:val="clear" w:color="auto" w:fill="auto"/>
            <w:noWrap/>
            <w:vAlign w:val="center"/>
            <w:hideMark/>
          </w:tcPr>
          <w:p w14:paraId="05ADA69B"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hAnsi="Times New Roman" w:cs="Times New Roman"/>
                <w:sz w:val="22"/>
                <w:szCs w:val="22"/>
              </w:rPr>
              <w:t>85,304</w:t>
            </w:r>
          </w:p>
        </w:tc>
      </w:tr>
      <w:tr w:rsidR="00F42C5F" w:rsidRPr="00375BA6" w14:paraId="72A0E8E5" w14:textId="77777777" w:rsidTr="00D87F40">
        <w:trPr>
          <w:trHeight w:val="431"/>
        </w:trPr>
        <w:tc>
          <w:tcPr>
            <w:tcW w:w="1527" w:type="dxa"/>
            <w:gridSpan w:val="2"/>
            <w:vMerge/>
            <w:tcBorders>
              <w:left w:val="double" w:sz="4" w:space="0" w:color="auto"/>
              <w:bottom w:val="double" w:sz="4" w:space="0" w:color="auto"/>
              <w:right w:val="single" w:sz="4" w:space="0" w:color="auto"/>
            </w:tcBorders>
            <w:vAlign w:val="center"/>
            <w:hideMark/>
          </w:tcPr>
          <w:p w14:paraId="4D967359" w14:textId="77777777" w:rsidR="00F42C5F" w:rsidRPr="00375BA6" w:rsidRDefault="00F42C5F" w:rsidP="00D87F40">
            <w:pPr>
              <w:spacing w:after="0" w:line="240" w:lineRule="auto"/>
              <w:rPr>
                <w:rFonts w:ascii="Times New Roman" w:eastAsia="Times New Roman" w:hAnsi="Times New Roman" w:cs="Times New Roman"/>
                <w:color w:val="000000"/>
                <w:sz w:val="22"/>
                <w:szCs w:val="22"/>
              </w:rPr>
            </w:pPr>
          </w:p>
        </w:tc>
        <w:tc>
          <w:tcPr>
            <w:tcW w:w="1270" w:type="dxa"/>
            <w:tcBorders>
              <w:top w:val="dashed" w:sz="4" w:space="0" w:color="auto"/>
              <w:left w:val="single" w:sz="4" w:space="0" w:color="auto"/>
              <w:bottom w:val="double" w:sz="4" w:space="0" w:color="auto"/>
              <w:right w:val="single" w:sz="4" w:space="0" w:color="auto"/>
            </w:tcBorders>
            <w:shd w:val="clear" w:color="auto" w:fill="auto"/>
            <w:noWrap/>
            <w:vAlign w:val="center"/>
            <w:hideMark/>
          </w:tcPr>
          <w:p w14:paraId="1FD40376"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hAnsi="Times New Roman" w:cs="Times New Roman"/>
                <w:sz w:val="22"/>
                <w:szCs w:val="22"/>
              </w:rPr>
              <w:t>9.37%</w:t>
            </w:r>
          </w:p>
        </w:tc>
        <w:tc>
          <w:tcPr>
            <w:tcW w:w="720" w:type="dxa"/>
            <w:tcBorders>
              <w:top w:val="dashed" w:sz="4" w:space="0" w:color="auto"/>
              <w:left w:val="single" w:sz="4" w:space="0" w:color="auto"/>
              <w:bottom w:val="double" w:sz="4" w:space="0" w:color="auto"/>
              <w:right w:val="single" w:sz="4" w:space="0" w:color="auto"/>
            </w:tcBorders>
            <w:shd w:val="clear" w:color="auto" w:fill="auto"/>
            <w:noWrap/>
            <w:vAlign w:val="center"/>
            <w:hideMark/>
          </w:tcPr>
          <w:p w14:paraId="23958F73"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p>
        </w:tc>
        <w:tc>
          <w:tcPr>
            <w:tcW w:w="1170" w:type="dxa"/>
            <w:tcBorders>
              <w:top w:val="dashed" w:sz="4" w:space="0" w:color="auto"/>
              <w:left w:val="single" w:sz="4" w:space="0" w:color="auto"/>
              <w:bottom w:val="double" w:sz="4" w:space="0" w:color="auto"/>
              <w:right w:val="single" w:sz="4" w:space="0" w:color="auto"/>
            </w:tcBorders>
            <w:shd w:val="clear" w:color="auto" w:fill="auto"/>
            <w:noWrap/>
            <w:vAlign w:val="center"/>
            <w:hideMark/>
          </w:tcPr>
          <w:p w14:paraId="3BACF07D"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hAnsi="Times New Roman" w:cs="Times New Roman"/>
                <w:sz w:val="22"/>
                <w:szCs w:val="22"/>
              </w:rPr>
              <w:t>6.51%</w:t>
            </w:r>
          </w:p>
        </w:tc>
        <w:tc>
          <w:tcPr>
            <w:tcW w:w="1170" w:type="dxa"/>
            <w:tcBorders>
              <w:top w:val="dashed" w:sz="4" w:space="0" w:color="auto"/>
              <w:left w:val="single" w:sz="4" w:space="0" w:color="auto"/>
              <w:bottom w:val="double" w:sz="4" w:space="0" w:color="auto"/>
              <w:right w:val="single" w:sz="4" w:space="0" w:color="auto"/>
            </w:tcBorders>
            <w:shd w:val="clear" w:color="auto" w:fill="auto"/>
            <w:noWrap/>
            <w:vAlign w:val="center"/>
            <w:hideMark/>
          </w:tcPr>
          <w:p w14:paraId="7492D0B6"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hAnsi="Times New Roman" w:cs="Times New Roman"/>
                <w:sz w:val="22"/>
                <w:szCs w:val="22"/>
              </w:rPr>
              <w:t>8.01%</w:t>
            </w:r>
          </w:p>
        </w:tc>
        <w:tc>
          <w:tcPr>
            <w:tcW w:w="1350" w:type="dxa"/>
            <w:tcBorders>
              <w:top w:val="dashed" w:sz="4" w:space="0" w:color="auto"/>
              <w:left w:val="single" w:sz="4" w:space="0" w:color="auto"/>
              <w:bottom w:val="double" w:sz="4" w:space="0" w:color="auto"/>
              <w:right w:val="single" w:sz="12" w:space="0" w:color="auto"/>
            </w:tcBorders>
            <w:shd w:val="clear" w:color="auto" w:fill="auto"/>
            <w:noWrap/>
            <w:vAlign w:val="center"/>
            <w:hideMark/>
          </w:tcPr>
          <w:p w14:paraId="3F5DC623"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hAnsi="Times New Roman" w:cs="Times New Roman"/>
                <w:sz w:val="22"/>
                <w:szCs w:val="22"/>
              </w:rPr>
              <w:t>2.38%</w:t>
            </w:r>
          </w:p>
        </w:tc>
        <w:tc>
          <w:tcPr>
            <w:tcW w:w="1170" w:type="dxa"/>
            <w:tcBorders>
              <w:top w:val="dashed" w:sz="4" w:space="0" w:color="auto"/>
              <w:left w:val="single" w:sz="12" w:space="0" w:color="auto"/>
              <w:bottom w:val="double" w:sz="4" w:space="0" w:color="auto"/>
              <w:right w:val="single" w:sz="4" w:space="0" w:color="auto"/>
            </w:tcBorders>
            <w:shd w:val="clear" w:color="auto" w:fill="auto"/>
            <w:noWrap/>
            <w:vAlign w:val="center"/>
            <w:hideMark/>
          </w:tcPr>
          <w:p w14:paraId="0B86F579"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p>
        </w:tc>
        <w:tc>
          <w:tcPr>
            <w:tcW w:w="1260" w:type="dxa"/>
            <w:tcBorders>
              <w:top w:val="dashed" w:sz="4" w:space="0" w:color="auto"/>
              <w:left w:val="single" w:sz="4" w:space="0" w:color="auto"/>
              <w:bottom w:val="double" w:sz="4" w:space="0" w:color="auto"/>
              <w:right w:val="single" w:sz="12" w:space="0" w:color="auto"/>
            </w:tcBorders>
            <w:shd w:val="clear" w:color="auto" w:fill="auto"/>
            <w:noWrap/>
            <w:vAlign w:val="center"/>
            <w:hideMark/>
          </w:tcPr>
          <w:p w14:paraId="5383E4BE"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hAnsi="Times New Roman" w:cs="Times New Roman"/>
                <w:sz w:val="22"/>
                <w:szCs w:val="22"/>
              </w:rPr>
              <w:t>29.57%</w:t>
            </w:r>
          </w:p>
        </w:tc>
        <w:tc>
          <w:tcPr>
            <w:tcW w:w="1170" w:type="dxa"/>
            <w:tcBorders>
              <w:top w:val="dashed" w:sz="4" w:space="0" w:color="auto"/>
              <w:left w:val="single" w:sz="12" w:space="0" w:color="auto"/>
              <w:bottom w:val="double" w:sz="4" w:space="0" w:color="auto"/>
              <w:right w:val="single" w:sz="4" w:space="0" w:color="auto"/>
            </w:tcBorders>
            <w:shd w:val="clear" w:color="auto" w:fill="auto"/>
            <w:noWrap/>
            <w:vAlign w:val="center"/>
            <w:hideMark/>
          </w:tcPr>
          <w:p w14:paraId="05EB394C"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p>
        </w:tc>
        <w:tc>
          <w:tcPr>
            <w:tcW w:w="1260" w:type="dxa"/>
            <w:tcBorders>
              <w:top w:val="dashed" w:sz="4" w:space="0" w:color="auto"/>
              <w:left w:val="single" w:sz="4" w:space="0" w:color="auto"/>
              <w:bottom w:val="double" w:sz="4" w:space="0" w:color="auto"/>
              <w:right w:val="single" w:sz="12" w:space="0" w:color="auto"/>
            </w:tcBorders>
            <w:shd w:val="clear" w:color="auto" w:fill="auto"/>
            <w:noWrap/>
            <w:vAlign w:val="center"/>
            <w:hideMark/>
          </w:tcPr>
          <w:p w14:paraId="2C01DE25"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hAnsi="Times New Roman" w:cs="Times New Roman"/>
                <w:sz w:val="22"/>
                <w:szCs w:val="22"/>
              </w:rPr>
              <w:t>47.17%</w:t>
            </w:r>
          </w:p>
        </w:tc>
        <w:tc>
          <w:tcPr>
            <w:tcW w:w="1350" w:type="dxa"/>
            <w:tcBorders>
              <w:top w:val="dashed" w:sz="4" w:space="0" w:color="auto"/>
              <w:left w:val="single" w:sz="12" w:space="0" w:color="auto"/>
              <w:bottom w:val="double" w:sz="4" w:space="0" w:color="auto"/>
              <w:right w:val="single" w:sz="4" w:space="0" w:color="auto"/>
            </w:tcBorders>
            <w:shd w:val="clear" w:color="auto" w:fill="auto"/>
            <w:noWrap/>
            <w:vAlign w:val="center"/>
            <w:hideMark/>
          </w:tcPr>
          <w:p w14:paraId="5EB3FA7F"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p>
        </w:tc>
        <w:tc>
          <w:tcPr>
            <w:tcW w:w="1260" w:type="dxa"/>
            <w:tcBorders>
              <w:top w:val="dashed" w:sz="4" w:space="0" w:color="auto"/>
              <w:left w:val="single" w:sz="4" w:space="0" w:color="auto"/>
              <w:bottom w:val="double" w:sz="4" w:space="0" w:color="auto"/>
              <w:right w:val="double" w:sz="4" w:space="0" w:color="auto"/>
            </w:tcBorders>
            <w:shd w:val="clear" w:color="auto" w:fill="auto"/>
            <w:noWrap/>
            <w:vAlign w:val="center"/>
            <w:hideMark/>
          </w:tcPr>
          <w:p w14:paraId="399DB7CC" w14:textId="77777777" w:rsidR="00F42C5F" w:rsidRPr="00375BA6" w:rsidRDefault="00F42C5F" w:rsidP="00D87F40">
            <w:pPr>
              <w:spacing w:after="0" w:line="240" w:lineRule="auto"/>
              <w:jc w:val="center"/>
              <w:rPr>
                <w:rFonts w:ascii="Times New Roman" w:eastAsia="Times New Roman" w:hAnsi="Times New Roman" w:cs="Times New Roman"/>
                <w:color w:val="000000"/>
                <w:sz w:val="22"/>
                <w:szCs w:val="22"/>
              </w:rPr>
            </w:pPr>
            <w:r w:rsidRPr="00375BA6">
              <w:rPr>
                <w:rFonts w:ascii="Times New Roman" w:hAnsi="Times New Roman" w:cs="Times New Roman"/>
                <w:sz w:val="22"/>
                <w:szCs w:val="22"/>
              </w:rPr>
              <w:t>69.96%</w:t>
            </w:r>
          </w:p>
        </w:tc>
      </w:tr>
    </w:tbl>
    <w:p w14:paraId="22138697" w14:textId="77777777" w:rsidR="00F42C5F" w:rsidRPr="00375BA6" w:rsidRDefault="00F42C5F" w:rsidP="00F42C5F">
      <w:pPr>
        <w:pStyle w:val="ListParagraph"/>
        <w:spacing w:after="0" w:line="240" w:lineRule="auto"/>
        <w:ind w:right="-86"/>
        <w:rPr>
          <w:rFonts w:ascii="Times New Roman" w:hAnsi="Times New Roman" w:cs="Times New Roman"/>
          <w:sz w:val="22"/>
          <w:szCs w:val="22"/>
        </w:rPr>
      </w:pPr>
    </w:p>
    <w:p w14:paraId="621F09D3" w14:textId="3DD12D97" w:rsidR="00F42C5F" w:rsidRPr="009A28C9" w:rsidRDefault="00F42C5F" w:rsidP="00F42C5F">
      <w:pPr>
        <w:pStyle w:val="ListParagraph"/>
        <w:spacing w:after="0" w:line="240" w:lineRule="auto"/>
        <w:ind w:right="-86"/>
        <w:rPr>
          <w:rFonts w:ascii="Times New Roman" w:hAnsi="Times New Roman" w:cs="Times New Roman"/>
          <w:sz w:val="22"/>
          <w:szCs w:val="22"/>
        </w:rPr>
      </w:pPr>
      <w:r w:rsidRPr="009A28C9">
        <w:rPr>
          <w:rFonts w:ascii="Times New Roman" w:hAnsi="Times New Roman" w:cs="Times New Roman"/>
          <w:sz w:val="22"/>
          <w:szCs w:val="22"/>
        </w:rPr>
        <w:t xml:space="preserve">Note: Based on Form 477 December 2015 coverage data. 2010 Census data on population and road miles. Tribal Blocks exclude Alaska and </w:t>
      </w:r>
      <w:r w:rsidR="00904BE8">
        <w:rPr>
          <w:rFonts w:ascii="Times New Roman" w:hAnsi="Times New Roman" w:cs="Times New Roman"/>
          <w:sz w:val="22"/>
          <w:szCs w:val="22"/>
        </w:rPr>
        <w:t>water-</w:t>
      </w:r>
      <w:r w:rsidR="00904BE8" w:rsidRPr="00E4790D">
        <w:rPr>
          <w:rFonts w:ascii="Times New Roman" w:hAnsi="Times New Roman" w:cs="Times New Roman"/>
          <w:sz w:val="22"/>
          <w:szCs w:val="22"/>
        </w:rPr>
        <w:t xml:space="preserve">only </w:t>
      </w:r>
      <w:r w:rsidRPr="009A28C9">
        <w:rPr>
          <w:rFonts w:ascii="Times New Roman" w:hAnsi="Times New Roman" w:cs="Times New Roman"/>
          <w:sz w:val="22"/>
          <w:szCs w:val="22"/>
        </w:rPr>
        <w:t xml:space="preserve">blocks. 100% service is actually calculated as 99.9% service to take coverage bleed into account. </w:t>
      </w:r>
    </w:p>
    <w:p w14:paraId="5BC8BB9E" w14:textId="77777777" w:rsidR="00F42C5F" w:rsidRPr="009A28C9" w:rsidRDefault="00F42C5F" w:rsidP="00F42C5F">
      <w:pPr>
        <w:pStyle w:val="ListParagraph"/>
        <w:spacing w:after="0" w:line="240" w:lineRule="auto"/>
        <w:ind w:right="-86"/>
        <w:rPr>
          <w:rFonts w:ascii="Times New Roman" w:hAnsi="Times New Roman" w:cs="Times New Roman"/>
          <w:sz w:val="22"/>
          <w:szCs w:val="22"/>
        </w:rPr>
      </w:pPr>
      <w:r w:rsidRPr="009A28C9">
        <w:rPr>
          <w:rFonts w:ascii="Times New Roman" w:hAnsi="Times New Roman" w:cs="Times New Roman"/>
          <w:sz w:val="22"/>
          <w:szCs w:val="22"/>
        </w:rPr>
        <w:t>*This includes blocks with no mobile service and blocks with less than LTE coverage.</w:t>
      </w:r>
    </w:p>
    <w:p w14:paraId="3ED27FAE" w14:textId="77777777" w:rsidR="00F42C5F" w:rsidRDefault="00F42C5F" w:rsidP="00F42C5F">
      <w:pPr>
        <w:spacing w:line="360" w:lineRule="auto"/>
        <w:rPr>
          <w:rFonts w:ascii="Times New Roman" w:hAnsi="Times New Roman" w:cs="Times New Roman"/>
          <w:sz w:val="24"/>
          <w:szCs w:val="24"/>
        </w:rPr>
        <w:sectPr w:rsidR="00F42C5F" w:rsidSect="006114DE">
          <w:type w:val="continuous"/>
          <w:pgSz w:w="15840" w:h="12240" w:orient="landscape"/>
          <w:pgMar w:top="1008" w:right="720" w:bottom="1008" w:left="720" w:header="720" w:footer="720" w:gutter="0"/>
          <w:cols w:space="720"/>
          <w:docGrid w:linePitch="360"/>
        </w:sectPr>
      </w:pPr>
    </w:p>
    <w:p w14:paraId="41F8F793" w14:textId="509D7506" w:rsidR="00EB1C1E" w:rsidRDefault="00E51D28" w:rsidP="007627A0">
      <w:pPr>
        <w:pStyle w:val="Subtitle"/>
        <w:keepNext/>
        <w:numPr>
          <w:ilvl w:val="1"/>
          <w:numId w:val="15"/>
        </w:numPr>
        <w:ind w:left="360"/>
        <w:rPr>
          <w:rFonts w:ascii="Times New Roman" w:hAnsi="Times New Roman" w:cs="Times New Roman"/>
        </w:rPr>
      </w:pPr>
      <w:r>
        <w:rPr>
          <w:rFonts w:ascii="Times New Roman" w:hAnsi="Times New Roman" w:cs="Times New Roman"/>
        </w:rPr>
        <w:t xml:space="preserve">Identifying Areas where LTE is Provided on an Unsubsidized Basis </w:t>
      </w:r>
    </w:p>
    <w:p w14:paraId="5E3F44D6" w14:textId="34E09DAA" w:rsidR="00AC5425" w:rsidRPr="00D42D11" w:rsidRDefault="00EB1C1E" w:rsidP="00702196">
      <w:pPr>
        <w:pStyle w:val="ListParagraph"/>
        <w:numPr>
          <w:ilvl w:val="0"/>
          <w:numId w:val="16"/>
        </w:numPr>
        <w:spacing w:line="360" w:lineRule="auto"/>
        <w:ind w:hanging="450"/>
        <w:contextualSpacing w:val="0"/>
        <w:rPr>
          <w:rFonts w:ascii="Times New Roman" w:hAnsi="Times New Roman" w:cs="Times New Roman"/>
          <w:sz w:val="24"/>
          <w:szCs w:val="24"/>
        </w:rPr>
      </w:pPr>
      <w:r>
        <w:rPr>
          <w:rFonts w:ascii="Times New Roman" w:hAnsi="Times New Roman" w:cs="Times New Roman"/>
          <w:sz w:val="24"/>
          <w:szCs w:val="24"/>
        </w:rPr>
        <w:t xml:space="preserve">This section discusses the methodology used to determine areas </w:t>
      </w:r>
      <w:r w:rsidR="00A9354D">
        <w:rPr>
          <w:rFonts w:ascii="Times New Roman" w:hAnsi="Times New Roman" w:cs="Times New Roman"/>
          <w:sz w:val="24"/>
          <w:szCs w:val="24"/>
        </w:rPr>
        <w:t xml:space="preserve">where </w:t>
      </w:r>
      <w:r>
        <w:rPr>
          <w:rFonts w:ascii="Times New Roman" w:hAnsi="Times New Roman" w:cs="Times New Roman"/>
          <w:sz w:val="24"/>
          <w:szCs w:val="24"/>
        </w:rPr>
        <w:t>4G</w:t>
      </w:r>
      <w:r w:rsidR="002A5408">
        <w:rPr>
          <w:rFonts w:ascii="Times New Roman" w:hAnsi="Times New Roman" w:cs="Times New Roman"/>
          <w:sz w:val="24"/>
          <w:szCs w:val="24"/>
        </w:rPr>
        <w:t xml:space="preserve"> </w:t>
      </w:r>
      <w:r>
        <w:rPr>
          <w:rFonts w:ascii="Times New Roman" w:hAnsi="Times New Roman" w:cs="Times New Roman"/>
          <w:sz w:val="24"/>
          <w:szCs w:val="24"/>
        </w:rPr>
        <w:t xml:space="preserve">LTE </w:t>
      </w:r>
      <w:r w:rsidR="006C3265">
        <w:rPr>
          <w:rFonts w:ascii="Times New Roman" w:hAnsi="Times New Roman" w:cs="Times New Roman"/>
          <w:sz w:val="24"/>
          <w:szCs w:val="24"/>
        </w:rPr>
        <w:t>coverage</w:t>
      </w:r>
      <w:r w:rsidR="00E51D28">
        <w:rPr>
          <w:rFonts w:ascii="Times New Roman" w:hAnsi="Times New Roman" w:cs="Times New Roman"/>
          <w:sz w:val="24"/>
          <w:szCs w:val="24"/>
        </w:rPr>
        <w:t xml:space="preserve"> </w:t>
      </w:r>
      <w:r>
        <w:rPr>
          <w:rFonts w:ascii="Times New Roman" w:hAnsi="Times New Roman" w:cs="Times New Roman"/>
          <w:sz w:val="24"/>
          <w:szCs w:val="24"/>
        </w:rPr>
        <w:t xml:space="preserve">is provided on an unsubsidized basis, based on existing distribution of universal service support.  </w:t>
      </w:r>
      <w:r w:rsidR="00FB53D5">
        <w:rPr>
          <w:rFonts w:ascii="Times New Roman" w:hAnsi="Times New Roman" w:cs="Times New Roman"/>
          <w:sz w:val="24"/>
          <w:szCs w:val="24"/>
        </w:rPr>
        <w:t xml:space="preserve">To </w:t>
      </w:r>
      <w:r w:rsidR="002A5408">
        <w:rPr>
          <w:rFonts w:ascii="Times New Roman" w:hAnsi="Times New Roman" w:cs="Times New Roman"/>
          <w:sz w:val="24"/>
          <w:szCs w:val="24"/>
        </w:rPr>
        <w:t>identify these areas, staff overla</w:t>
      </w:r>
      <w:r w:rsidR="00450735">
        <w:rPr>
          <w:rFonts w:ascii="Times New Roman" w:hAnsi="Times New Roman" w:cs="Times New Roman"/>
          <w:sz w:val="24"/>
          <w:szCs w:val="24"/>
        </w:rPr>
        <w:t>i</w:t>
      </w:r>
      <w:r w:rsidR="002A5408">
        <w:rPr>
          <w:rFonts w:ascii="Times New Roman" w:hAnsi="Times New Roman" w:cs="Times New Roman"/>
          <w:sz w:val="24"/>
          <w:szCs w:val="24"/>
        </w:rPr>
        <w:t>d</w:t>
      </w:r>
      <w:r w:rsidR="00450735">
        <w:rPr>
          <w:rFonts w:ascii="Times New Roman" w:hAnsi="Times New Roman" w:cs="Times New Roman"/>
          <w:sz w:val="24"/>
          <w:szCs w:val="24"/>
        </w:rPr>
        <w:t xml:space="preserve"> </w:t>
      </w:r>
      <w:r w:rsidR="00FB53D5">
        <w:rPr>
          <w:rFonts w:ascii="Times New Roman" w:hAnsi="Times New Roman" w:cs="Times New Roman"/>
          <w:sz w:val="24"/>
          <w:szCs w:val="24"/>
        </w:rPr>
        <w:t>4G</w:t>
      </w:r>
      <w:r w:rsidR="0091471A">
        <w:rPr>
          <w:rFonts w:ascii="Times New Roman" w:hAnsi="Times New Roman" w:cs="Times New Roman"/>
          <w:sz w:val="24"/>
          <w:szCs w:val="24"/>
        </w:rPr>
        <w:t xml:space="preserve"> </w:t>
      </w:r>
      <w:r w:rsidR="00FB53D5">
        <w:rPr>
          <w:rFonts w:ascii="Times New Roman" w:hAnsi="Times New Roman" w:cs="Times New Roman"/>
          <w:sz w:val="24"/>
          <w:szCs w:val="24"/>
        </w:rPr>
        <w:t xml:space="preserve">LTE coverage </w:t>
      </w:r>
      <w:r w:rsidR="0091471A">
        <w:rPr>
          <w:rFonts w:ascii="Times New Roman" w:hAnsi="Times New Roman" w:cs="Times New Roman"/>
          <w:sz w:val="24"/>
          <w:szCs w:val="24"/>
        </w:rPr>
        <w:t xml:space="preserve">data from the Form 477 with </w:t>
      </w:r>
      <w:r w:rsidR="00FB53D5">
        <w:rPr>
          <w:rFonts w:ascii="Times New Roman" w:hAnsi="Times New Roman" w:cs="Times New Roman"/>
          <w:sz w:val="24"/>
          <w:szCs w:val="24"/>
        </w:rPr>
        <w:t xml:space="preserve">high-cost </w:t>
      </w:r>
      <w:r w:rsidR="00F10C35">
        <w:rPr>
          <w:rFonts w:ascii="Times New Roman" w:hAnsi="Times New Roman" w:cs="Times New Roman"/>
          <w:sz w:val="24"/>
          <w:szCs w:val="24"/>
        </w:rPr>
        <w:t>support</w:t>
      </w:r>
      <w:r w:rsidR="00FB53D5">
        <w:rPr>
          <w:rFonts w:ascii="Times New Roman" w:hAnsi="Times New Roman" w:cs="Times New Roman"/>
          <w:sz w:val="24"/>
          <w:szCs w:val="24"/>
        </w:rPr>
        <w:t xml:space="preserve"> data from USAC, </w:t>
      </w:r>
      <w:r w:rsidR="0091471A">
        <w:rPr>
          <w:rFonts w:ascii="Times New Roman" w:hAnsi="Times New Roman" w:cs="Times New Roman"/>
          <w:sz w:val="24"/>
          <w:szCs w:val="24"/>
        </w:rPr>
        <w:t>along with</w:t>
      </w:r>
      <w:r w:rsidR="00FB53D5">
        <w:rPr>
          <w:rFonts w:ascii="Times New Roman" w:hAnsi="Times New Roman" w:cs="Times New Roman"/>
          <w:sz w:val="24"/>
          <w:szCs w:val="24"/>
        </w:rPr>
        <w:t xml:space="preserve"> the census blocks covered by </w:t>
      </w:r>
      <w:r w:rsidR="00B524E8">
        <w:rPr>
          <w:rFonts w:ascii="Times New Roman" w:hAnsi="Times New Roman" w:cs="Times New Roman"/>
          <w:sz w:val="24"/>
          <w:szCs w:val="24"/>
        </w:rPr>
        <w:t>MF-I</w:t>
      </w:r>
      <w:r w:rsidR="00FB53D5">
        <w:rPr>
          <w:rFonts w:ascii="Times New Roman" w:hAnsi="Times New Roman" w:cs="Times New Roman"/>
          <w:sz w:val="24"/>
          <w:szCs w:val="24"/>
        </w:rPr>
        <w:t xml:space="preserve"> winning bids.  </w:t>
      </w:r>
      <w:r w:rsidR="00F56E16">
        <w:rPr>
          <w:rFonts w:ascii="Times New Roman" w:hAnsi="Times New Roman" w:cs="Times New Roman"/>
          <w:sz w:val="24"/>
          <w:szCs w:val="24"/>
        </w:rPr>
        <w:t>S</w:t>
      </w:r>
      <w:r w:rsidR="0091471A">
        <w:rPr>
          <w:rFonts w:ascii="Times New Roman" w:hAnsi="Times New Roman" w:cs="Times New Roman"/>
          <w:sz w:val="24"/>
          <w:szCs w:val="24"/>
        </w:rPr>
        <w:t>taff</w:t>
      </w:r>
      <w:r w:rsidRPr="00F868F6">
        <w:rPr>
          <w:rFonts w:ascii="Times New Roman" w:hAnsi="Times New Roman" w:cs="Times New Roman"/>
          <w:sz w:val="24"/>
          <w:szCs w:val="24"/>
        </w:rPr>
        <w:t xml:space="preserve"> conducted two separate assignments </w:t>
      </w:r>
      <w:r w:rsidR="00130476">
        <w:rPr>
          <w:rFonts w:ascii="Times New Roman" w:hAnsi="Times New Roman" w:cs="Times New Roman"/>
          <w:sz w:val="24"/>
          <w:szCs w:val="24"/>
        </w:rPr>
        <w:t xml:space="preserve">of support </w:t>
      </w:r>
      <w:r w:rsidRPr="00F868F6">
        <w:rPr>
          <w:rFonts w:ascii="Times New Roman" w:hAnsi="Times New Roman" w:cs="Times New Roman"/>
          <w:sz w:val="24"/>
          <w:szCs w:val="24"/>
        </w:rPr>
        <w:t xml:space="preserve">based on </w:t>
      </w:r>
      <w:r>
        <w:rPr>
          <w:rFonts w:ascii="Times New Roman" w:hAnsi="Times New Roman" w:cs="Times New Roman"/>
          <w:sz w:val="24"/>
          <w:szCs w:val="24"/>
        </w:rPr>
        <w:t xml:space="preserve">how </w:t>
      </w:r>
      <w:r w:rsidR="000F19D2">
        <w:rPr>
          <w:rFonts w:ascii="Times New Roman" w:hAnsi="Times New Roman" w:cs="Times New Roman"/>
          <w:sz w:val="24"/>
          <w:szCs w:val="24"/>
        </w:rPr>
        <w:t xml:space="preserve">universal service </w:t>
      </w:r>
      <w:r>
        <w:rPr>
          <w:rFonts w:ascii="Times New Roman" w:hAnsi="Times New Roman" w:cs="Times New Roman"/>
          <w:sz w:val="24"/>
          <w:szCs w:val="24"/>
        </w:rPr>
        <w:t xml:space="preserve">support is </w:t>
      </w:r>
      <w:r w:rsidRPr="00D42D11">
        <w:rPr>
          <w:rFonts w:ascii="Times New Roman" w:hAnsi="Times New Roman" w:cs="Times New Roman"/>
          <w:sz w:val="24"/>
          <w:szCs w:val="24"/>
        </w:rPr>
        <w:t xml:space="preserve">currently </w:t>
      </w:r>
      <w:r w:rsidR="00323E8E" w:rsidRPr="00D42D11">
        <w:rPr>
          <w:rFonts w:ascii="Times New Roman" w:hAnsi="Times New Roman" w:cs="Times New Roman"/>
          <w:sz w:val="24"/>
          <w:szCs w:val="24"/>
        </w:rPr>
        <w:t>disbursed</w:t>
      </w:r>
      <w:r w:rsidR="0091471A" w:rsidRPr="00D42D11">
        <w:rPr>
          <w:rFonts w:ascii="Times New Roman" w:hAnsi="Times New Roman" w:cs="Times New Roman"/>
          <w:sz w:val="24"/>
          <w:szCs w:val="24"/>
        </w:rPr>
        <w:t xml:space="preserve"> and then aggregated the data</w:t>
      </w:r>
      <w:r w:rsidRPr="00D42D11">
        <w:rPr>
          <w:rFonts w:ascii="Times New Roman" w:hAnsi="Times New Roman" w:cs="Times New Roman"/>
          <w:sz w:val="24"/>
          <w:szCs w:val="24"/>
        </w:rPr>
        <w:t>.</w:t>
      </w:r>
      <w:r w:rsidR="002B7A73" w:rsidRPr="00D42D11">
        <w:rPr>
          <w:rStyle w:val="FootnoteReference"/>
          <w:rFonts w:cs="Times New Roman"/>
          <w:szCs w:val="24"/>
        </w:rPr>
        <w:footnoteReference w:id="36"/>
      </w:r>
      <w:r w:rsidR="00D42D11">
        <w:rPr>
          <w:rFonts w:ascii="Times New Roman" w:hAnsi="Times New Roman" w:cs="Times New Roman"/>
          <w:sz w:val="24"/>
          <w:szCs w:val="24"/>
        </w:rPr>
        <w:t xml:space="preserve">  </w:t>
      </w:r>
    </w:p>
    <w:p w14:paraId="27655BA1" w14:textId="79A18B83" w:rsidR="00EB1C1E" w:rsidRPr="00FB29B4" w:rsidRDefault="00BB7055" w:rsidP="00702196">
      <w:pPr>
        <w:pStyle w:val="ListParagraph"/>
        <w:numPr>
          <w:ilvl w:val="0"/>
          <w:numId w:val="16"/>
        </w:numPr>
        <w:spacing w:line="360" w:lineRule="auto"/>
        <w:ind w:hanging="450"/>
        <w:contextualSpacing w:val="0"/>
        <w:rPr>
          <w:rFonts w:ascii="Times New Roman" w:hAnsi="Times New Roman" w:cs="Times New Roman"/>
          <w:sz w:val="24"/>
          <w:szCs w:val="24"/>
        </w:rPr>
      </w:pPr>
      <w:r>
        <w:rPr>
          <w:rFonts w:ascii="Times New Roman" w:hAnsi="Times New Roman" w:cs="Times New Roman"/>
          <w:sz w:val="24"/>
          <w:szCs w:val="24"/>
        </w:rPr>
        <w:t xml:space="preserve">To assign </w:t>
      </w:r>
      <w:r w:rsidR="006C3265">
        <w:rPr>
          <w:rFonts w:ascii="Times New Roman" w:hAnsi="Times New Roman" w:cs="Times New Roman"/>
          <w:sz w:val="24"/>
          <w:szCs w:val="24"/>
        </w:rPr>
        <w:t xml:space="preserve">ongoing </w:t>
      </w:r>
      <w:r>
        <w:rPr>
          <w:rFonts w:ascii="Times New Roman" w:hAnsi="Times New Roman" w:cs="Times New Roman"/>
          <w:sz w:val="24"/>
          <w:szCs w:val="24"/>
        </w:rPr>
        <w:t xml:space="preserve">legacy </w:t>
      </w:r>
      <w:r w:rsidR="006C3265">
        <w:rPr>
          <w:rFonts w:ascii="Times New Roman" w:hAnsi="Times New Roman" w:cs="Times New Roman"/>
          <w:sz w:val="24"/>
          <w:szCs w:val="24"/>
        </w:rPr>
        <w:t xml:space="preserve">CETC support, </w:t>
      </w:r>
      <w:r w:rsidR="0091471A">
        <w:rPr>
          <w:rFonts w:ascii="Times New Roman" w:hAnsi="Times New Roman" w:cs="Times New Roman"/>
          <w:sz w:val="24"/>
          <w:szCs w:val="24"/>
        </w:rPr>
        <w:t>staff</w:t>
      </w:r>
      <w:r w:rsidR="006C3265">
        <w:rPr>
          <w:rFonts w:ascii="Times New Roman" w:hAnsi="Times New Roman" w:cs="Times New Roman"/>
          <w:sz w:val="24"/>
          <w:szCs w:val="24"/>
        </w:rPr>
        <w:t xml:space="preserve"> </w:t>
      </w:r>
      <w:r w:rsidR="00BB17F0">
        <w:rPr>
          <w:rFonts w:ascii="Times New Roman" w:hAnsi="Times New Roman" w:cs="Times New Roman"/>
          <w:sz w:val="24"/>
          <w:szCs w:val="24"/>
        </w:rPr>
        <w:t xml:space="preserve">overlaid each provider’s </w:t>
      </w:r>
      <w:r w:rsidR="006C3265">
        <w:rPr>
          <w:rFonts w:ascii="Times New Roman" w:hAnsi="Times New Roman" w:cs="Times New Roman"/>
          <w:sz w:val="24"/>
          <w:szCs w:val="24"/>
        </w:rPr>
        <w:t xml:space="preserve">LTE coverage areas </w:t>
      </w:r>
      <w:r w:rsidR="00BB17F0">
        <w:rPr>
          <w:rFonts w:ascii="Times New Roman" w:hAnsi="Times New Roman" w:cs="Times New Roman"/>
          <w:sz w:val="24"/>
          <w:szCs w:val="24"/>
        </w:rPr>
        <w:t xml:space="preserve">with the geographies of the </w:t>
      </w:r>
      <w:r w:rsidR="006C3265">
        <w:rPr>
          <w:rFonts w:ascii="Times New Roman" w:hAnsi="Times New Roman" w:cs="Times New Roman"/>
          <w:sz w:val="24"/>
          <w:szCs w:val="24"/>
        </w:rPr>
        <w:t>study area</w:t>
      </w:r>
      <w:r w:rsidR="00BB17F0">
        <w:rPr>
          <w:rFonts w:ascii="Times New Roman" w:hAnsi="Times New Roman" w:cs="Times New Roman"/>
          <w:sz w:val="24"/>
          <w:szCs w:val="24"/>
        </w:rPr>
        <w:t>s</w:t>
      </w:r>
      <w:r w:rsidR="006C3265">
        <w:rPr>
          <w:rFonts w:ascii="Times New Roman" w:hAnsi="Times New Roman" w:cs="Times New Roman"/>
          <w:sz w:val="24"/>
          <w:szCs w:val="24"/>
        </w:rPr>
        <w:t xml:space="preserve"> in which </w:t>
      </w:r>
      <w:r w:rsidR="00BB17F0">
        <w:rPr>
          <w:rFonts w:ascii="Times New Roman" w:hAnsi="Times New Roman" w:cs="Times New Roman"/>
          <w:sz w:val="24"/>
          <w:szCs w:val="24"/>
        </w:rPr>
        <w:t xml:space="preserve">the </w:t>
      </w:r>
      <w:r w:rsidR="006C3265">
        <w:rPr>
          <w:rFonts w:ascii="Times New Roman" w:hAnsi="Times New Roman" w:cs="Times New Roman"/>
          <w:sz w:val="24"/>
          <w:szCs w:val="24"/>
        </w:rPr>
        <w:t xml:space="preserve">provider is receiving support </w:t>
      </w:r>
      <w:r w:rsidR="00BB17F0">
        <w:rPr>
          <w:rFonts w:ascii="Times New Roman" w:hAnsi="Times New Roman" w:cs="Times New Roman"/>
          <w:sz w:val="24"/>
          <w:szCs w:val="24"/>
        </w:rPr>
        <w:t xml:space="preserve">and treated the area of overlap </w:t>
      </w:r>
      <w:r w:rsidR="006C3265">
        <w:rPr>
          <w:rFonts w:ascii="Times New Roman" w:hAnsi="Times New Roman" w:cs="Times New Roman"/>
          <w:sz w:val="24"/>
          <w:szCs w:val="24"/>
        </w:rPr>
        <w:t xml:space="preserve">as </w:t>
      </w:r>
      <w:r w:rsidR="00BB17F0">
        <w:rPr>
          <w:rFonts w:ascii="Times New Roman" w:hAnsi="Times New Roman" w:cs="Times New Roman"/>
          <w:sz w:val="24"/>
          <w:szCs w:val="24"/>
        </w:rPr>
        <w:t xml:space="preserve">subsidized </w:t>
      </w:r>
      <w:r w:rsidR="006C3265">
        <w:rPr>
          <w:rFonts w:ascii="Times New Roman" w:hAnsi="Times New Roman" w:cs="Times New Roman"/>
          <w:sz w:val="24"/>
          <w:szCs w:val="24"/>
        </w:rPr>
        <w:t xml:space="preserve">LTE coverage.  </w:t>
      </w:r>
      <w:r w:rsidR="00597419">
        <w:rPr>
          <w:rFonts w:ascii="Times New Roman" w:hAnsi="Times New Roman" w:cs="Times New Roman"/>
          <w:sz w:val="24"/>
          <w:szCs w:val="24"/>
        </w:rPr>
        <w:t>F</w:t>
      </w:r>
      <w:r w:rsidR="00EB1C1E">
        <w:rPr>
          <w:rFonts w:ascii="Times New Roman" w:hAnsi="Times New Roman" w:cs="Times New Roman"/>
          <w:sz w:val="24"/>
          <w:szCs w:val="24"/>
        </w:rPr>
        <w:t xml:space="preserve">or example, </w:t>
      </w:r>
      <w:r w:rsidR="00597419">
        <w:rPr>
          <w:rFonts w:ascii="Times New Roman" w:hAnsi="Times New Roman" w:cs="Times New Roman"/>
          <w:sz w:val="24"/>
          <w:szCs w:val="24"/>
        </w:rPr>
        <w:t>if the study area</w:t>
      </w:r>
      <w:r w:rsidR="00F56E16">
        <w:rPr>
          <w:rFonts w:ascii="Times New Roman" w:hAnsi="Times New Roman" w:cs="Times New Roman"/>
          <w:sz w:val="24"/>
          <w:szCs w:val="24"/>
        </w:rPr>
        <w:t xml:space="preserve"> </w:t>
      </w:r>
      <w:r w:rsidR="00597419">
        <w:rPr>
          <w:rFonts w:ascii="Times New Roman" w:hAnsi="Times New Roman" w:cs="Times New Roman"/>
          <w:sz w:val="24"/>
          <w:szCs w:val="24"/>
        </w:rPr>
        <w:t xml:space="preserve">for which a wireless provider is receiving ongoing </w:t>
      </w:r>
      <w:r w:rsidR="00BB17F0">
        <w:rPr>
          <w:rFonts w:ascii="Times New Roman" w:hAnsi="Times New Roman" w:cs="Times New Roman"/>
          <w:sz w:val="24"/>
          <w:szCs w:val="24"/>
        </w:rPr>
        <w:t xml:space="preserve">legacy </w:t>
      </w:r>
      <w:r w:rsidR="00597419">
        <w:rPr>
          <w:rFonts w:ascii="Times New Roman" w:hAnsi="Times New Roman" w:cs="Times New Roman"/>
          <w:sz w:val="24"/>
          <w:szCs w:val="24"/>
        </w:rPr>
        <w:t>support</w:t>
      </w:r>
      <w:r w:rsidR="00F56E16">
        <w:rPr>
          <w:rStyle w:val="FootnoteReference"/>
          <w:rFonts w:cs="Times New Roman"/>
          <w:szCs w:val="24"/>
        </w:rPr>
        <w:footnoteReference w:id="37"/>
      </w:r>
      <w:r w:rsidR="00F56E16">
        <w:rPr>
          <w:rFonts w:ascii="Times New Roman" w:hAnsi="Times New Roman" w:cs="Times New Roman"/>
          <w:sz w:val="24"/>
          <w:szCs w:val="24"/>
        </w:rPr>
        <w:t xml:space="preserve"> </w:t>
      </w:r>
      <w:r w:rsidR="00597419">
        <w:rPr>
          <w:rFonts w:ascii="Times New Roman" w:hAnsi="Times New Roman" w:cs="Times New Roman"/>
          <w:sz w:val="24"/>
          <w:szCs w:val="24"/>
        </w:rPr>
        <w:t xml:space="preserve"> </w:t>
      </w:r>
      <w:r w:rsidR="00EB1C1E">
        <w:rPr>
          <w:rFonts w:ascii="Times New Roman" w:hAnsi="Times New Roman" w:cs="Times New Roman"/>
          <w:sz w:val="24"/>
          <w:szCs w:val="24"/>
        </w:rPr>
        <w:t>comprises 100 census blocks</w:t>
      </w:r>
      <w:r w:rsidR="00597419">
        <w:rPr>
          <w:rFonts w:ascii="Times New Roman" w:hAnsi="Times New Roman" w:cs="Times New Roman"/>
          <w:sz w:val="24"/>
          <w:szCs w:val="24"/>
        </w:rPr>
        <w:t xml:space="preserve">, but its LTE coverage includes parts or all of only </w:t>
      </w:r>
      <w:r w:rsidR="00EB1C1E">
        <w:rPr>
          <w:rFonts w:ascii="Times New Roman" w:hAnsi="Times New Roman" w:cs="Times New Roman"/>
          <w:sz w:val="24"/>
          <w:szCs w:val="24"/>
        </w:rPr>
        <w:t xml:space="preserve">80 blocks, then </w:t>
      </w:r>
      <w:r w:rsidR="003565BC">
        <w:rPr>
          <w:rFonts w:ascii="Times New Roman" w:hAnsi="Times New Roman" w:cs="Times New Roman"/>
          <w:sz w:val="24"/>
          <w:szCs w:val="24"/>
        </w:rPr>
        <w:t>its actual LTE coverage areas with</w:t>
      </w:r>
      <w:r w:rsidR="00BB17F0">
        <w:rPr>
          <w:rFonts w:ascii="Times New Roman" w:hAnsi="Times New Roman" w:cs="Times New Roman"/>
          <w:sz w:val="24"/>
          <w:szCs w:val="24"/>
        </w:rPr>
        <w:t>in</w:t>
      </w:r>
      <w:r w:rsidR="003565BC">
        <w:rPr>
          <w:rFonts w:ascii="Times New Roman" w:hAnsi="Times New Roman" w:cs="Times New Roman"/>
          <w:sz w:val="24"/>
          <w:szCs w:val="24"/>
        </w:rPr>
        <w:t xml:space="preserve"> those </w:t>
      </w:r>
      <w:r w:rsidR="00EB1C1E">
        <w:rPr>
          <w:rFonts w:ascii="Times New Roman" w:hAnsi="Times New Roman" w:cs="Times New Roman"/>
          <w:sz w:val="24"/>
          <w:szCs w:val="24"/>
        </w:rPr>
        <w:t>80 blocks would be considered subsidized</w:t>
      </w:r>
      <w:r w:rsidR="003565BC">
        <w:rPr>
          <w:rFonts w:ascii="Times New Roman" w:hAnsi="Times New Roman" w:cs="Times New Roman"/>
          <w:sz w:val="24"/>
          <w:szCs w:val="24"/>
        </w:rPr>
        <w:t>.</w:t>
      </w:r>
      <w:r w:rsidR="00EB1C1E">
        <w:rPr>
          <w:rFonts w:ascii="Times New Roman" w:hAnsi="Times New Roman" w:cs="Times New Roman"/>
          <w:sz w:val="24"/>
          <w:szCs w:val="24"/>
        </w:rPr>
        <w:t xml:space="preserve"> </w:t>
      </w:r>
    </w:p>
    <w:p w14:paraId="24C2196B" w14:textId="3FCC9EFC" w:rsidR="00AC5425" w:rsidRDefault="003775F0" w:rsidP="00702196">
      <w:pPr>
        <w:pStyle w:val="ListParagraph"/>
        <w:numPr>
          <w:ilvl w:val="0"/>
          <w:numId w:val="16"/>
        </w:numPr>
        <w:spacing w:line="360" w:lineRule="auto"/>
        <w:ind w:hanging="450"/>
        <w:contextualSpacing w:val="0"/>
        <w:rPr>
          <w:rFonts w:ascii="Times New Roman" w:hAnsi="Times New Roman" w:cs="Times New Roman"/>
          <w:sz w:val="24"/>
          <w:szCs w:val="24"/>
        </w:rPr>
      </w:pPr>
      <w:r>
        <w:rPr>
          <w:rFonts w:ascii="Times New Roman" w:hAnsi="Times New Roman" w:cs="Times New Roman"/>
          <w:sz w:val="24"/>
          <w:szCs w:val="24"/>
        </w:rPr>
        <w:t>In considering</w:t>
      </w:r>
      <w:r w:rsidR="00597419">
        <w:rPr>
          <w:rFonts w:ascii="Times New Roman" w:hAnsi="Times New Roman" w:cs="Times New Roman"/>
          <w:sz w:val="24"/>
          <w:szCs w:val="24"/>
        </w:rPr>
        <w:t xml:space="preserve"> </w:t>
      </w:r>
      <w:r w:rsidR="00B524E8">
        <w:rPr>
          <w:rFonts w:ascii="Times New Roman" w:hAnsi="Times New Roman" w:cs="Times New Roman"/>
          <w:sz w:val="24"/>
          <w:szCs w:val="24"/>
        </w:rPr>
        <w:t>MF-I</w:t>
      </w:r>
      <w:r w:rsidR="00597419">
        <w:rPr>
          <w:rFonts w:ascii="Times New Roman" w:hAnsi="Times New Roman" w:cs="Times New Roman"/>
          <w:sz w:val="24"/>
          <w:szCs w:val="24"/>
        </w:rPr>
        <w:t xml:space="preserve"> support, </w:t>
      </w:r>
      <w:r w:rsidR="005C157F">
        <w:rPr>
          <w:rFonts w:ascii="Times New Roman" w:hAnsi="Times New Roman" w:cs="Times New Roman"/>
          <w:sz w:val="24"/>
          <w:szCs w:val="24"/>
        </w:rPr>
        <w:t>staff</w:t>
      </w:r>
      <w:r w:rsidR="00597419">
        <w:rPr>
          <w:rFonts w:ascii="Times New Roman" w:hAnsi="Times New Roman" w:cs="Times New Roman"/>
          <w:sz w:val="24"/>
          <w:szCs w:val="24"/>
        </w:rPr>
        <w:t xml:space="preserve"> treated </w:t>
      </w:r>
      <w:r w:rsidR="00F56E16">
        <w:rPr>
          <w:rFonts w:ascii="Times New Roman" w:hAnsi="Times New Roman" w:cs="Times New Roman"/>
          <w:sz w:val="24"/>
          <w:szCs w:val="24"/>
        </w:rPr>
        <w:t>service</w:t>
      </w:r>
      <w:r w:rsidR="00F42C5F">
        <w:rPr>
          <w:rFonts w:ascii="Times New Roman" w:hAnsi="Times New Roman" w:cs="Times New Roman"/>
          <w:sz w:val="24"/>
          <w:szCs w:val="24"/>
        </w:rPr>
        <w:t xml:space="preserve"> as</w:t>
      </w:r>
      <w:r w:rsidR="00F56E16">
        <w:rPr>
          <w:rFonts w:ascii="Times New Roman" w:hAnsi="Times New Roman" w:cs="Times New Roman"/>
          <w:sz w:val="24"/>
          <w:szCs w:val="24"/>
        </w:rPr>
        <w:t xml:space="preserve"> </w:t>
      </w:r>
      <w:r w:rsidR="00597419">
        <w:rPr>
          <w:rFonts w:ascii="Times New Roman" w:hAnsi="Times New Roman" w:cs="Times New Roman"/>
          <w:sz w:val="24"/>
          <w:szCs w:val="24"/>
        </w:rPr>
        <w:t>subsidized</w:t>
      </w:r>
      <w:r w:rsidR="003565BC">
        <w:rPr>
          <w:rFonts w:ascii="Times New Roman" w:hAnsi="Times New Roman" w:cs="Times New Roman"/>
          <w:sz w:val="24"/>
          <w:szCs w:val="24"/>
        </w:rPr>
        <w:t xml:space="preserve"> </w:t>
      </w:r>
      <w:r w:rsidR="00633409">
        <w:rPr>
          <w:rFonts w:ascii="Times New Roman" w:hAnsi="Times New Roman" w:cs="Times New Roman"/>
          <w:sz w:val="24"/>
          <w:szCs w:val="24"/>
        </w:rPr>
        <w:t xml:space="preserve">in </w:t>
      </w:r>
      <w:r w:rsidR="00597419">
        <w:rPr>
          <w:rFonts w:ascii="Times New Roman" w:hAnsi="Times New Roman" w:cs="Times New Roman"/>
          <w:sz w:val="24"/>
          <w:szCs w:val="24"/>
        </w:rPr>
        <w:t xml:space="preserve">any </w:t>
      </w:r>
      <w:r w:rsidR="003565BC">
        <w:rPr>
          <w:rFonts w:ascii="Times New Roman" w:hAnsi="Times New Roman" w:cs="Times New Roman"/>
          <w:sz w:val="24"/>
          <w:szCs w:val="24"/>
        </w:rPr>
        <w:t>eligible</w:t>
      </w:r>
      <w:r w:rsidR="00597419">
        <w:rPr>
          <w:rFonts w:ascii="Times New Roman" w:hAnsi="Times New Roman" w:cs="Times New Roman"/>
          <w:sz w:val="24"/>
          <w:szCs w:val="24"/>
        </w:rPr>
        <w:t xml:space="preserve"> census blocks</w:t>
      </w:r>
      <w:r w:rsidR="003565BC">
        <w:rPr>
          <w:rFonts w:ascii="Times New Roman" w:hAnsi="Times New Roman" w:cs="Times New Roman"/>
          <w:sz w:val="24"/>
          <w:szCs w:val="24"/>
        </w:rPr>
        <w:t xml:space="preserve"> in the census tracts</w:t>
      </w:r>
      <w:r w:rsidR="00597419">
        <w:rPr>
          <w:rFonts w:ascii="Times New Roman" w:hAnsi="Times New Roman" w:cs="Times New Roman"/>
          <w:sz w:val="24"/>
          <w:szCs w:val="24"/>
        </w:rPr>
        <w:t xml:space="preserve"> for which </w:t>
      </w:r>
      <w:r w:rsidR="00633409">
        <w:rPr>
          <w:rFonts w:ascii="Times New Roman" w:hAnsi="Times New Roman" w:cs="Times New Roman"/>
          <w:sz w:val="24"/>
          <w:szCs w:val="24"/>
        </w:rPr>
        <w:t xml:space="preserve">the </w:t>
      </w:r>
      <w:r w:rsidR="00597419">
        <w:rPr>
          <w:rFonts w:ascii="Times New Roman" w:hAnsi="Times New Roman" w:cs="Times New Roman"/>
          <w:sz w:val="24"/>
          <w:szCs w:val="24"/>
        </w:rPr>
        <w:t xml:space="preserve">provider was awarded support through the </w:t>
      </w:r>
      <w:r w:rsidR="00B524E8">
        <w:rPr>
          <w:rFonts w:ascii="Times New Roman" w:hAnsi="Times New Roman" w:cs="Times New Roman"/>
          <w:sz w:val="24"/>
          <w:szCs w:val="24"/>
        </w:rPr>
        <w:t>MF-I</w:t>
      </w:r>
      <w:r w:rsidR="00597419">
        <w:rPr>
          <w:rFonts w:ascii="Times New Roman" w:hAnsi="Times New Roman" w:cs="Times New Roman"/>
          <w:sz w:val="24"/>
          <w:szCs w:val="24"/>
        </w:rPr>
        <w:t xml:space="preserve"> auction</w:t>
      </w:r>
      <w:r w:rsidR="00FB12EE">
        <w:rPr>
          <w:rFonts w:ascii="Times New Roman" w:hAnsi="Times New Roman" w:cs="Times New Roman"/>
          <w:sz w:val="24"/>
          <w:szCs w:val="24"/>
        </w:rPr>
        <w:t>s</w:t>
      </w:r>
      <w:r w:rsidR="003565BC">
        <w:rPr>
          <w:rFonts w:ascii="Times New Roman" w:hAnsi="Times New Roman" w:cs="Times New Roman"/>
          <w:sz w:val="24"/>
          <w:szCs w:val="24"/>
        </w:rPr>
        <w:t xml:space="preserve"> to provide either 3G or 4G service</w:t>
      </w:r>
      <w:r w:rsidR="00597419">
        <w:rPr>
          <w:rFonts w:ascii="Times New Roman" w:hAnsi="Times New Roman" w:cs="Times New Roman"/>
          <w:sz w:val="24"/>
          <w:szCs w:val="24"/>
        </w:rPr>
        <w:t>.</w:t>
      </w:r>
      <w:r w:rsidR="003565BC">
        <w:rPr>
          <w:rStyle w:val="FootnoteReference"/>
          <w:rFonts w:cs="Times New Roman"/>
          <w:szCs w:val="24"/>
        </w:rPr>
        <w:footnoteReference w:id="38"/>
      </w:r>
      <w:r w:rsidR="003565BC">
        <w:rPr>
          <w:rFonts w:ascii="Times New Roman" w:hAnsi="Times New Roman" w:cs="Times New Roman"/>
          <w:sz w:val="24"/>
          <w:szCs w:val="24"/>
        </w:rPr>
        <w:t xml:space="preserve">  </w:t>
      </w:r>
    </w:p>
    <w:p w14:paraId="7678F4CB" w14:textId="0655FF79" w:rsidR="00EB1C1E" w:rsidRDefault="00AC5425" w:rsidP="00702196">
      <w:pPr>
        <w:pStyle w:val="ListParagraph"/>
        <w:numPr>
          <w:ilvl w:val="0"/>
          <w:numId w:val="16"/>
        </w:numPr>
        <w:spacing w:line="360" w:lineRule="auto"/>
        <w:ind w:hanging="450"/>
        <w:contextualSpacing w:val="0"/>
        <w:rPr>
          <w:rFonts w:ascii="Times New Roman" w:hAnsi="Times New Roman" w:cs="Times New Roman"/>
          <w:sz w:val="24"/>
          <w:szCs w:val="24"/>
        </w:rPr>
      </w:pPr>
      <w:r>
        <w:rPr>
          <w:rFonts w:ascii="Times New Roman" w:hAnsi="Times New Roman" w:cs="Times New Roman"/>
          <w:sz w:val="24"/>
          <w:szCs w:val="24"/>
        </w:rPr>
        <w:t xml:space="preserve">A </w:t>
      </w:r>
      <w:r w:rsidRPr="00AC5425">
        <w:rPr>
          <w:rFonts w:ascii="Times New Roman" w:hAnsi="Times New Roman" w:cs="Times New Roman"/>
          <w:sz w:val="24"/>
          <w:szCs w:val="24"/>
        </w:rPr>
        <w:t>provider</w:t>
      </w:r>
      <w:r w:rsidRPr="003C341F">
        <w:rPr>
          <w:rFonts w:ascii="Times New Roman" w:hAnsi="Times New Roman" w:cs="Times New Roman"/>
          <w:sz w:val="24"/>
          <w:szCs w:val="24"/>
        </w:rPr>
        <w:t>’s coverage in any areas that do not fall within those support categories</w:t>
      </w:r>
      <w:r w:rsidRPr="00524A86">
        <w:rPr>
          <w:rFonts w:ascii="Times New Roman" w:hAnsi="Times New Roman" w:cs="Times New Roman"/>
          <w:sz w:val="24"/>
          <w:szCs w:val="24"/>
        </w:rPr>
        <w:t xml:space="preserve"> is treated as unsubsidized.</w:t>
      </w:r>
      <w:r w:rsidR="00634316">
        <w:rPr>
          <w:rFonts w:ascii="Times New Roman" w:hAnsi="Times New Roman" w:cs="Times New Roman"/>
          <w:sz w:val="24"/>
          <w:szCs w:val="24"/>
        </w:rPr>
        <w:t xml:space="preserve">  </w:t>
      </w:r>
      <w:r w:rsidR="005C157F">
        <w:rPr>
          <w:rFonts w:ascii="Times New Roman" w:hAnsi="Times New Roman" w:cs="Times New Roman"/>
          <w:sz w:val="24"/>
          <w:szCs w:val="24"/>
        </w:rPr>
        <w:t>Staff</w:t>
      </w:r>
      <w:r w:rsidR="00634316">
        <w:rPr>
          <w:rFonts w:ascii="Times New Roman" w:hAnsi="Times New Roman" w:cs="Times New Roman"/>
          <w:sz w:val="24"/>
          <w:szCs w:val="24"/>
        </w:rPr>
        <w:t xml:space="preserve"> then compared those unsubsidized coverage areas with the LTE coverage areas reported on the Form 477 submissions.</w:t>
      </w:r>
    </w:p>
    <w:p w14:paraId="5170A5B4" w14:textId="2B3F935A" w:rsidR="00387E0F" w:rsidRPr="0094758B" w:rsidRDefault="00387E0F" w:rsidP="007627A0">
      <w:pPr>
        <w:pStyle w:val="Subtitle"/>
        <w:keepNext/>
        <w:numPr>
          <w:ilvl w:val="1"/>
          <w:numId w:val="15"/>
        </w:numPr>
        <w:ind w:left="360"/>
        <w:rPr>
          <w:rFonts w:ascii="Times New Roman" w:hAnsi="Times New Roman" w:cs="Times New Roman"/>
        </w:rPr>
      </w:pPr>
      <w:bookmarkStart w:id="4" w:name="_Toc457412579"/>
      <w:bookmarkStart w:id="5" w:name="_Toc457487005"/>
      <w:bookmarkStart w:id="6" w:name="_Toc459120157"/>
      <w:r w:rsidRPr="0094758B">
        <w:rPr>
          <w:rFonts w:ascii="Times New Roman" w:hAnsi="Times New Roman" w:cs="Times New Roman"/>
        </w:rPr>
        <w:t xml:space="preserve">Identifying </w:t>
      </w:r>
      <w:r w:rsidR="00F521AA" w:rsidRPr="0094758B">
        <w:rPr>
          <w:rFonts w:ascii="Times New Roman" w:hAnsi="Times New Roman" w:cs="Times New Roman"/>
        </w:rPr>
        <w:t xml:space="preserve">Blocks </w:t>
      </w:r>
      <w:r w:rsidR="0070520F" w:rsidRPr="0094758B">
        <w:rPr>
          <w:rFonts w:ascii="Times New Roman" w:hAnsi="Times New Roman" w:cs="Times New Roman"/>
        </w:rPr>
        <w:t xml:space="preserve">Lacking </w:t>
      </w:r>
      <w:r w:rsidRPr="0094758B">
        <w:rPr>
          <w:rFonts w:ascii="Times New Roman" w:hAnsi="Times New Roman" w:cs="Times New Roman"/>
        </w:rPr>
        <w:t>100% Unsubsidized LTE Coverage</w:t>
      </w:r>
      <w:bookmarkEnd w:id="4"/>
      <w:bookmarkEnd w:id="5"/>
      <w:bookmarkEnd w:id="6"/>
    </w:p>
    <w:p w14:paraId="489355AD" w14:textId="11921170" w:rsidR="00127518" w:rsidRDefault="00387E0F" w:rsidP="00702196">
      <w:pPr>
        <w:pStyle w:val="ListParagraph"/>
        <w:numPr>
          <w:ilvl w:val="0"/>
          <w:numId w:val="16"/>
        </w:numPr>
        <w:spacing w:line="360" w:lineRule="auto"/>
        <w:ind w:hanging="450"/>
        <w:contextualSpacing w:val="0"/>
        <w:rPr>
          <w:rFonts w:ascii="Times New Roman" w:hAnsi="Times New Roman" w:cs="Times New Roman"/>
          <w:sz w:val="24"/>
          <w:szCs w:val="24"/>
        </w:rPr>
      </w:pPr>
      <w:r>
        <w:rPr>
          <w:rFonts w:ascii="Times New Roman" w:hAnsi="Times New Roman" w:cs="Times New Roman"/>
          <w:sz w:val="24"/>
          <w:szCs w:val="24"/>
        </w:rPr>
        <w:t xml:space="preserve">Once </w:t>
      </w:r>
      <w:r w:rsidR="00F10C35">
        <w:rPr>
          <w:rFonts w:ascii="Times New Roman" w:hAnsi="Times New Roman" w:cs="Times New Roman"/>
          <w:sz w:val="24"/>
          <w:szCs w:val="24"/>
        </w:rPr>
        <w:t>support</w:t>
      </w:r>
      <w:r>
        <w:rPr>
          <w:rFonts w:ascii="Times New Roman" w:hAnsi="Times New Roman" w:cs="Times New Roman"/>
          <w:sz w:val="24"/>
          <w:szCs w:val="24"/>
        </w:rPr>
        <w:t xml:space="preserve"> </w:t>
      </w:r>
      <w:r w:rsidR="00F10C35">
        <w:rPr>
          <w:rFonts w:ascii="Times New Roman" w:hAnsi="Times New Roman" w:cs="Times New Roman"/>
          <w:sz w:val="24"/>
          <w:szCs w:val="24"/>
        </w:rPr>
        <w:t xml:space="preserve">was </w:t>
      </w:r>
      <w:r w:rsidR="00DB2D7F">
        <w:rPr>
          <w:rFonts w:ascii="Times New Roman" w:hAnsi="Times New Roman" w:cs="Times New Roman"/>
          <w:sz w:val="24"/>
          <w:szCs w:val="24"/>
        </w:rPr>
        <w:t xml:space="preserve">assigned geographically </w:t>
      </w:r>
      <w:r w:rsidR="003C341F">
        <w:rPr>
          <w:rFonts w:ascii="Times New Roman" w:hAnsi="Times New Roman" w:cs="Times New Roman"/>
          <w:sz w:val="24"/>
          <w:szCs w:val="24"/>
        </w:rPr>
        <w:t xml:space="preserve">for each provider, </w:t>
      </w:r>
      <w:r w:rsidR="005C157F">
        <w:rPr>
          <w:rFonts w:ascii="Times New Roman" w:hAnsi="Times New Roman" w:cs="Times New Roman"/>
          <w:sz w:val="24"/>
          <w:szCs w:val="24"/>
        </w:rPr>
        <w:t>staff</w:t>
      </w:r>
      <w:r w:rsidR="003C341F">
        <w:rPr>
          <w:rFonts w:ascii="Times New Roman" w:hAnsi="Times New Roman" w:cs="Times New Roman"/>
          <w:sz w:val="24"/>
          <w:szCs w:val="24"/>
        </w:rPr>
        <w:t xml:space="preserve"> examine</w:t>
      </w:r>
      <w:r w:rsidR="005C157F">
        <w:rPr>
          <w:rFonts w:ascii="Times New Roman" w:hAnsi="Times New Roman" w:cs="Times New Roman"/>
          <w:sz w:val="24"/>
          <w:szCs w:val="24"/>
        </w:rPr>
        <w:t>d</w:t>
      </w:r>
      <w:r w:rsidR="003C341F">
        <w:rPr>
          <w:rFonts w:ascii="Times New Roman" w:hAnsi="Times New Roman" w:cs="Times New Roman"/>
          <w:sz w:val="24"/>
          <w:szCs w:val="24"/>
        </w:rPr>
        <w:t xml:space="preserve"> for each census block the actual LTE coverage of</w:t>
      </w:r>
      <w:r>
        <w:rPr>
          <w:rFonts w:ascii="Times New Roman" w:hAnsi="Times New Roman" w:cs="Times New Roman"/>
          <w:sz w:val="24"/>
          <w:szCs w:val="24"/>
        </w:rPr>
        <w:t xml:space="preserve"> </w:t>
      </w:r>
      <w:r w:rsidR="003C341F">
        <w:rPr>
          <w:rFonts w:ascii="Times New Roman" w:hAnsi="Times New Roman" w:cs="Times New Roman"/>
          <w:sz w:val="24"/>
          <w:szCs w:val="24"/>
        </w:rPr>
        <w:t>all the providers to determine whether there is at least one provider of unsub</w:t>
      </w:r>
      <w:r w:rsidR="0030429B">
        <w:rPr>
          <w:rFonts w:ascii="Times New Roman" w:hAnsi="Times New Roman" w:cs="Times New Roman"/>
          <w:sz w:val="24"/>
          <w:szCs w:val="24"/>
        </w:rPr>
        <w:t>s</w:t>
      </w:r>
      <w:r w:rsidR="003C341F">
        <w:rPr>
          <w:rFonts w:ascii="Times New Roman" w:hAnsi="Times New Roman" w:cs="Times New Roman"/>
          <w:sz w:val="24"/>
          <w:szCs w:val="24"/>
        </w:rPr>
        <w:t xml:space="preserve">idized LTE coverage in every part of the census block.  </w:t>
      </w:r>
      <w:r w:rsidR="00865A3F">
        <w:rPr>
          <w:rFonts w:ascii="Times New Roman" w:hAnsi="Times New Roman" w:cs="Times New Roman"/>
          <w:sz w:val="24"/>
          <w:szCs w:val="24"/>
        </w:rPr>
        <w:t xml:space="preserve">Staff classified as lacking 100 % unsubsidized LTE any </w:t>
      </w:r>
      <w:r>
        <w:rPr>
          <w:rFonts w:ascii="Times New Roman" w:hAnsi="Times New Roman" w:cs="Times New Roman"/>
          <w:sz w:val="24"/>
          <w:szCs w:val="24"/>
        </w:rPr>
        <w:t>census block</w:t>
      </w:r>
      <w:r w:rsidR="00865A3F">
        <w:rPr>
          <w:rFonts w:ascii="Times New Roman" w:hAnsi="Times New Roman" w:cs="Times New Roman"/>
          <w:sz w:val="24"/>
          <w:szCs w:val="24"/>
        </w:rPr>
        <w:t xml:space="preserve"> with </w:t>
      </w:r>
      <w:r>
        <w:rPr>
          <w:rFonts w:ascii="Times New Roman" w:hAnsi="Times New Roman" w:cs="Times New Roman"/>
          <w:sz w:val="24"/>
          <w:szCs w:val="24"/>
        </w:rPr>
        <w:t xml:space="preserve">less than 100% LTE coverage </w:t>
      </w:r>
      <w:r w:rsidR="00A44EAE">
        <w:rPr>
          <w:rFonts w:ascii="Times New Roman" w:hAnsi="Times New Roman" w:cs="Times New Roman"/>
          <w:sz w:val="24"/>
          <w:szCs w:val="24"/>
        </w:rPr>
        <w:t xml:space="preserve">as well as </w:t>
      </w:r>
      <w:r w:rsidR="00865A3F">
        <w:rPr>
          <w:rFonts w:ascii="Times New Roman" w:hAnsi="Times New Roman" w:cs="Times New Roman"/>
          <w:sz w:val="24"/>
          <w:szCs w:val="24"/>
        </w:rPr>
        <w:t>any census block</w:t>
      </w:r>
      <w:r>
        <w:rPr>
          <w:rFonts w:ascii="Times New Roman" w:hAnsi="Times New Roman" w:cs="Times New Roman"/>
          <w:sz w:val="24"/>
          <w:szCs w:val="24"/>
        </w:rPr>
        <w:t xml:space="preserve"> </w:t>
      </w:r>
      <w:r w:rsidR="00865A3F">
        <w:rPr>
          <w:rFonts w:ascii="Times New Roman" w:hAnsi="Times New Roman" w:cs="Times New Roman"/>
          <w:sz w:val="24"/>
          <w:szCs w:val="24"/>
        </w:rPr>
        <w:t xml:space="preserve">with </w:t>
      </w:r>
      <w:r>
        <w:rPr>
          <w:rFonts w:ascii="Times New Roman" w:hAnsi="Times New Roman" w:cs="Times New Roman"/>
          <w:sz w:val="24"/>
          <w:szCs w:val="24"/>
        </w:rPr>
        <w:t xml:space="preserve">100% LTE coverage </w:t>
      </w:r>
      <w:r w:rsidR="00865A3F">
        <w:rPr>
          <w:rFonts w:ascii="Times New Roman" w:hAnsi="Times New Roman" w:cs="Times New Roman"/>
          <w:sz w:val="24"/>
          <w:szCs w:val="24"/>
        </w:rPr>
        <w:t xml:space="preserve">if </w:t>
      </w:r>
      <w:r w:rsidR="003C341F">
        <w:rPr>
          <w:rFonts w:ascii="Times New Roman" w:hAnsi="Times New Roman" w:cs="Times New Roman"/>
          <w:sz w:val="24"/>
          <w:szCs w:val="24"/>
        </w:rPr>
        <w:t xml:space="preserve">the coverage of </w:t>
      </w:r>
      <w:r>
        <w:rPr>
          <w:rFonts w:ascii="Times New Roman" w:hAnsi="Times New Roman" w:cs="Times New Roman"/>
          <w:sz w:val="24"/>
          <w:szCs w:val="24"/>
        </w:rPr>
        <w:t xml:space="preserve">some portion of the block is provided </w:t>
      </w:r>
      <w:r w:rsidR="003C341F">
        <w:rPr>
          <w:rFonts w:ascii="Times New Roman" w:hAnsi="Times New Roman" w:cs="Times New Roman"/>
          <w:sz w:val="24"/>
          <w:szCs w:val="24"/>
        </w:rPr>
        <w:t xml:space="preserve">only </w:t>
      </w:r>
      <w:r>
        <w:rPr>
          <w:rFonts w:ascii="Times New Roman" w:hAnsi="Times New Roman" w:cs="Times New Roman"/>
          <w:sz w:val="24"/>
          <w:szCs w:val="24"/>
        </w:rPr>
        <w:t xml:space="preserve">by a subsidized provider. </w:t>
      </w:r>
    </w:p>
    <w:p w14:paraId="0949CC80" w14:textId="59D18190" w:rsidR="0070553D" w:rsidRPr="0070553D" w:rsidRDefault="0070553D" w:rsidP="007627A0">
      <w:pPr>
        <w:pStyle w:val="Subtitle"/>
        <w:keepNext/>
        <w:rPr>
          <w:rFonts w:ascii="Times New Roman" w:hAnsi="Times New Roman" w:cs="Times New Roman"/>
          <w:i/>
        </w:rPr>
      </w:pPr>
      <w:r w:rsidRPr="0070553D">
        <w:rPr>
          <w:rFonts w:ascii="Times New Roman" w:hAnsi="Times New Roman" w:cs="Times New Roman"/>
          <w:i/>
        </w:rPr>
        <w:t>i. US Analysis Excluding Alaska</w:t>
      </w:r>
    </w:p>
    <w:p w14:paraId="70039D4E" w14:textId="3AF06021" w:rsidR="006D6617" w:rsidRPr="003E2224" w:rsidRDefault="00CD25A1" w:rsidP="00702196">
      <w:pPr>
        <w:pStyle w:val="ListParagraph"/>
        <w:numPr>
          <w:ilvl w:val="0"/>
          <w:numId w:val="16"/>
        </w:numPr>
        <w:spacing w:line="360" w:lineRule="auto"/>
        <w:ind w:hanging="450"/>
        <w:contextualSpacing w:val="0"/>
        <w:rPr>
          <w:rFonts w:ascii="Times New Roman" w:hAnsi="Times New Roman" w:cs="Times New Roman"/>
          <w:b/>
          <w:sz w:val="24"/>
          <w:szCs w:val="24"/>
        </w:rPr>
      </w:pPr>
      <w:r>
        <w:rPr>
          <w:rFonts w:ascii="Times New Roman" w:hAnsi="Times New Roman" w:cs="Times New Roman"/>
          <w:sz w:val="24"/>
          <w:szCs w:val="24"/>
        </w:rPr>
        <w:t>Table</w:t>
      </w:r>
      <w:r w:rsidR="00AF27B4">
        <w:rPr>
          <w:rFonts w:ascii="Times New Roman" w:hAnsi="Times New Roman" w:cs="Times New Roman"/>
          <w:sz w:val="24"/>
          <w:szCs w:val="24"/>
        </w:rPr>
        <w:t>s</w:t>
      </w:r>
      <w:r>
        <w:rPr>
          <w:rFonts w:ascii="Times New Roman" w:hAnsi="Times New Roman" w:cs="Times New Roman"/>
          <w:sz w:val="24"/>
          <w:szCs w:val="24"/>
        </w:rPr>
        <w:t xml:space="preserve"> </w:t>
      </w:r>
      <w:r w:rsidR="00F42C5F">
        <w:rPr>
          <w:rFonts w:ascii="Times New Roman" w:hAnsi="Times New Roman" w:cs="Times New Roman"/>
          <w:sz w:val="24"/>
          <w:szCs w:val="24"/>
        </w:rPr>
        <w:t>3</w:t>
      </w:r>
      <w:r w:rsidR="00156B8B">
        <w:rPr>
          <w:rFonts w:ascii="Times New Roman" w:hAnsi="Times New Roman" w:cs="Times New Roman"/>
          <w:sz w:val="24"/>
          <w:szCs w:val="24"/>
        </w:rPr>
        <w:t>- i</w:t>
      </w:r>
      <w:r w:rsidR="00335E59">
        <w:rPr>
          <w:rFonts w:ascii="Times New Roman" w:hAnsi="Times New Roman" w:cs="Times New Roman"/>
          <w:sz w:val="24"/>
          <w:szCs w:val="24"/>
        </w:rPr>
        <w:t xml:space="preserve"> and </w:t>
      </w:r>
      <w:r w:rsidR="00F42C5F">
        <w:rPr>
          <w:rFonts w:ascii="Times New Roman" w:hAnsi="Times New Roman" w:cs="Times New Roman"/>
          <w:sz w:val="24"/>
          <w:szCs w:val="24"/>
        </w:rPr>
        <w:t>3</w:t>
      </w:r>
      <w:r w:rsidR="00156B8B">
        <w:rPr>
          <w:rFonts w:ascii="Times New Roman" w:hAnsi="Times New Roman" w:cs="Times New Roman"/>
          <w:sz w:val="24"/>
          <w:szCs w:val="24"/>
        </w:rPr>
        <w:t>-ii</w:t>
      </w:r>
      <w:r>
        <w:rPr>
          <w:rFonts w:ascii="Times New Roman" w:hAnsi="Times New Roman" w:cs="Times New Roman"/>
          <w:sz w:val="24"/>
          <w:szCs w:val="24"/>
        </w:rPr>
        <w:t xml:space="preserve"> </w:t>
      </w:r>
      <w:r w:rsidR="0088083A">
        <w:rPr>
          <w:rFonts w:ascii="Times New Roman" w:hAnsi="Times New Roman" w:cs="Times New Roman"/>
          <w:sz w:val="24"/>
          <w:szCs w:val="24"/>
        </w:rPr>
        <w:t>show data resulting from staff analysis of</w:t>
      </w:r>
      <w:r w:rsidR="00C26ECA">
        <w:rPr>
          <w:rFonts w:ascii="Times New Roman" w:hAnsi="Times New Roman" w:cs="Times New Roman"/>
          <w:sz w:val="24"/>
          <w:szCs w:val="24"/>
        </w:rPr>
        <w:t xml:space="preserve"> provider-specific</w:t>
      </w:r>
      <w:r w:rsidR="0088083A">
        <w:rPr>
          <w:rFonts w:ascii="Times New Roman" w:hAnsi="Times New Roman" w:cs="Times New Roman"/>
          <w:sz w:val="24"/>
          <w:szCs w:val="24"/>
        </w:rPr>
        <w:t xml:space="preserve"> </w:t>
      </w:r>
      <w:r>
        <w:rPr>
          <w:rFonts w:ascii="Times New Roman" w:hAnsi="Times New Roman" w:cs="Times New Roman"/>
          <w:sz w:val="24"/>
          <w:szCs w:val="24"/>
        </w:rPr>
        <w:t xml:space="preserve">LTE coverage information </w:t>
      </w:r>
      <w:r w:rsidR="0088083A">
        <w:rPr>
          <w:rFonts w:ascii="Times New Roman" w:hAnsi="Times New Roman" w:cs="Times New Roman"/>
          <w:sz w:val="24"/>
          <w:szCs w:val="24"/>
        </w:rPr>
        <w:t xml:space="preserve">overlaid </w:t>
      </w:r>
      <w:r>
        <w:rPr>
          <w:rFonts w:ascii="Times New Roman" w:hAnsi="Times New Roman" w:cs="Times New Roman"/>
          <w:sz w:val="24"/>
          <w:szCs w:val="24"/>
        </w:rPr>
        <w:t xml:space="preserve">with </w:t>
      </w:r>
      <w:r w:rsidR="009D282D">
        <w:rPr>
          <w:rFonts w:ascii="Times New Roman" w:hAnsi="Times New Roman" w:cs="Times New Roman"/>
          <w:sz w:val="24"/>
          <w:szCs w:val="24"/>
        </w:rPr>
        <w:t xml:space="preserve">areas </w:t>
      </w:r>
      <w:r w:rsidR="00C26ECA">
        <w:rPr>
          <w:rFonts w:ascii="Times New Roman" w:hAnsi="Times New Roman" w:cs="Times New Roman"/>
          <w:sz w:val="24"/>
          <w:szCs w:val="24"/>
        </w:rPr>
        <w:t xml:space="preserve">where specific provider(s) of LTE </w:t>
      </w:r>
      <w:r w:rsidR="009D282D">
        <w:rPr>
          <w:rFonts w:ascii="Times New Roman" w:hAnsi="Times New Roman" w:cs="Times New Roman"/>
          <w:sz w:val="24"/>
          <w:szCs w:val="24"/>
        </w:rPr>
        <w:t>receiv</w:t>
      </w:r>
      <w:r w:rsidR="00C26ECA">
        <w:rPr>
          <w:rFonts w:ascii="Times New Roman" w:hAnsi="Times New Roman" w:cs="Times New Roman"/>
          <w:sz w:val="24"/>
          <w:szCs w:val="24"/>
        </w:rPr>
        <w:t>e</w:t>
      </w:r>
      <w:r w:rsidR="009D282D">
        <w:rPr>
          <w:rFonts w:ascii="Times New Roman" w:hAnsi="Times New Roman" w:cs="Times New Roman"/>
          <w:sz w:val="24"/>
          <w:szCs w:val="24"/>
        </w:rPr>
        <w:t xml:space="preserve"> </w:t>
      </w:r>
      <w:r w:rsidR="0088083A">
        <w:rPr>
          <w:rFonts w:ascii="Times New Roman" w:hAnsi="Times New Roman" w:cs="Times New Roman"/>
          <w:sz w:val="24"/>
          <w:szCs w:val="24"/>
        </w:rPr>
        <w:t>high</w:t>
      </w:r>
      <w:r w:rsidR="00323E8E">
        <w:rPr>
          <w:rFonts w:ascii="Times New Roman" w:hAnsi="Times New Roman" w:cs="Times New Roman"/>
          <w:sz w:val="24"/>
          <w:szCs w:val="24"/>
        </w:rPr>
        <w:t>-</w:t>
      </w:r>
      <w:r w:rsidR="0088083A">
        <w:rPr>
          <w:rFonts w:ascii="Times New Roman" w:hAnsi="Times New Roman" w:cs="Times New Roman"/>
          <w:sz w:val="24"/>
          <w:szCs w:val="24"/>
        </w:rPr>
        <w:t xml:space="preserve">cost </w:t>
      </w:r>
      <w:r w:rsidR="00F10C35">
        <w:rPr>
          <w:rFonts w:ascii="Times New Roman" w:hAnsi="Times New Roman" w:cs="Times New Roman"/>
          <w:sz w:val="24"/>
          <w:szCs w:val="24"/>
        </w:rPr>
        <w:t>support</w:t>
      </w:r>
      <w:r w:rsidR="009D282D">
        <w:rPr>
          <w:rFonts w:ascii="Times New Roman" w:hAnsi="Times New Roman" w:cs="Times New Roman"/>
          <w:sz w:val="24"/>
          <w:szCs w:val="24"/>
        </w:rPr>
        <w:t xml:space="preserve">, </w:t>
      </w:r>
      <w:r w:rsidR="0088083A">
        <w:rPr>
          <w:rFonts w:ascii="Times New Roman" w:hAnsi="Times New Roman" w:cs="Times New Roman"/>
          <w:sz w:val="24"/>
          <w:szCs w:val="24"/>
        </w:rPr>
        <w:t>as described above</w:t>
      </w:r>
      <w:r>
        <w:rPr>
          <w:rFonts w:ascii="Times New Roman" w:hAnsi="Times New Roman" w:cs="Times New Roman"/>
          <w:sz w:val="24"/>
          <w:szCs w:val="24"/>
        </w:rPr>
        <w:t xml:space="preserve">.  </w:t>
      </w:r>
      <w:r w:rsidR="006D6617" w:rsidRPr="00CF22A0">
        <w:rPr>
          <w:rFonts w:ascii="Times New Roman" w:hAnsi="Times New Roman" w:cs="Times New Roman"/>
          <w:sz w:val="24"/>
          <w:szCs w:val="24"/>
        </w:rPr>
        <w:t xml:space="preserve">As set out in these Tables, the analysis </w:t>
      </w:r>
      <w:r w:rsidR="00DF6C6C">
        <w:rPr>
          <w:rFonts w:ascii="Times New Roman" w:hAnsi="Times New Roman" w:cs="Times New Roman"/>
          <w:sz w:val="24"/>
          <w:szCs w:val="24"/>
        </w:rPr>
        <w:t xml:space="preserve">identifies the degree to which 4G LTE coverage is not being provided on an unsubsidized basis.  The results show </w:t>
      </w:r>
      <w:r w:rsidR="006D6617" w:rsidRPr="00CF22A0">
        <w:rPr>
          <w:rFonts w:ascii="Times New Roman" w:hAnsi="Times New Roman" w:cs="Times New Roman"/>
          <w:sz w:val="24"/>
          <w:szCs w:val="24"/>
        </w:rPr>
        <w:t>that</w:t>
      </w:r>
      <w:r w:rsidR="00DF6C6C">
        <w:rPr>
          <w:rFonts w:ascii="Times New Roman" w:hAnsi="Times New Roman" w:cs="Times New Roman"/>
          <w:sz w:val="24"/>
          <w:szCs w:val="24"/>
        </w:rPr>
        <w:t>,</w:t>
      </w:r>
      <w:r w:rsidR="006D6617" w:rsidRPr="00CF22A0">
        <w:rPr>
          <w:rFonts w:ascii="Times New Roman" w:hAnsi="Times New Roman" w:cs="Times New Roman"/>
          <w:sz w:val="24"/>
          <w:szCs w:val="24"/>
        </w:rPr>
        <w:t xml:space="preserve"> </w:t>
      </w:r>
      <w:r w:rsidR="006D6617">
        <w:rPr>
          <w:rFonts w:ascii="Times New Roman" w:hAnsi="Times New Roman" w:cs="Times New Roman"/>
          <w:sz w:val="24"/>
          <w:szCs w:val="24"/>
        </w:rPr>
        <w:t>overall, areas with no LTE coverage or where LTE is provided only on a subsidized basis</w:t>
      </w:r>
      <w:r w:rsidR="00DF6C6C">
        <w:rPr>
          <w:rFonts w:ascii="Times New Roman" w:hAnsi="Times New Roman" w:cs="Times New Roman"/>
          <w:sz w:val="24"/>
          <w:szCs w:val="24"/>
        </w:rPr>
        <w:t xml:space="preserve"> cover</w:t>
      </w:r>
      <w:r w:rsidR="00531558">
        <w:rPr>
          <w:rFonts w:ascii="Times New Roman" w:hAnsi="Times New Roman" w:cs="Times New Roman"/>
          <w:sz w:val="24"/>
          <w:szCs w:val="24"/>
        </w:rPr>
        <w:t>:</w:t>
      </w:r>
      <w:r w:rsidR="006D6617">
        <w:rPr>
          <w:rFonts w:ascii="Times New Roman" w:hAnsi="Times New Roman" w:cs="Times New Roman"/>
          <w:sz w:val="24"/>
          <w:szCs w:val="24"/>
        </w:rPr>
        <w:t xml:space="preserve"> </w:t>
      </w:r>
    </w:p>
    <w:p w14:paraId="55B6AB14" w14:textId="2FD57E64" w:rsidR="006D6617" w:rsidRPr="003E2224" w:rsidRDefault="006D6617" w:rsidP="006D6617">
      <w:pPr>
        <w:pStyle w:val="ListParagraph"/>
        <w:numPr>
          <w:ilvl w:val="1"/>
          <w:numId w:val="16"/>
        </w:numPr>
        <w:spacing w:line="360" w:lineRule="auto"/>
        <w:contextualSpacing w:val="0"/>
        <w:rPr>
          <w:rFonts w:ascii="Times New Roman" w:hAnsi="Times New Roman" w:cs="Times New Roman"/>
          <w:b/>
          <w:sz w:val="24"/>
          <w:szCs w:val="24"/>
        </w:rPr>
      </w:pPr>
      <w:r>
        <w:rPr>
          <w:rFonts w:ascii="Times New Roman" w:hAnsi="Times New Roman" w:cs="Times New Roman"/>
          <w:sz w:val="24"/>
          <w:szCs w:val="24"/>
        </w:rPr>
        <w:t>A</w:t>
      </w:r>
      <w:r w:rsidRPr="00CF22A0">
        <w:rPr>
          <w:rFonts w:ascii="Times New Roman" w:hAnsi="Times New Roman" w:cs="Times New Roman"/>
          <w:sz w:val="24"/>
          <w:szCs w:val="24"/>
        </w:rPr>
        <w:t xml:space="preserve">pproximately </w:t>
      </w:r>
      <w:r w:rsidR="00E470EB">
        <w:rPr>
          <w:rFonts w:ascii="Times New Roman" w:hAnsi="Times New Roman" w:cs="Times New Roman"/>
          <w:sz w:val="24"/>
          <w:szCs w:val="24"/>
        </w:rPr>
        <w:t>57</w:t>
      </w:r>
      <w:r w:rsidR="005B6617">
        <w:rPr>
          <w:rFonts w:ascii="Times New Roman" w:hAnsi="Times New Roman" w:cs="Times New Roman"/>
          <w:sz w:val="24"/>
          <w:szCs w:val="24"/>
        </w:rPr>
        <w:t>5</w:t>
      </w:r>
      <w:r w:rsidR="00E470EB">
        <w:rPr>
          <w:rFonts w:ascii="Times New Roman" w:hAnsi="Times New Roman" w:cs="Times New Roman"/>
          <w:sz w:val="24"/>
          <w:szCs w:val="24"/>
        </w:rPr>
        <w:t>,0</w:t>
      </w:r>
      <w:r w:rsidR="005B6617">
        <w:rPr>
          <w:rFonts w:ascii="Times New Roman" w:hAnsi="Times New Roman" w:cs="Times New Roman"/>
          <w:sz w:val="24"/>
          <w:szCs w:val="24"/>
        </w:rPr>
        <w:t>00</w:t>
      </w:r>
      <w:r w:rsidRPr="00CF22A0">
        <w:rPr>
          <w:rFonts w:ascii="Times New Roman" w:hAnsi="Times New Roman" w:cs="Times New Roman"/>
          <w:sz w:val="24"/>
          <w:szCs w:val="24"/>
        </w:rPr>
        <w:t xml:space="preserve"> square miles (</w:t>
      </w:r>
      <w:r w:rsidR="00E470EB">
        <w:rPr>
          <w:rFonts w:ascii="Times New Roman" w:hAnsi="Times New Roman" w:cs="Times New Roman"/>
          <w:sz w:val="24"/>
          <w:szCs w:val="24"/>
        </w:rPr>
        <w:t>19</w:t>
      </w:r>
      <w:r w:rsidRPr="00CF22A0">
        <w:rPr>
          <w:rFonts w:ascii="Times New Roman" w:hAnsi="Times New Roman" w:cs="Times New Roman"/>
          <w:sz w:val="24"/>
          <w:szCs w:val="24"/>
        </w:rPr>
        <w:t>%</w:t>
      </w:r>
      <w:r>
        <w:rPr>
          <w:rFonts w:ascii="Times New Roman" w:hAnsi="Times New Roman" w:cs="Times New Roman"/>
          <w:sz w:val="24"/>
          <w:szCs w:val="24"/>
        </w:rPr>
        <w:t xml:space="preserve"> of total area</w:t>
      </w:r>
      <w:r w:rsidRPr="00CF22A0">
        <w:rPr>
          <w:rFonts w:ascii="Times New Roman" w:hAnsi="Times New Roman" w:cs="Times New Roman"/>
          <w:sz w:val="24"/>
          <w:szCs w:val="24"/>
        </w:rPr>
        <w:t>)</w:t>
      </w:r>
      <w:r>
        <w:rPr>
          <w:rFonts w:ascii="Times New Roman" w:hAnsi="Times New Roman" w:cs="Times New Roman"/>
          <w:sz w:val="24"/>
          <w:szCs w:val="24"/>
        </w:rPr>
        <w:t>;</w:t>
      </w:r>
      <w:r w:rsidRPr="00CF22A0">
        <w:rPr>
          <w:rFonts w:ascii="Times New Roman" w:hAnsi="Times New Roman" w:cs="Times New Roman"/>
          <w:sz w:val="24"/>
          <w:szCs w:val="24"/>
        </w:rPr>
        <w:t xml:space="preserve"> </w:t>
      </w:r>
    </w:p>
    <w:p w14:paraId="4E7CF13B" w14:textId="525D2A44" w:rsidR="006D6617" w:rsidRPr="00F23AB7" w:rsidRDefault="004A361C" w:rsidP="00F23AB7">
      <w:pPr>
        <w:pStyle w:val="ListParagraph"/>
        <w:numPr>
          <w:ilvl w:val="1"/>
          <w:numId w:val="16"/>
        </w:numPr>
        <w:spacing w:line="360" w:lineRule="auto"/>
        <w:contextualSpacing w:val="0"/>
        <w:rPr>
          <w:rFonts w:ascii="Times New Roman" w:hAnsi="Times New Roman" w:cs="Times New Roman"/>
          <w:b/>
          <w:sz w:val="24"/>
          <w:szCs w:val="24"/>
        </w:rPr>
      </w:pPr>
      <w:r>
        <w:rPr>
          <w:rFonts w:ascii="Times New Roman" w:hAnsi="Times New Roman" w:cs="Times New Roman"/>
          <w:sz w:val="24"/>
          <w:szCs w:val="24"/>
        </w:rPr>
        <w:t>Approximately</w:t>
      </w:r>
      <w:r w:rsidR="006D6617" w:rsidRPr="00CF22A0">
        <w:rPr>
          <w:rFonts w:ascii="Times New Roman" w:hAnsi="Times New Roman" w:cs="Times New Roman"/>
          <w:sz w:val="24"/>
          <w:szCs w:val="24"/>
        </w:rPr>
        <w:t xml:space="preserve"> </w:t>
      </w:r>
      <w:r w:rsidR="00E470EB">
        <w:rPr>
          <w:rFonts w:ascii="Times New Roman" w:hAnsi="Times New Roman" w:cs="Times New Roman"/>
          <w:sz w:val="24"/>
          <w:szCs w:val="24"/>
        </w:rPr>
        <w:t>755,</w:t>
      </w:r>
      <w:r w:rsidR="005B6617">
        <w:rPr>
          <w:rFonts w:ascii="Times New Roman" w:hAnsi="Times New Roman" w:cs="Times New Roman"/>
          <w:sz w:val="24"/>
          <w:szCs w:val="24"/>
        </w:rPr>
        <w:t xml:space="preserve">000 </w:t>
      </w:r>
      <w:r w:rsidR="006D6617">
        <w:rPr>
          <w:rFonts w:ascii="Times New Roman" w:hAnsi="Times New Roman" w:cs="Times New Roman"/>
          <w:sz w:val="24"/>
          <w:szCs w:val="24"/>
        </w:rPr>
        <w:t xml:space="preserve">road </w:t>
      </w:r>
      <w:r w:rsidR="006D6617" w:rsidRPr="00CF22A0">
        <w:rPr>
          <w:rFonts w:ascii="Times New Roman" w:hAnsi="Times New Roman" w:cs="Times New Roman"/>
          <w:sz w:val="24"/>
          <w:szCs w:val="24"/>
        </w:rPr>
        <w:t>miles (1</w:t>
      </w:r>
      <w:r w:rsidR="00E470EB">
        <w:rPr>
          <w:rFonts w:ascii="Times New Roman" w:hAnsi="Times New Roman" w:cs="Times New Roman"/>
          <w:sz w:val="24"/>
          <w:szCs w:val="24"/>
        </w:rPr>
        <w:t>1</w:t>
      </w:r>
      <w:r w:rsidR="006D6617" w:rsidRPr="00CF22A0">
        <w:rPr>
          <w:rFonts w:ascii="Times New Roman" w:hAnsi="Times New Roman" w:cs="Times New Roman"/>
          <w:sz w:val="24"/>
          <w:szCs w:val="24"/>
        </w:rPr>
        <w:t>%</w:t>
      </w:r>
      <w:r w:rsidR="006D6617">
        <w:rPr>
          <w:rFonts w:ascii="Times New Roman" w:hAnsi="Times New Roman" w:cs="Times New Roman"/>
          <w:sz w:val="24"/>
          <w:szCs w:val="24"/>
        </w:rPr>
        <w:t xml:space="preserve"> of total road miles</w:t>
      </w:r>
      <w:r w:rsidR="006D6617" w:rsidRPr="00CF22A0">
        <w:rPr>
          <w:rFonts w:ascii="Times New Roman" w:hAnsi="Times New Roman" w:cs="Times New Roman"/>
          <w:sz w:val="24"/>
          <w:szCs w:val="24"/>
        </w:rPr>
        <w:t>)</w:t>
      </w:r>
      <w:r w:rsidR="006D6617">
        <w:rPr>
          <w:rFonts w:ascii="Times New Roman" w:hAnsi="Times New Roman" w:cs="Times New Roman"/>
          <w:sz w:val="24"/>
          <w:szCs w:val="24"/>
        </w:rPr>
        <w:t>;</w:t>
      </w:r>
      <w:r w:rsidR="006D6617" w:rsidRPr="00CF22A0">
        <w:rPr>
          <w:rFonts w:ascii="Times New Roman" w:hAnsi="Times New Roman" w:cs="Times New Roman"/>
          <w:sz w:val="24"/>
          <w:szCs w:val="24"/>
        </w:rPr>
        <w:t xml:space="preserve"> and </w:t>
      </w:r>
    </w:p>
    <w:p w14:paraId="614A55B8" w14:textId="5B2B51B6" w:rsidR="00CD25A1" w:rsidRDefault="00DF6C6C" w:rsidP="00F23AB7">
      <w:pPr>
        <w:pStyle w:val="ListParagraph"/>
        <w:numPr>
          <w:ilvl w:val="1"/>
          <w:numId w:val="16"/>
        </w:numPr>
        <w:spacing w:line="360" w:lineRule="auto"/>
        <w:contextualSpacing w:val="0"/>
        <w:rPr>
          <w:rFonts w:ascii="Times New Roman" w:hAnsi="Times New Roman" w:cs="Times New Roman"/>
          <w:sz w:val="24"/>
          <w:szCs w:val="24"/>
        </w:rPr>
      </w:pPr>
      <w:r>
        <w:rPr>
          <w:rFonts w:ascii="Times New Roman" w:hAnsi="Times New Roman" w:cs="Times New Roman"/>
          <w:sz w:val="24"/>
          <w:szCs w:val="24"/>
        </w:rPr>
        <w:t>Approximately</w:t>
      </w:r>
      <w:r w:rsidRPr="00754FA9">
        <w:rPr>
          <w:rFonts w:ascii="Times New Roman" w:hAnsi="Times New Roman" w:cs="Times New Roman"/>
          <w:sz w:val="24"/>
          <w:szCs w:val="24"/>
        </w:rPr>
        <w:t xml:space="preserve"> </w:t>
      </w:r>
      <w:r w:rsidR="006D6617" w:rsidRPr="00754FA9">
        <w:rPr>
          <w:rFonts w:ascii="Times New Roman" w:hAnsi="Times New Roman" w:cs="Times New Roman"/>
          <w:sz w:val="24"/>
          <w:szCs w:val="24"/>
        </w:rPr>
        <w:t>3.</w:t>
      </w:r>
      <w:r w:rsidR="00E470EB">
        <w:rPr>
          <w:rFonts w:ascii="Times New Roman" w:hAnsi="Times New Roman" w:cs="Times New Roman"/>
          <w:sz w:val="24"/>
          <w:szCs w:val="24"/>
        </w:rPr>
        <w:t>1</w:t>
      </w:r>
      <w:r w:rsidR="006D6617" w:rsidRPr="00754FA9">
        <w:rPr>
          <w:rFonts w:ascii="Times New Roman" w:hAnsi="Times New Roman" w:cs="Times New Roman"/>
          <w:sz w:val="24"/>
          <w:szCs w:val="24"/>
        </w:rPr>
        <w:t xml:space="preserve"> million people (1% of total population).  </w:t>
      </w:r>
    </w:p>
    <w:p w14:paraId="4C454D77" w14:textId="2CDCCC09" w:rsidR="00C374CC" w:rsidRDefault="00531558" w:rsidP="00702196">
      <w:pPr>
        <w:pStyle w:val="ListParagraph"/>
        <w:numPr>
          <w:ilvl w:val="0"/>
          <w:numId w:val="16"/>
        </w:numPr>
        <w:spacing w:line="360" w:lineRule="auto"/>
        <w:ind w:right="-86" w:hanging="450"/>
        <w:contextualSpacing w:val="0"/>
        <w:rPr>
          <w:rFonts w:ascii="Times New Roman" w:hAnsi="Times New Roman" w:cs="Times New Roman"/>
          <w:b/>
          <w:sz w:val="24"/>
          <w:szCs w:val="24"/>
        </w:rPr>
      </w:pPr>
      <w:r>
        <w:rPr>
          <w:rFonts w:ascii="Times New Roman" w:hAnsi="Times New Roman" w:cs="Times New Roman"/>
          <w:sz w:val="24"/>
          <w:szCs w:val="24"/>
        </w:rPr>
        <w:t xml:space="preserve">In addition to providing these overall metrics, </w:t>
      </w:r>
      <w:r w:rsidRPr="003961EE">
        <w:rPr>
          <w:rFonts w:ascii="Times New Roman" w:hAnsi="Times New Roman" w:cs="Times New Roman"/>
          <w:sz w:val="24"/>
          <w:szCs w:val="24"/>
        </w:rPr>
        <w:t>Tables 3</w:t>
      </w:r>
      <w:r w:rsidR="00156B8B">
        <w:rPr>
          <w:rFonts w:ascii="Times New Roman" w:hAnsi="Times New Roman" w:cs="Times New Roman"/>
          <w:sz w:val="24"/>
          <w:szCs w:val="24"/>
        </w:rPr>
        <w:t>-i</w:t>
      </w:r>
      <w:r w:rsidRPr="003961EE">
        <w:rPr>
          <w:rFonts w:ascii="Times New Roman" w:hAnsi="Times New Roman" w:cs="Times New Roman"/>
          <w:sz w:val="24"/>
          <w:szCs w:val="24"/>
        </w:rPr>
        <w:t xml:space="preserve"> and 3</w:t>
      </w:r>
      <w:r w:rsidR="00156B8B">
        <w:rPr>
          <w:rFonts w:ascii="Times New Roman" w:hAnsi="Times New Roman" w:cs="Times New Roman"/>
          <w:sz w:val="24"/>
          <w:szCs w:val="24"/>
        </w:rPr>
        <w:t>-ii</w:t>
      </w:r>
      <w:r w:rsidRPr="003961EE">
        <w:rPr>
          <w:rFonts w:ascii="Times New Roman" w:hAnsi="Times New Roman" w:cs="Times New Roman"/>
          <w:sz w:val="24"/>
          <w:szCs w:val="24"/>
        </w:rPr>
        <w:t xml:space="preserve"> </w:t>
      </w:r>
      <w:r>
        <w:rPr>
          <w:rFonts w:ascii="Times New Roman" w:hAnsi="Times New Roman" w:cs="Times New Roman"/>
          <w:sz w:val="24"/>
          <w:szCs w:val="24"/>
        </w:rPr>
        <w:t xml:space="preserve">provide separate metrics on the two component parts – that is, </w:t>
      </w:r>
      <w:r w:rsidRPr="003961EE">
        <w:rPr>
          <w:rFonts w:ascii="Times New Roman" w:hAnsi="Times New Roman" w:cs="Times New Roman"/>
          <w:sz w:val="24"/>
          <w:szCs w:val="24"/>
        </w:rPr>
        <w:t>the extent to which LTE coverage is not available, as well as the extent to which LTE coverage currently is provided only with universal service support.  For example, Table 3</w:t>
      </w:r>
      <w:r w:rsidR="00156B8B">
        <w:rPr>
          <w:rFonts w:ascii="Times New Roman" w:hAnsi="Times New Roman" w:cs="Times New Roman"/>
          <w:sz w:val="24"/>
          <w:szCs w:val="24"/>
        </w:rPr>
        <w:t>-ii</w:t>
      </w:r>
      <w:r w:rsidRPr="003961EE">
        <w:rPr>
          <w:rFonts w:ascii="Times New Roman" w:hAnsi="Times New Roman" w:cs="Times New Roman"/>
          <w:sz w:val="24"/>
          <w:szCs w:val="24"/>
        </w:rPr>
        <w:t xml:space="preserve"> sho</w:t>
      </w:r>
      <w:r>
        <w:rPr>
          <w:rFonts w:ascii="Times New Roman" w:hAnsi="Times New Roman" w:cs="Times New Roman"/>
          <w:sz w:val="24"/>
          <w:szCs w:val="24"/>
        </w:rPr>
        <w:t>ws that of the approximately 3.</w:t>
      </w:r>
      <w:r w:rsidR="00E470EB">
        <w:rPr>
          <w:rFonts w:ascii="Times New Roman" w:hAnsi="Times New Roman" w:cs="Times New Roman"/>
          <w:sz w:val="24"/>
          <w:szCs w:val="24"/>
        </w:rPr>
        <w:t>1</w:t>
      </w:r>
      <w:r w:rsidRPr="003961EE">
        <w:rPr>
          <w:rFonts w:ascii="Times New Roman" w:hAnsi="Times New Roman" w:cs="Times New Roman"/>
          <w:sz w:val="24"/>
          <w:szCs w:val="24"/>
        </w:rPr>
        <w:t xml:space="preserve"> million people in areas with no LTE or only subsidized LTE, 1.4 million have no LTE</w:t>
      </w:r>
      <w:r>
        <w:rPr>
          <w:rFonts w:ascii="Times New Roman" w:hAnsi="Times New Roman" w:cs="Times New Roman"/>
          <w:sz w:val="24"/>
          <w:szCs w:val="24"/>
        </w:rPr>
        <w:t xml:space="preserve"> coverage</w:t>
      </w:r>
      <w:r w:rsidRPr="003961EE">
        <w:rPr>
          <w:rFonts w:ascii="Times New Roman" w:hAnsi="Times New Roman" w:cs="Times New Roman"/>
          <w:sz w:val="24"/>
          <w:szCs w:val="24"/>
        </w:rPr>
        <w:t xml:space="preserve">, while another </w:t>
      </w:r>
      <w:r w:rsidR="00E470EB">
        <w:rPr>
          <w:rFonts w:ascii="Times New Roman" w:hAnsi="Times New Roman" w:cs="Times New Roman"/>
          <w:sz w:val="24"/>
          <w:szCs w:val="24"/>
        </w:rPr>
        <w:t>1.7</w:t>
      </w:r>
      <w:r w:rsidRPr="003961EE">
        <w:rPr>
          <w:rFonts w:ascii="Times New Roman" w:hAnsi="Times New Roman" w:cs="Times New Roman"/>
          <w:sz w:val="24"/>
          <w:szCs w:val="24"/>
        </w:rPr>
        <w:t xml:space="preserve"> million live in areas where LTE </w:t>
      </w:r>
      <w:r>
        <w:rPr>
          <w:rFonts w:ascii="Times New Roman" w:hAnsi="Times New Roman" w:cs="Times New Roman"/>
          <w:sz w:val="24"/>
          <w:szCs w:val="24"/>
        </w:rPr>
        <w:t xml:space="preserve">coverage </w:t>
      </w:r>
      <w:r w:rsidRPr="003961EE">
        <w:rPr>
          <w:rFonts w:ascii="Times New Roman" w:hAnsi="Times New Roman" w:cs="Times New Roman"/>
          <w:sz w:val="24"/>
          <w:szCs w:val="24"/>
        </w:rPr>
        <w:t>is provided only on a subsidized basis.  Table</w:t>
      </w:r>
      <w:r>
        <w:rPr>
          <w:rFonts w:ascii="Times New Roman" w:hAnsi="Times New Roman" w:cs="Times New Roman"/>
          <w:sz w:val="24"/>
          <w:szCs w:val="24"/>
        </w:rPr>
        <w:t>s</w:t>
      </w:r>
      <w:r w:rsidRPr="003961EE">
        <w:rPr>
          <w:rFonts w:ascii="Times New Roman" w:hAnsi="Times New Roman" w:cs="Times New Roman"/>
          <w:sz w:val="24"/>
          <w:szCs w:val="24"/>
        </w:rPr>
        <w:t xml:space="preserve"> 3</w:t>
      </w:r>
      <w:r w:rsidR="00156B8B">
        <w:rPr>
          <w:rFonts w:ascii="Times New Roman" w:hAnsi="Times New Roman" w:cs="Times New Roman"/>
          <w:sz w:val="24"/>
          <w:szCs w:val="24"/>
        </w:rPr>
        <w:t>-i</w:t>
      </w:r>
      <w:r w:rsidRPr="003961EE">
        <w:rPr>
          <w:rFonts w:ascii="Times New Roman" w:hAnsi="Times New Roman" w:cs="Times New Roman"/>
          <w:sz w:val="24"/>
          <w:szCs w:val="24"/>
        </w:rPr>
        <w:t xml:space="preserve"> </w:t>
      </w:r>
      <w:r>
        <w:rPr>
          <w:rFonts w:ascii="Times New Roman" w:hAnsi="Times New Roman" w:cs="Times New Roman"/>
          <w:sz w:val="24"/>
          <w:szCs w:val="24"/>
        </w:rPr>
        <w:t>and 3</w:t>
      </w:r>
      <w:r w:rsidR="00156B8B">
        <w:rPr>
          <w:rFonts w:ascii="Times New Roman" w:hAnsi="Times New Roman" w:cs="Times New Roman"/>
          <w:sz w:val="24"/>
          <w:szCs w:val="24"/>
        </w:rPr>
        <w:t>-ii</w:t>
      </w:r>
      <w:r>
        <w:rPr>
          <w:rFonts w:ascii="Times New Roman" w:hAnsi="Times New Roman" w:cs="Times New Roman"/>
          <w:sz w:val="24"/>
          <w:szCs w:val="24"/>
        </w:rPr>
        <w:t xml:space="preserve"> similarly</w:t>
      </w:r>
      <w:r w:rsidRPr="003961EE">
        <w:rPr>
          <w:rFonts w:ascii="Times New Roman" w:hAnsi="Times New Roman" w:cs="Times New Roman"/>
          <w:sz w:val="24"/>
          <w:szCs w:val="24"/>
        </w:rPr>
        <w:t xml:space="preserve"> show that </w:t>
      </w:r>
      <w:r>
        <w:rPr>
          <w:rFonts w:ascii="Times New Roman" w:hAnsi="Times New Roman" w:cs="Times New Roman"/>
          <w:sz w:val="24"/>
          <w:szCs w:val="24"/>
        </w:rPr>
        <w:t>LTE</w:t>
      </w:r>
      <w:r w:rsidRPr="003961EE">
        <w:rPr>
          <w:rFonts w:ascii="Times New Roman" w:hAnsi="Times New Roman" w:cs="Times New Roman"/>
          <w:sz w:val="24"/>
          <w:szCs w:val="24"/>
        </w:rPr>
        <w:t xml:space="preserve"> coverage is provided only </w:t>
      </w:r>
      <w:r>
        <w:rPr>
          <w:rFonts w:ascii="Times New Roman" w:hAnsi="Times New Roman" w:cs="Times New Roman"/>
          <w:sz w:val="24"/>
          <w:szCs w:val="24"/>
        </w:rPr>
        <w:t xml:space="preserve">on a subsidized basis in a total area of </w:t>
      </w:r>
      <w:r w:rsidR="00E470EB">
        <w:rPr>
          <w:rFonts w:ascii="Times New Roman" w:hAnsi="Times New Roman" w:cs="Times New Roman"/>
          <w:sz w:val="24"/>
          <w:szCs w:val="24"/>
        </w:rPr>
        <w:t>105,000</w:t>
      </w:r>
      <w:r w:rsidRPr="003961EE">
        <w:rPr>
          <w:rFonts w:ascii="Times New Roman" w:hAnsi="Times New Roman" w:cs="Times New Roman"/>
          <w:sz w:val="24"/>
          <w:szCs w:val="24"/>
        </w:rPr>
        <w:t xml:space="preserve"> square miles, covering </w:t>
      </w:r>
      <w:r w:rsidR="005B6617">
        <w:rPr>
          <w:rFonts w:ascii="Times New Roman" w:hAnsi="Times New Roman" w:cs="Times New Roman"/>
          <w:sz w:val="24"/>
          <w:szCs w:val="24"/>
        </w:rPr>
        <w:t>approximately 200</w:t>
      </w:r>
      <w:r w:rsidR="00E470EB">
        <w:rPr>
          <w:rFonts w:ascii="Times New Roman" w:hAnsi="Times New Roman" w:cs="Times New Roman"/>
          <w:sz w:val="24"/>
          <w:szCs w:val="24"/>
        </w:rPr>
        <w:t>,000</w:t>
      </w:r>
      <w:r w:rsidRPr="003961EE">
        <w:rPr>
          <w:rFonts w:ascii="Times New Roman" w:hAnsi="Times New Roman" w:cs="Times New Roman"/>
          <w:sz w:val="24"/>
          <w:szCs w:val="24"/>
        </w:rPr>
        <w:t xml:space="preserve"> road miles</w:t>
      </w:r>
      <w:r>
        <w:rPr>
          <w:rFonts w:ascii="Times New Roman" w:hAnsi="Times New Roman" w:cs="Times New Roman"/>
          <w:sz w:val="24"/>
          <w:szCs w:val="24"/>
        </w:rPr>
        <w:t>, with the remaining uncovered area and road-miles falling in areas with no LTE coverage</w:t>
      </w:r>
      <w:r w:rsidRPr="003961EE">
        <w:rPr>
          <w:rFonts w:ascii="Times New Roman" w:hAnsi="Times New Roman" w:cs="Times New Roman"/>
          <w:sz w:val="24"/>
          <w:szCs w:val="24"/>
        </w:rPr>
        <w:t>.</w:t>
      </w:r>
      <w:r>
        <w:rPr>
          <w:rFonts w:ascii="Times New Roman" w:hAnsi="Times New Roman" w:cs="Times New Roman"/>
          <w:b/>
          <w:sz w:val="24"/>
          <w:szCs w:val="24"/>
        </w:rPr>
        <w:t xml:space="preserve"> </w:t>
      </w:r>
    </w:p>
    <w:p w14:paraId="5B056F65" w14:textId="77777777" w:rsidR="00A43FC2" w:rsidRDefault="00A43FC2" w:rsidP="00F23AB7">
      <w:pPr>
        <w:spacing w:line="259" w:lineRule="auto"/>
        <w:rPr>
          <w:rFonts w:ascii="Times New Roman" w:hAnsi="Times New Roman" w:cs="Times New Roman"/>
          <w:b/>
          <w:sz w:val="24"/>
          <w:szCs w:val="24"/>
          <w:u w:val="single"/>
        </w:rPr>
        <w:sectPr w:rsidR="00A43FC2" w:rsidSect="00A43FC2">
          <w:headerReference w:type="default" r:id="rId17"/>
          <w:pgSz w:w="12240" w:h="15840"/>
          <w:pgMar w:top="720" w:right="1008" w:bottom="720" w:left="1008" w:header="720" w:footer="720" w:gutter="0"/>
          <w:cols w:space="720"/>
          <w:docGrid w:linePitch="360"/>
        </w:sectPr>
      </w:pPr>
    </w:p>
    <w:p w14:paraId="51EB60B4" w14:textId="2D8C46F1" w:rsidR="00F125BE" w:rsidRPr="00C374CC" w:rsidRDefault="00F125BE" w:rsidP="00744C36">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Table </w:t>
      </w:r>
      <w:r w:rsidR="00F42C5F">
        <w:rPr>
          <w:rFonts w:ascii="Times New Roman" w:hAnsi="Times New Roman" w:cs="Times New Roman"/>
          <w:b/>
          <w:sz w:val="24"/>
          <w:szCs w:val="24"/>
          <w:u w:val="single"/>
        </w:rPr>
        <w:t>3</w:t>
      </w:r>
      <w:r w:rsidR="00156B8B">
        <w:rPr>
          <w:rFonts w:ascii="Times New Roman" w:hAnsi="Times New Roman" w:cs="Times New Roman"/>
          <w:b/>
          <w:sz w:val="24"/>
          <w:szCs w:val="24"/>
          <w:u w:val="single"/>
        </w:rPr>
        <w:t>-i</w:t>
      </w:r>
    </w:p>
    <w:p w14:paraId="4DE9BCBF" w14:textId="2D8DBF2C" w:rsidR="00F125BE" w:rsidRDefault="00F125BE" w:rsidP="0070553D">
      <w:pPr>
        <w:spacing w:after="0" w:line="240" w:lineRule="auto"/>
        <w:jc w:val="center"/>
        <w:rPr>
          <w:rFonts w:ascii="Times New Roman" w:hAnsi="Times New Roman" w:cs="Times New Roman"/>
          <w:b/>
          <w:sz w:val="24"/>
          <w:szCs w:val="24"/>
          <w:u w:val="single"/>
        </w:rPr>
      </w:pPr>
      <w:r w:rsidRPr="002A4C8F">
        <w:rPr>
          <w:rFonts w:ascii="Times New Roman" w:hAnsi="Times New Roman" w:cs="Times New Roman"/>
          <w:b/>
          <w:sz w:val="24"/>
          <w:szCs w:val="24"/>
          <w:u w:val="single"/>
        </w:rPr>
        <w:t>US Coverage Analysis (</w:t>
      </w:r>
      <w:r w:rsidR="00241FBF">
        <w:rPr>
          <w:rFonts w:ascii="Times New Roman" w:hAnsi="Times New Roman" w:cs="Times New Roman"/>
          <w:b/>
          <w:sz w:val="24"/>
          <w:szCs w:val="24"/>
          <w:u w:val="single"/>
        </w:rPr>
        <w:t>Excluding</w:t>
      </w:r>
      <w:r w:rsidR="00241FBF" w:rsidRPr="002A4C8F">
        <w:rPr>
          <w:rFonts w:ascii="Times New Roman" w:hAnsi="Times New Roman" w:cs="Times New Roman"/>
          <w:b/>
          <w:sz w:val="24"/>
          <w:szCs w:val="24"/>
          <w:u w:val="single"/>
        </w:rPr>
        <w:t xml:space="preserve"> </w:t>
      </w:r>
      <w:r w:rsidRPr="002A4C8F">
        <w:rPr>
          <w:rFonts w:ascii="Times New Roman" w:hAnsi="Times New Roman" w:cs="Times New Roman"/>
          <w:b/>
          <w:sz w:val="24"/>
          <w:szCs w:val="24"/>
          <w:u w:val="single"/>
        </w:rPr>
        <w:t>Alaska)</w:t>
      </w:r>
      <w:r>
        <w:rPr>
          <w:rFonts w:ascii="Times New Roman" w:hAnsi="Times New Roman" w:cs="Times New Roman"/>
          <w:b/>
          <w:sz w:val="24"/>
          <w:szCs w:val="24"/>
          <w:u w:val="single"/>
        </w:rPr>
        <w:t>:  Analysis of LTE Network Coverage and Current Universal Service Support</w:t>
      </w:r>
    </w:p>
    <w:p w14:paraId="1AFABFAF" w14:textId="77777777" w:rsidR="00F125BE" w:rsidRPr="002A4C8F" w:rsidRDefault="00F125BE" w:rsidP="00744C36">
      <w:pPr>
        <w:spacing w:after="24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Area Coverage</w:t>
      </w:r>
    </w:p>
    <w:tbl>
      <w:tblPr>
        <w:tblW w:w="14300" w:type="dxa"/>
        <w:tblLayout w:type="fixed"/>
        <w:tblLook w:val="04A0" w:firstRow="1" w:lastRow="0" w:firstColumn="1" w:lastColumn="0" w:noHBand="0" w:noVBand="1"/>
      </w:tblPr>
      <w:tblGrid>
        <w:gridCol w:w="480"/>
        <w:gridCol w:w="2840"/>
        <w:gridCol w:w="1260"/>
        <w:gridCol w:w="810"/>
        <w:gridCol w:w="1170"/>
        <w:gridCol w:w="1170"/>
        <w:gridCol w:w="1350"/>
        <w:gridCol w:w="1422"/>
        <w:gridCol w:w="1188"/>
        <w:gridCol w:w="1260"/>
        <w:gridCol w:w="1350"/>
      </w:tblGrid>
      <w:tr w:rsidR="00F125BE" w:rsidRPr="003A2898" w14:paraId="379D7A96" w14:textId="77777777" w:rsidTr="004054D4">
        <w:trPr>
          <w:trHeight w:val="885"/>
        </w:trPr>
        <w:tc>
          <w:tcPr>
            <w:tcW w:w="480" w:type="dxa"/>
            <w:tcBorders>
              <w:top w:val="double" w:sz="4" w:space="0" w:color="auto"/>
              <w:left w:val="double" w:sz="4" w:space="0" w:color="auto"/>
              <w:bottom w:val="nil"/>
            </w:tcBorders>
            <w:shd w:val="clear" w:color="auto" w:fill="auto"/>
            <w:vAlign w:val="center"/>
            <w:hideMark/>
          </w:tcPr>
          <w:p w14:paraId="10409D82" w14:textId="77777777" w:rsidR="00F125BE" w:rsidRPr="003A2898" w:rsidRDefault="00F125BE" w:rsidP="004054D4">
            <w:pPr>
              <w:spacing w:after="0" w:line="240" w:lineRule="auto"/>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 </w:t>
            </w:r>
          </w:p>
        </w:tc>
        <w:tc>
          <w:tcPr>
            <w:tcW w:w="2840" w:type="dxa"/>
            <w:tcBorders>
              <w:top w:val="double" w:sz="4" w:space="0" w:color="auto"/>
              <w:bottom w:val="nil"/>
              <w:right w:val="single" w:sz="12" w:space="0" w:color="auto"/>
            </w:tcBorders>
            <w:shd w:val="clear" w:color="auto" w:fill="auto"/>
            <w:vAlign w:val="center"/>
            <w:hideMark/>
          </w:tcPr>
          <w:p w14:paraId="19E736BB" w14:textId="77777777" w:rsidR="00F125BE" w:rsidRPr="003A2898" w:rsidRDefault="00F125BE" w:rsidP="004054D4">
            <w:pPr>
              <w:spacing w:after="0" w:line="240" w:lineRule="auto"/>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 </w:t>
            </w:r>
          </w:p>
        </w:tc>
        <w:tc>
          <w:tcPr>
            <w:tcW w:w="1260" w:type="dxa"/>
            <w:vMerge w:val="restart"/>
            <w:tcBorders>
              <w:top w:val="double" w:sz="4" w:space="0" w:color="auto"/>
              <w:left w:val="single" w:sz="12" w:space="0" w:color="auto"/>
              <w:bottom w:val="single" w:sz="4" w:space="0" w:color="auto"/>
              <w:right w:val="single" w:sz="4" w:space="0" w:color="auto"/>
            </w:tcBorders>
            <w:shd w:val="clear" w:color="000000" w:fill="E2EFDA"/>
            <w:vAlign w:val="center"/>
            <w:hideMark/>
          </w:tcPr>
          <w:p w14:paraId="562B67BE" w14:textId="77777777" w:rsidR="00F125BE" w:rsidRPr="003A2898" w:rsidRDefault="00F125BE" w:rsidP="004054D4">
            <w:pPr>
              <w:spacing w:after="0" w:line="240" w:lineRule="auto"/>
              <w:jc w:val="center"/>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Blocks</w:t>
            </w:r>
          </w:p>
        </w:tc>
        <w:tc>
          <w:tcPr>
            <w:tcW w:w="810" w:type="dxa"/>
            <w:vMerge w:val="restart"/>
            <w:tcBorders>
              <w:top w:val="double" w:sz="4" w:space="0" w:color="auto"/>
              <w:left w:val="single" w:sz="4" w:space="0" w:color="auto"/>
              <w:bottom w:val="single" w:sz="4" w:space="0" w:color="auto"/>
              <w:right w:val="single" w:sz="4" w:space="0" w:color="auto"/>
            </w:tcBorders>
            <w:shd w:val="clear" w:color="000000" w:fill="E2EFDA"/>
            <w:vAlign w:val="center"/>
            <w:hideMark/>
          </w:tcPr>
          <w:p w14:paraId="5A37CC9F" w14:textId="77777777" w:rsidR="00F125BE" w:rsidRPr="003A2898" w:rsidRDefault="00F125BE" w:rsidP="004054D4">
            <w:pPr>
              <w:spacing w:after="0" w:line="240" w:lineRule="auto"/>
              <w:jc w:val="center"/>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Pop. Den.</w:t>
            </w:r>
          </w:p>
        </w:tc>
        <w:tc>
          <w:tcPr>
            <w:tcW w:w="1170" w:type="dxa"/>
            <w:vMerge w:val="restart"/>
            <w:tcBorders>
              <w:top w:val="double" w:sz="4" w:space="0" w:color="auto"/>
              <w:left w:val="single" w:sz="4" w:space="0" w:color="auto"/>
              <w:bottom w:val="single" w:sz="4" w:space="0" w:color="auto"/>
              <w:right w:val="single" w:sz="4" w:space="0" w:color="auto"/>
            </w:tcBorders>
            <w:shd w:val="clear" w:color="000000" w:fill="E2EFDA"/>
            <w:vAlign w:val="center"/>
            <w:hideMark/>
          </w:tcPr>
          <w:p w14:paraId="29B1DF7B" w14:textId="40D8A90D" w:rsidR="00F125BE" w:rsidRPr="003A2898" w:rsidRDefault="00F125BE" w:rsidP="00D42D11">
            <w:pPr>
              <w:spacing w:after="0" w:line="240" w:lineRule="auto"/>
              <w:jc w:val="center"/>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Area</w:t>
            </w:r>
            <w:r w:rsidR="00D42D11">
              <w:rPr>
                <w:rFonts w:ascii="Times New Roman" w:eastAsia="Times New Roman" w:hAnsi="Times New Roman" w:cs="Times New Roman"/>
                <w:color w:val="000000"/>
                <w:sz w:val="22"/>
                <w:szCs w:val="22"/>
              </w:rPr>
              <w:br/>
            </w:r>
            <w:r w:rsidRPr="003A2898">
              <w:rPr>
                <w:rFonts w:ascii="Times New Roman" w:eastAsia="Times New Roman" w:hAnsi="Times New Roman" w:cs="Times New Roman"/>
                <w:color w:val="000000"/>
                <w:sz w:val="22"/>
                <w:szCs w:val="22"/>
              </w:rPr>
              <w:t>(sq mi)</w:t>
            </w:r>
          </w:p>
        </w:tc>
        <w:tc>
          <w:tcPr>
            <w:tcW w:w="1170" w:type="dxa"/>
            <w:vMerge w:val="restart"/>
            <w:tcBorders>
              <w:top w:val="double" w:sz="4" w:space="0" w:color="auto"/>
              <w:left w:val="single" w:sz="4" w:space="0" w:color="auto"/>
              <w:bottom w:val="single" w:sz="4" w:space="0" w:color="auto"/>
              <w:right w:val="single" w:sz="4" w:space="0" w:color="auto"/>
            </w:tcBorders>
            <w:shd w:val="clear" w:color="000000" w:fill="E2EFDA"/>
            <w:vAlign w:val="center"/>
            <w:hideMark/>
          </w:tcPr>
          <w:p w14:paraId="27D744DB" w14:textId="3B1C2F1D" w:rsidR="00F125BE" w:rsidRPr="003A2898" w:rsidRDefault="00F125BE" w:rsidP="007F13A4">
            <w:pPr>
              <w:spacing w:after="0" w:line="240" w:lineRule="auto"/>
              <w:jc w:val="center"/>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Road</w:t>
            </w:r>
            <w:r w:rsidR="007F13A4">
              <w:rPr>
                <w:rFonts w:ascii="Times New Roman" w:eastAsia="Times New Roman" w:hAnsi="Times New Roman" w:cs="Times New Roman"/>
                <w:color w:val="000000"/>
                <w:sz w:val="22"/>
                <w:szCs w:val="22"/>
              </w:rPr>
              <w:t xml:space="preserve"> M</w:t>
            </w:r>
            <w:r w:rsidRPr="003A2898">
              <w:rPr>
                <w:rFonts w:ascii="Times New Roman" w:eastAsia="Times New Roman" w:hAnsi="Times New Roman" w:cs="Times New Roman"/>
                <w:color w:val="000000"/>
                <w:sz w:val="22"/>
                <w:szCs w:val="22"/>
              </w:rPr>
              <w:t>iles</w:t>
            </w:r>
          </w:p>
        </w:tc>
        <w:tc>
          <w:tcPr>
            <w:tcW w:w="1350" w:type="dxa"/>
            <w:vMerge w:val="restart"/>
            <w:tcBorders>
              <w:top w:val="double" w:sz="4" w:space="0" w:color="auto"/>
              <w:left w:val="single" w:sz="4" w:space="0" w:color="auto"/>
              <w:bottom w:val="single" w:sz="4" w:space="0" w:color="auto"/>
              <w:right w:val="single" w:sz="12" w:space="0" w:color="auto"/>
            </w:tcBorders>
            <w:shd w:val="clear" w:color="000000" w:fill="E2EFDA"/>
            <w:vAlign w:val="center"/>
            <w:hideMark/>
          </w:tcPr>
          <w:p w14:paraId="087950DE" w14:textId="77777777" w:rsidR="00F125BE" w:rsidRPr="003A2898" w:rsidRDefault="00F125BE" w:rsidP="004054D4">
            <w:pPr>
              <w:spacing w:after="0" w:line="240" w:lineRule="auto"/>
              <w:jc w:val="center"/>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Population</w:t>
            </w:r>
          </w:p>
        </w:tc>
        <w:tc>
          <w:tcPr>
            <w:tcW w:w="1422" w:type="dxa"/>
            <w:vMerge w:val="restart"/>
            <w:tcBorders>
              <w:top w:val="double" w:sz="4" w:space="0" w:color="auto"/>
              <w:left w:val="single" w:sz="12" w:space="0" w:color="auto"/>
              <w:bottom w:val="single" w:sz="4" w:space="0" w:color="auto"/>
              <w:right w:val="single" w:sz="4" w:space="0" w:color="auto"/>
            </w:tcBorders>
            <w:shd w:val="clear" w:color="000000" w:fill="E2EFDA"/>
            <w:vAlign w:val="center"/>
            <w:hideMark/>
          </w:tcPr>
          <w:p w14:paraId="311FF6D1" w14:textId="77777777" w:rsidR="00F125BE" w:rsidRPr="003A2898" w:rsidRDefault="00F125BE" w:rsidP="004054D4">
            <w:pPr>
              <w:spacing w:after="0" w:line="240" w:lineRule="auto"/>
              <w:jc w:val="center"/>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Area with Unsubsi-dized LTE Coverage</w:t>
            </w:r>
          </w:p>
        </w:tc>
        <w:tc>
          <w:tcPr>
            <w:tcW w:w="1188" w:type="dxa"/>
            <w:vMerge w:val="restart"/>
            <w:tcBorders>
              <w:top w:val="double" w:sz="4" w:space="0" w:color="auto"/>
              <w:left w:val="single" w:sz="4" w:space="0" w:color="auto"/>
              <w:bottom w:val="single" w:sz="4" w:space="0" w:color="auto"/>
              <w:right w:val="single" w:sz="4" w:space="0" w:color="auto"/>
            </w:tcBorders>
            <w:shd w:val="clear" w:color="000000" w:fill="E2EFDA"/>
            <w:vAlign w:val="center"/>
            <w:hideMark/>
          </w:tcPr>
          <w:p w14:paraId="324C832C" w14:textId="77777777" w:rsidR="00F125BE" w:rsidRPr="003A2898" w:rsidRDefault="00F125BE" w:rsidP="004054D4">
            <w:pPr>
              <w:spacing w:after="0" w:line="240" w:lineRule="auto"/>
              <w:jc w:val="center"/>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Area with No LTE Coverage</w:t>
            </w:r>
          </w:p>
        </w:tc>
        <w:tc>
          <w:tcPr>
            <w:tcW w:w="1260" w:type="dxa"/>
            <w:vMerge w:val="restart"/>
            <w:tcBorders>
              <w:top w:val="double" w:sz="4" w:space="0" w:color="auto"/>
              <w:left w:val="single" w:sz="4" w:space="0" w:color="auto"/>
              <w:bottom w:val="single" w:sz="4" w:space="0" w:color="auto"/>
              <w:right w:val="single" w:sz="4" w:space="0" w:color="auto"/>
            </w:tcBorders>
            <w:shd w:val="clear" w:color="000000" w:fill="E2EFDA"/>
            <w:vAlign w:val="center"/>
            <w:hideMark/>
          </w:tcPr>
          <w:p w14:paraId="3C510142" w14:textId="77777777" w:rsidR="00F125BE" w:rsidRPr="003A2898" w:rsidRDefault="00F125BE" w:rsidP="004054D4">
            <w:pPr>
              <w:spacing w:after="0" w:line="240" w:lineRule="auto"/>
              <w:jc w:val="center"/>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Area with Only Subsidized LTE</w:t>
            </w:r>
          </w:p>
        </w:tc>
        <w:tc>
          <w:tcPr>
            <w:tcW w:w="1350" w:type="dxa"/>
            <w:vMerge w:val="restart"/>
            <w:tcBorders>
              <w:top w:val="double" w:sz="4" w:space="0" w:color="auto"/>
              <w:left w:val="single" w:sz="4" w:space="0" w:color="auto"/>
              <w:bottom w:val="single" w:sz="4" w:space="0" w:color="auto"/>
              <w:right w:val="double" w:sz="4" w:space="0" w:color="auto"/>
            </w:tcBorders>
            <w:shd w:val="clear" w:color="000000" w:fill="E2EFDA"/>
            <w:vAlign w:val="center"/>
            <w:hideMark/>
          </w:tcPr>
          <w:p w14:paraId="0AAA0564" w14:textId="77777777" w:rsidR="00F125BE" w:rsidRPr="003A2898" w:rsidRDefault="00F125BE" w:rsidP="004054D4">
            <w:pPr>
              <w:spacing w:after="0" w:line="240" w:lineRule="auto"/>
              <w:jc w:val="center"/>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Totals - Areas with No LTE or Only Subsidized LTE Coverage</w:t>
            </w:r>
          </w:p>
        </w:tc>
      </w:tr>
      <w:tr w:rsidR="00F125BE" w:rsidRPr="003A2898" w14:paraId="0E4BD9AF" w14:textId="77777777" w:rsidTr="004054D4">
        <w:trPr>
          <w:trHeight w:val="601"/>
        </w:trPr>
        <w:tc>
          <w:tcPr>
            <w:tcW w:w="480" w:type="dxa"/>
            <w:tcBorders>
              <w:top w:val="nil"/>
              <w:left w:val="double" w:sz="4" w:space="0" w:color="auto"/>
              <w:bottom w:val="single" w:sz="12" w:space="0" w:color="auto"/>
            </w:tcBorders>
            <w:shd w:val="clear" w:color="auto" w:fill="auto"/>
            <w:vAlign w:val="center"/>
            <w:hideMark/>
          </w:tcPr>
          <w:p w14:paraId="2F749B3E" w14:textId="77777777" w:rsidR="00F125BE" w:rsidRPr="003A2898" w:rsidRDefault="00F125BE" w:rsidP="004054D4">
            <w:pPr>
              <w:spacing w:after="0" w:line="240" w:lineRule="auto"/>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 </w:t>
            </w:r>
          </w:p>
        </w:tc>
        <w:tc>
          <w:tcPr>
            <w:tcW w:w="2840" w:type="dxa"/>
            <w:tcBorders>
              <w:top w:val="nil"/>
              <w:bottom w:val="single" w:sz="12" w:space="0" w:color="auto"/>
              <w:right w:val="single" w:sz="12" w:space="0" w:color="auto"/>
            </w:tcBorders>
            <w:shd w:val="clear" w:color="auto" w:fill="auto"/>
            <w:vAlign w:val="center"/>
            <w:hideMark/>
          </w:tcPr>
          <w:p w14:paraId="27746FB1" w14:textId="77777777" w:rsidR="00F125BE" w:rsidRPr="003A2898" w:rsidRDefault="00F125BE" w:rsidP="004054D4">
            <w:pPr>
              <w:spacing w:after="0" w:line="240" w:lineRule="auto"/>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 </w:t>
            </w:r>
          </w:p>
        </w:tc>
        <w:tc>
          <w:tcPr>
            <w:tcW w:w="1260" w:type="dxa"/>
            <w:vMerge/>
            <w:tcBorders>
              <w:top w:val="single" w:sz="8" w:space="0" w:color="auto"/>
              <w:left w:val="single" w:sz="12" w:space="0" w:color="auto"/>
              <w:bottom w:val="single" w:sz="12" w:space="0" w:color="auto"/>
              <w:right w:val="single" w:sz="4" w:space="0" w:color="auto"/>
            </w:tcBorders>
            <w:vAlign w:val="center"/>
            <w:hideMark/>
          </w:tcPr>
          <w:p w14:paraId="38EDAECB" w14:textId="77777777" w:rsidR="00F125BE" w:rsidRPr="003A2898" w:rsidRDefault="00F125BE" w:rsidP="004054D4">
            <w:pPr>
              <w:spacing w:after="0" w:line="240" w:lineRule="auto"/>
              <w:rPr>
                <w:rFonts w:ascii="Times New Roman" w:eastAsia="Times New Roman" w:hAnsi="Times New Roman" w:cs="Times New Roman"/>
                <w:color w:val="000000"/>
                <w:sz w:val="22"/>
                <w:szCs w:val="22"/>
              </w:rPr>
            </w:pPr>
          </w:p>
        </w:tc>
        <w:tc>
          <w:tcPr>
            <w:tcW w:w="810" w:type="dxa"/>
            <w:vMerge/>
            <w:tcBorders>
              <w:top w:val="single" w:sz="8" w:space="0" w:color="auto"/>
              <w:left w:val="single" w:sz="4" w:space="0" w:color="auto"/>
              <w:bottom w:val="single" w:sz="12" w:space="0" w:color="auto"/>
              <w:right w:val="single" w:sz="4" w:space="0" w:color="auto"/>
            </w:tcBorders>
            <w:vAlign w:val="center"/>
            <w:hideMark/>
          </w:tcPr>
          <w:p w14:paraId="11578541" w14:textId="77777777" w:rsidR="00F125BE" w:rsidRPr="003A2898" w:rsidRDefault="00F125BE" w:rsidP="004054D4">
            <w:pPr>
              <w:spacing w:after="0" w:line="240" w:lineRule="auto"/>
              <w:rPr>
                <w:rFonts w:ascii="Times New Roman" w:eastAsia="Times New Roman" w:hAnsi="Times New Roman" w:cs="Times New Roman"/>
                <w:color w:val="000000"/>
                <w:sz w:val="22"/>
                <w:szCs w:val="22"/>
              </w:rPr>
            </w:pPr>
          </w:p>
        </w:tc>
        <w:tc>
          <w:tcPr>
            <w:tcW w:w="1170" w:type="dxa"/>
            <w:vMerge/>
            <w:tcBorders>
              <w:top w:val="single" w:sz="8" w:space="0" w:color="auto"/>
              <w:left w:val="single" w:sz="4" w:space="0" w:color="auto"/>
              <w:bottom w:val="single" w:sz="12" w:space="0" w:color="auto"/>
              <w:right w:val="single" w:sz="4" w:space="0" w:color="auto"/>
            </w:tcBorders>
            <w:vAlign w:val="center"/>
            <w:hideMark/>
          </w:tcPr>
          <w:p w14:paraId="659FCA7B" w14:textId="77777777" w:rsidR="00F125BE" w:rsidRPr="003A2898" w:rsidRDefault="00F125BE" w:rsidP="004054D4">
            <w:pPr>
              <w:spacing w:after="0" w:line="240" w:lineRule="auto"/>
              <w:rPr>
                <w:rFonts w:ascii="Times New Roman" w:eastAsia="Times New Roman" w:hAnsi="Times New Roman" w:cs="Times New Roman"/>
                <w:color w:val="000000"/>
                <w:sz w:val="22"/>
                <w:szCs w:val="22"/>
              </w:rPr>
            </w:pPr>
          </w:p>
        </w:tc>
        <w:tc>
          <w:tcPr>
            <w:tcW w:w="1170" w:type="dxa"/>
            <w:vMerge/>
            <w:tcBorders>
              <w:top w:val="single" w:sz="8" w:space="0" w:color="auto"/>
              <w:left w:val="single" w:sz="4" w:space="0" w:color="auto"/>
              <w:bottom w:val="single" w:sz="12" w:space="0" w:color="auto"/>
              <w:right w:val="single" w:sz="4" w:space="0" w:color="auto"/>
            </w:tcBorders>
            <w:vAlign w:val="center"/>
            <w:hideMark/>
          </w:tcPr>
          <w:p w14:paraId="3E27AF8B" w14:textId="77777777" w:rsidR="00F125BE" w:rsidRPr="003A2898" w:rsidRDefault="00F125BE" w:rsidP="004054D4">
            <w:pPr>
              <w:spacing w:after="0" w:line="240" w:lineRule="auto"/>
              <w:rPr>
                <w:rFonts w:ascii="Times New Roman" w:eastAsia="Times New Roman" w:hAnsi="Times New Roman" w:cs="Times New Roman"/>
                <w:color w:val="000000"/>
                <w:sz w:val="22"/>
                <w:szCs w:val="22"/>
              </w:rPr>
            </w:pPr>
          </w:p>
        </w:tc>
        <w:tc>
          <w:tcPr>
            <w:tcW w:w="1350" w:type="dxa"/>
            <w:vMerge/>
            <w:tcBorders>
              <w:top w:val="single" w:sz="8" w:space="0" w:color="auto"/>
              <w:left w:val="single" w:sz="4" w:space="0" w:color="auto"/>
              <w:bottom w:val="single" w:sz="12" w:space="0" w:color="auto"/>
              <w:right w:val="single" w:sz="12" w:space="0" w:color="auto"/>
            </w:tcBorders>
            <w:vAlign w:val="center"/>
            <w:hideMark/>
          </w:tcPr>
          <w:p w14:paraId="13863FB1" w14:textId="77777777" w:rsidR="00F125BE" w:rsidRPr="003A2898" w:rsidRDefault="00F125BE" w:rsidP="004054D4">
            <w:pPr>
              <w:spacing w:after="0" w:line="240" w:lineRule="auto"/>
              <w:rPr>
                <w:rFonts w:ascii="Times New Roman" w:eastAsia="Times New Roman" w:hAnsi="Times New Roman" w:cs="Times New Roman"/>
                <w:color w:val="000000"/>
                <w:sz w:val="22"/>
                <w:szCs w:val="22"/>
              </w:rPr>
            </w:pPr>
          </w:p>
        </w:tc>
        <w:tc>
          <w:tcPr>
            <w:tcW w:w="1422" w:type="dxa"/>
            <w:vMerge/>
            <w:tcBorders>
              <w:top w:val="single" w:sz="8" w:space="0" w:color="auto"/>
              <w:left w:val="single" w:sz="12" w:space="0" w:color="auto"/>
              <w:bottom w:val="single" w:sz="12" w:space="0" w:color="auto"/>
              <w:right w:val="single" w:sz="4" w:space="0" w:color="auto"/>
            </w:tcBorders>
            <w:vAlign w:val="center"/>
            <w:hideMark/>
          </w:tcPr>
          <w:p w14:paraId="204614C3" w14:textId="77777777" w:rsidR="00F125BE" w:rsidRPr="003A2898" w:rsidRDefault="00F125BE" w:rsidP="004054D4">
            <w:pPr>
              <w:spacing w:after="0" w:line="240" w:lineRule="auto"/>
              <w:rPr>
                <w:rFonts w:ascii="Times New Roman" w:eastAsia="Times New Roman" w:hAnsi="Times New Roman" w:cs="Times New Roman"/>
                <w:color w:val="000000"/>
                <w:sz w:val="22"/>
                <w:szCs w:val="22"/>
              </w:rPr>
            </w:pPr>
          </w:p>
        </w:tc>
        <w:tc>
          <w:tcPr>
            <w:tcW w:w="1188" w:type="dxa"/>
            <w:vMerge/>
            <w:tcBorders>
              <w:top w:val="single" w:sz="8" w:space="0" w:color="auto"/>
              <w:left w:val="single" w:sz="4" w:space="0" w:color="auto"/>
              <w:bottom w:val="single" w:sz="12" w:space="0" w:color="auto"/>
              <w:right w:val="single" w:sz="4" w:space="0" w:color="auto"/>
            </w:tcBorders>
            <w:vAlign w:val="center"/>
            <w:hideMark/>
          </w:tcPr>
          <w:p w14:paraId="3B973DCE" w14:textId="77777777" w:rsidR="00F125BE" w:rsidRPr="003A2898" w:rsidRDefault="00F125BE" w:rsidP="004054D4">
            <w:pPr>
              <w:spacing w:after="0" w:line="240" w:lineRule="auto"/>
              <w:rPr>
                <w:rFonts w:ascii="Times New Roman" w:eastAsia="Times New Roman" w:hAnsi="Times New Roman" w:cs="Times New Roman"/>
                <w:color w:val="000000"/>
                <w:sz w:val="22"/>
                <w:szCs w:val="22"/>
              </w:rPr>
            </w:pPr>
          </w:p>
        </w:tc>
        <w:tc>
          <w:tcPr>
            <w:tcW w:w="1260" w:type="dxa"/>
            <w:vMerge/>
            <w:tcBorders>
              <w:top w:val="single" w:sz="8" w:space="0" w:color="auto"/>
              <w:left w:val="single" w:sz="4" w:space="0" w:color="auto"/>
              <w:bottom w:val="single" w:sz="12" w:space="0" w:color="auto"/>
              <w:right w:val="single" w:sz="4" w:space="0" w:color="auto"/>
            </w:tcBorders>
            <w:vAlign w:val="center"/>
            <w:hideMark/>
          </w:tcPr>
          <w:p w14:paraId="342ACDD2" w14:textId="77777777" w:rsidR="00F125BE" w:rsidRPr="003A2898" w:rsidRDefault="00F125BE" w:rsidP="004054D4">
            <w:pPr>
              <w:spacing w:after="0" w:line="240" w:lineRule="auto"/>
              <w:rPr>
                <w:rFonts w:ascii="Times New Roman" w:eastAsia="Times New Roman" w:hAnsi="Times New Roman" w:cs="Times New Roman"/>
                <w:color w:val="000000"/>
                <w:sz w:val="22"/>
                <w:szCs w:val="22"/>
              </w:rPr>
            </w:pPr>
          </w:p>
        </w:tc>
        <w:tc>
          <w:tcPr>
            <w:tcW w:w="1350" w:type="dxa"/>
            <w:vMerge/>
            <w:tcBorders>
              <w:top w:val="single" w:sz="8" w:space="0" w:color="auto"/>
              <w:left w:val="single" w:sz="4" w:space="0" w:color="auto"/>
              <w:bottom w:val="single" w:sz="12" w:space="0" w:color="auto"/>
              <w:right w:val="double" w:sz="4" w:space="0" w:color="auto"/>
            </w:tcBorders>
            <w:vAlign w:val="center"/>
            <w:hideMark/>
          </w:tcPr>
          <w:p w14:paraId="6926BDCA" w14:textId="77777777" w:rsidR="00F125BE" w:rsidRPr="003A2898" w:rsidRDefault="00F125BE" w:rsidP="004054D4">
            <w:pPr>
              <w:spacing w:after="0" w:line="240" w:lineRule="auto"/>
              <w:rPr>
                <w:rFonts w:ascii="Times New Roman" w:eastAsia="Times New Roman" w:hAnsi="Times New Roman" w:cs="Times New Roman"/>
                <w:color w:val="000000"/>
                <w:sz w:val="22"/>
                <w:szCs w:val="22"/>
              </w:rPr>
            </w:pPr>
          </w:p>
        </w:tc>
      </w:tr>
      <w:tr w:rsidR="00F125BE" w:rsidRPr="003A2898" w14:paraId="6712B183" w14:textId="77777777" w:rsidTr="004054D4">
        <w:trPr>
          <w:trHeight w:val="315"/>
        </w:trPr>
        <w:tc>
          <w:tcPr>
            <w:tcW w:w="3320" w:type="dxa"/>
            <w:gridSpan w:val="2"/>
            <w:tcBorders>
              <w:top w:val="single" w:sz="12" w:space="0" w:color="auto"/>
              <w:left w:val="double" w:sz="4" w:space="0" w:color="auto"/>
              <w:bottom w:val="single" w:sz="12" w:space="0" w:color="auto"/>
              <w:right w:val="single" w:sz="12" w:space="0" w:color="auto"/>
            </w:tcBorders>
            <w:shd w:val="clear" w:color="000000" w:fill="C6E0B4"/>
            <w:vAlign w:val="center"/>
            <w:hideMark/>
          </w:tcPr>
          <w:p w14:paraId="0EEAC640" w14:textId="2AF2AC80" w:rsidR="00F125BE" w:rsidRPr="003A2898" w:rsidRDefault="00F125BE" w:rsidP="004054D4">
            <w:pPr>
              <w:spacing w:after="0" w:line="240" w:lineRule="auto"/>
              <w:rPr>
                <w:rFonts w:ascii="Times New Roman" w:eastAsia="Times New Roman" w:hAnsi="Times New Roman" w:cs="Times New Roman"/>
                <w:color w:val="000000"/>
                <w:sz w:val="22"/>
                <w:szCs w:val="22"/>
              </w:rPr>
            </w:pPr>
          </w:p>
        </w:tc>
        <w:tc>
          <w:tcPr>
            <w:tcW w:w="126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5FC43727" w14:textId="77777777" w:rsidR="00F125BE" w:rsidRPr="003A2898" w:rsidRDefault="00F125BE" w:rsidP="004054D4">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10,592,327</w:t>
            </w: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14:paraId="0584ABF6" w14:textId="77777777" w:rsidR="00F125BE" w:rsidRPr="003A2898" w:rsidRDefault="00F125BE" w:rsidP="004054D4">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105</w:t>
            </w:r>
          </w:p>
        </w:tc>
        <w:tc>
          <w:tcPr>
            <w:tcW w:w="1170" w:type="dxa"/>
            <w:tcBorders>
              <w:top w:val="single" w:sz="12" w:space="0" w:color="auto"/>
              <w:left w:val="nil"/>
              <w:bottom w:val="single" w:sz="12" w:space="0" w:color="auto"/>
              <w:right w:val="single" w:sz="4" w:space="0" w:color="auto"/>
            </w:tcBorders>
            <w:shd w:val="clear" w:color="auto" w:fill="auto"/>
            <w:noWrap/>
            <w:vAlign w:val="center"/>
            <w:hideMark/>
          </w:tcPr>
          <w:p w14:paraId="4DC5B935" w14:textId="77777777" w:rsidR="00F125BE" w:rsidRPr="003A2898" w:rsidRDefault="00F125BE" w:rsidP="004054D4">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2,965,291</w:t>
            </w:r>
          </w:p>
        </w:tc>
        <w:tc>
          <w:tcPr>
            <w:tcW w:w="1170" w:type="dxa"/>
            <w:tcBorders>
              <w:top w:val="single" w:sz="12" w:space="0" w:color="auto"/>
              <w:left w:val="nil"/>
              <w:bottom w:val="single" w:sz="12" w:space="0" w:color="auto"/>
              <w:right w:val="single" w:sz="4" w:space="0" w:color="auto"/>
            </w:tcBorders>
            <w:shd w:val="clear" w:color="auto" w:fill="auto"/>
            <w:noWrap/>
            <w:vAlign w:val="center"/>
            <w:hideMark/>
          </w:tcPr>
          <w:p w14:paraId="355F12FA" w14:textId="77777777" w:rsidR="00F125BE" w:rsidRPr="003A2898" w:rsidRDefault="00F125BE" w:rsidP="004054D4">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6,792,106</w:t>
            </w:r>
          </w:p>
        </w:tc>
        <w:tc>
          <w:tcPr>
            <w:tcW w:w="1350" w:type="dxa"/>
            <w:tcBorders>
              <w:top w:val="single" w:sz="12" w:space="0" w:color="auto"/>
              <w:left w:val="nil"/>
              <w:bottom w:val="single" w:sz="12" w:space="0" w:color="auto"/>
              <w:right w:val="single" w:sz="12" w:space="0" w:color="auto"/>
            </w:tcBorders>
            <w:shd w:val="clear" w:color="auto" w:fill="auto"/>
            <w:noWrap/>
            <w:vAlign w:val="center"/>
            <w:hideMark/>
          </w:tcPr>
          <w:p w14:paraId="1B67C9CE" w14:textId="77777777" w:rsidR="00F125BE" w:rsidRPr="003A2898" w:rsidRDefault="00F125BE" w:rsidP="004054D4">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312,136,261</w:t>
            </w:r>
          </w:p>
        </w:tc>
        <w:tc>
          <w:tcPr>
            <w:tcW w:w="1422"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77B59429" w14:textId="77777777" w:rsidR="00F125BE" w:rsidRPr="003A2898" w:rsidRDefault="00F125BE" w:rsidP="004054D4">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2,114,150</w:t>
            </w:r>
          </w:p>
        </w:tc>
        <w:tc>
          <w:tcPr>
            <w:tcW w:w="1188" w:type="dxa"/>
            <w:tcBorders>
              <w:top w:val="single" w:sz="12" w:space="0" w:color="auto"/>
              <w:left w:val="nil"/>
              <w:bottom w:val="single" w:sz="12" w:space="0" w:color="auto"/>
              <w:right w:val="single" w:sz="4" w:space="0" w:color="auto"/>
            </w:tcBorders>
            <w:shd w:val="clear" w:color="auto" w:fill="auto"/>
            <w:noWrap/>
            <w:vAlign w:val="center"/>
            <w:hideMark/>
          </w:tcPr>
          <w:p w14:paraId="0C01EF2B" w14:textId="77777777" w:rsidR="00F125BE" w:rsidRPr="003A2898" w:rsidRDefault="00F125BE" w:rsidP="004054D4">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469,470</w:t>
            </w:r>
          </w:p>
        </w:tc>
        <w:tc>
          <w:tcPr>
            <w:tcW w:w="1260" w:type="dxa"/>
            <w:tcBorders>
              <w:top w:val="single" w:sz="12" w:space="0" w:color="auto"/>
              <w:left w:val="nil"/>
              <w:bottom w:val="single" w:sz="12" w:space="0" w:color="auto"/>
              <w:right w:val="single" w:sz="4" w:space="0" w:color="auto"/>
            </w:tcBorders>
            <w:shd w:val="clear" w:color="auto" w:fill="auto"/>
            <w:noWrap/>
            <w:vAlign w:val="center"/>
            <w:hideMark/>
          </w:tcPr>
          <w:p w14:paraId="41410B47" w14:textId="2CAEA79C" w:rsidR="00F125BE" w:rsidRPr="003A2898" w:rsidRDefault="0071400C" w:rsidP="004054D4">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104,595</w:t>
            </w:r>
          </w:p>
        </w:tc>
        <w:tc>
          <w:tcPr>
            <w:tcW w:w="1350" w:type="dxa"/>
            <w:tcBorders>
              <w:top w:val="single" w:sz="12" w:space="0" w:color="auto"/>
              <w:left w:val="nil"/>
              <w:bottom w:val="single" w:sz="12" w:space="0" w:color="auto"/>
              <w:right w:val="double" w:sz="4" w:space="0" w:color="auto"/>
            </w:tcBorders>
            <w:shd w:val="clear" w:color="000000" w:fill="DDEBF7"/>
            <w:noWrap/>
            <w:vAlign w:val="center"/>
            <w:hideMark/>
          </w:tcPr>
          <w:p w14:paraId="775A87A5" w14:textId="3AD07A26" w:rsidR="00F125BE" w:rsidRPr="003A2898" w:rsidRDefault="00F125BE" w:rsidP="004054D4">
            <w:pPr>
              <w:spacing w:after="0" w:line="240" w:lineRule="auto"/>
              <w:jc w:val="right"/>
              <w:rPr>
                <w:rFonts w:ascii="Times New Roman" w:eastAsia="Times New Roman" w:hAnsi="Times New Roman" w:cs="Times New Roman"/>
                <w:color w:val="000000"/>
                <w:sz w:val="22"/>
                <w:szCs w:val="22"/>
              </w:rPr>
            </w:pPr>
          </w:p>
        </w:tc>
      </w:tr>
      <w:tr w:rsidR="00F125BE" w:rsidRPr="003A2898" w14:paraId="0BAE4074" w14:textId="77777777" w:rsidTr="004054D4">
        <w:trPr>
          <w:trHeight w:val="300"/>
        </w:trPr>
        <w:tc>
          <w:tcPr>
            <w:tcW w:w="3320" w:type="dxa"/>
            <w:gridSpan w:val="2"/>
            <w:vMerge w:val="restart"/>
            <w:tcBorders>
              <w:top w:val="single" w:sz="12" w:space="0" w:color="auto"/>
              <w:left w:val="double" w:sz="4" w:space="0" w:color="auto"/>
              <w:bottom w:val="single" w:sz="8" w:space="0" w:color="000000"/>
              <w:right w:val="single" w:sz="12" w:space="0" w:color="auto"/>
            </w:tcBorders>
            <w:shd w:val="clear" w:color="000000" w:fill="E2EFDA"/>
            <w:vAlign w:val="center"/>
            <w:hideMark/>
          </w:tcPr>
          <w:p w14:paraId="5330D012" w14:textId="6DC65033" w:rsidR="00F125BE" w:rsidRPr="003A2898" w:rsidRDefault="00F125BE" w:rsidP="00AC0135">
            <w:pPr>
              <w:spacing w:after="0" w:line="240" w:lineRule="auto"/>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 xml:space="preserve">Blocks WITH </w:t>
            </w:r>
            <w:r w:rsidR="009D282D">
              <w:rPr>
                <w:rFonts w:ascii="Times New Roman" w:eastAsia="Times New Roman" w:hAnsi="Times New Roman" w:cs="Times New Roman"/>
                <w:color w:val="000000"/>
                <w:sz w:val="22"/>
                <w:szCs w:val="22"/>
              </w:rPr>
              <w:t>Complete LTE Coverage and No S</w:t>
            </w:r>
            <w:r w:rsidRPr="003A2898">
              <w:rPr>
                <w:rFonts w:ascii="Times New Roman" w:eastAsia="Times New Roman" w:hAnsi="Times New Roman" w:cs="Times New Roman"/>
                <w:color w:val="000000"/>
                <w:sz w:val="22"/>
                <w:szCs w:val="22"/>
              </w:rPr>
              <w:t xml:space="preserve">ubsidized </w:t>
            </w:r>
            <w:r w:rsidR="006D6617">
              <w:rPr>
                <w:rFonts w:ascii="Times New Roman" w:eastAsia="Times New Roman" w:hAnsi="Times New Roman" w:cs="Times New Roman"/>
                <w:color w:val="000000"/>
                <w:sz w:val="22"/>
                <w:szCs w:val="22"/>
              </w:rPr>
              <w:t>Provider</w:t>
            </w:r>
            <w:r w:rsidR="00F23AB7">
              <w:rPr>
                <w:rFonts w:ascii="Times New Roman" w:eastAsia="Times New Roman" w:hAnsi="Times New Roman" w:cs="Times New Roman"/>
                <w:color w:val="000000"/>
                <w:sz w:val="22"/>
                <w:szCs w:val="22"/>
              </w:rPr>
              <w:t xml:space="preserve"> of Any Mobile Service</w:t>
            </w:r>
          </w:p>
        </w:tc>
        <w:tc>
          <w:tcPr>
            <w:tcW w:w="1260" w:type="dxa"/>
            <w:tcBorders>
              <w:top w:val="single" w:sz="12" w:space="0" w:color="auto"/>
              <w:left w:val="single" w:sz="12" w:space="0" w:color="auto"/>
              <w:bottom w:val="dashed" w:sz="4" w:space="0" w:color="auto"/>
              <w:right w:val="single" w:sz="4" w:space="0" w:color="auto"/>
            </w:tcBorders>
            <w:shd w:val="clear" w:color="auto" w:fill="auto"/>
            <w:noWrap/>
            <w:vAlign w:val="center"/>
            <w:hideMark/>
          </w:tcPr>
          <w:p w14:paraId="12AB2872" w14:textId="77777777" w:rsidR="00F125BE" w:rsidRPr="003A2898" w:rsidRDefault="00F125BE" w:rsidP="004054D4">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6,469,519</w:t>
            </w:r>
          </w:p>
        </w:tc>
        <w:tc>
          <w:tcPr>
            <w:tcW w:w="810" w:type="dxa"/>
            <w:tcBorders>
              <w:top w:val="single" w:sz="12" w:space="0" w:color="auto"/>
              <w:left w:val="single" w:sz="4" w:space="0" w:color="auto"/>
              <w:bottom w:val="dashed" w:sz="4" w:space="0" w:color="auto"/>
              <w:right w:val="single" w:sz="4" w:space="0" w:color="auto"/>
            </w:tcBorders>
            <w:shd w:val="clear" w:color="auto" w:fill="auto"/>
            <w:noWrap/>
            <w:vAlign w:val="center"/>
            <w:hideMark/>
          </w:tcPr>
          <w:p w14:paraId="4B3B5217" w14:textId="77777777" w:rsidR="00F125BE" w:rsidRPr="003A2898" w:rsidRDefault="00F125BE" w:rsidP="004054D4">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198</w:t>
            </w:r>
          </w:p>
        </w:tc>
        <w:tc>
          <w:tcPr>
            <w:tcW w:w="1170" w:type="dxa"/>
            <w:tcBorders>
              <w:top w:val="single" w:sz="12" w:space="0" w:color="auto"/>
              <w:left w:val="nil"/>
              <w:bottom w:val="dashed" w:sz="4" w:space="0" w:color="auto"/>
              <w:right w:val="single" w:sz="4" w:space="0" w:color="auto"/>
            </w:tcBorders>
            <w:shd w:val="clear" w:color="auto" w:fill="auto"/>
            <w:noWrap/>
            <w:vAlign w:val="center"/>
            <w:hideMark/>
          </w:tcPr>
          <w:p w14:paraId="3DC90A6E" w14:textId="77777777" w:rsidR="00F125BE" w:rsidRPr="003A2898" w:rsidRDefault="00F125BE" w:rsidP="004054D4">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1,080,916</w:t>
            </w:r>
          </w:p>
        </w:tc>
        <w:tc>
          <w:tcPr>
            <w:tcW w:w="1170" w:type="dxa"/>
            <w:tcBorders>
              <w:top w:val="single" w:sz="12" w:space="0" w:color="auto"/>
              <w:left w:val="nil"/>
              <w:bottom w:val="dashed" w:sz="4" w:space="0" w:color="auto"/>
              <w:right w:val="single" w:sz="4" w:space="0" w:color="auto"/>
            </w:tcBorders>
            <w:shd w:val="clear" w:color="auto" w:fill="auto"/>
            <w:noWrap/>
            <w:vAlign w:val="center"/>
            <w:hideMark/>
          </w:tcPr>
          <w:p w14:paraId="64A20223" w14:textId="77777777" w:rsidR="00F125BE" w:rsidRPr="003A2898" w:rsidRDefault="00F125BE" w:rsidP="004054D4">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3,338,300</w:t>
            </w:r>
          </w:p>
        </w:tc>
        <w:tc>
          <w:tcPr>
            <w:tcW w:w="1350" w:type="dxa"/>
            <w:tcBorders>
              <w:top w:val="single" w:sz="12" w:space="0" w:color="auto"/>
              <w:left w:val="nil"/>
              <w:bottom w:val="dashed" w:sz="4" w:space="0" w:color="auto"/>
              <w:right w:val="single" w:sz="12" w:space="0" w:color="auto"/>
            </w:tcBorders>
            <w:shd w:val="clear" w:color="auto" w:fill="auto"/>
            <w:noWrap/>
            <w:vAlign w:val="center"/>
            <w:hideMark/>
          </w:tcPr>
          <w:p w14:paraId="3638F34C" w14:textId="77777777" w:rsidR="00F125BE" w:rsidRPr="003A2898" w:rsidRDefault="00F125BE" w:rsidP="004054D4">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213,496,098</w:t>
            </w:r>
          </w:p>
        </w:tc>
        <w:tc>
          <w:tcPr>
            <w:tcW w:w="1422" w:type="dxa"/>
            <w:tcBorders>
              <w:top w:val="single" w:sz="12" w:space="0" w:color="auto"/>
              <w:left w:val="single" w:sz="12" w:space="0" w:color="auto"/>
              <w:bottom w:val="dashed" w:sz="4" w:space="0" w:color="auto"/>
              <w:right w:val="single" w:sz="4" w:space="0" w:color="auto"/>
            </w:tcBorders>
            <w:shd w:val="clear" w:color="auto" w:fill="auto"/>
            <w:noWrap/>
            <w:vAlign w:val="center"/>
            <w:hideMark/>
          </w:tcPr>
          <w:p w14:paraId="41DA8ABE" w14:textId="77777777" w:rsidR="00F125BE" w:rsidRPr="003A2898" w:rsidRDefault="00F125BE" w:rsidP="004054D4">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1,080,916</w:t>
            </w:r>
          </w:p>
        </w:tc>
        <w:tc>
          <w:tcPr>
            <w:tcW w:w="1188" w:type="dxa"/>
            <w:tcBorders>
              <w:top w:val="single" w:sz="12" w:space="0" w:color="auto"/>
              <w:left w:val="nil"/>
              <w:bottom w:val="dashed" w:sz="4" w:space="0" w:color="auto"/>
              <w:right w:val="single" w:sz="4" w:space="0" w:color="auto"/>
            </w:tcBorders>
            <w:shd w:val="clear" w:color="auto" w:fill="auto"/>
            <w:noWrap/>
            <w:vAlign w:val="center"/>
            <w:hideMark/>
          </w:tcPr>
          <w:p w14:paraId="78097695" w14:textId="77777777" w:rsidR="00F125BE" w:rsidRPr="003A2898" w:rsidRDefault="00F125BE" w:rsidP="004054D4">
            <w:pPr>
              <w:spacing w:after="0" w:line="240" w:lineRule="auto"/>
              <w:jc w:val="center"/>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 </w:t>
            </w:r>
          </w:p>
        </w:tc>
        <w:tc>
          <w:tcPr>
            <w:tcW w:w="1260" w:type="dxa"/>
            <w:tcBorders>
              <w:top w:val="single" w:sz="12" w:space="0" w:color="auto"/>
              <w:left w:val="nil"/>
              <w:bottom w:val="dashed" w:sz="4" w:space="0" w:color="auto"/>
              <w:right w:val="single" w:sz="4" w:space="0" w:color="auto"/>
            </w:tcBorders>
            <w:shd w:val="clear" w:color="auto" w:fill="auto"/>
            <w:noWrap/>
            <w:vAlign w:val="center"/>
            <w:hideMark/>
          </w:tcPr>
          <w:p w14:paraId="1E1730FC" w14:textId="77777777" w:rsidR="00F125BE" w:rsidRPr="003A2898" w:rsidRDefault="00F125BE" w:rsidP="004054D4">
            <w:pPr>
              <w:spacing w:after="0" w:line="240" w:lineRule="auto"/>
              <w:jc w:val="center"/>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 </w:t>
            </w:r>
          </w:p>
        </w:tc>
        <w:tc>
          <w:tcPr>
            <w:tcW w:w="1350" w:type="dxa"/>
            <w:tcBorders>
              <w:top w:val="single" w:sz="12" w:space="0" w:color="auto"/>
              <w:left w:val="nil"/>
              <w:bottom w:val="dashed" w:sz="4" w:space="0" w:color="auto"/>
              <w:right w:val="double" w:sz="4" w:space="0" w:color="auto"/>
            </w:tcBorders>
            <w:shd w:val="clear" w:color="auto" w:fill="auto"/>
            <w:noWrap/>
            <w:vAlign w:val="center"/>
            <w:hideMark/>
          </w:tcPr>
          <w:p w14:paraId="7ABEFAF3" w14:textId="77777777" w:rsidR="00F125BE" w:rsidRPr="003A2898" w:rsidRDefault="00F125BE" w:rsidP="004054D4">
            <w:pPr>
              <w:spacing w:after="0" w:line="240" w:lineRule="auto"/>
              <w:jc w:val="center"/>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 </w:t>
            </w:r>
          </w:p>
        </w:tc>
      </w:tr>
      <w:tr w:rsidR="00F125BE" w:rsidRPr="003A2898" w14:paraId="1B178678" w14:textId="77777777" w:rsidTr="004054D4">
        <w:trPr>
          <w:trHeight w:val="315"/>
        </w:trPr>
        <w:tc>
          <w:tcPr>
            <w:tcW w:w="3320" w:type="dxa"/>
            <w:gridSpan w:val="2"/>
            <w:vMerge/>
            <w:tcBorders>
              <w:top w:val="single" w:sz="8" w:space="0" w:color="auto"/>
              <w:left w:val="double" w:sz="4" w:space="0" w:color="auto"/>
              <w:bottom w:val="single" w:sz="12" w:space="0" w:color="auto"/>
              <w:right w:val="single" w:sz="12" w:space="0" w:color="auto"/>
            </w:tcBorders>
            <w:vAlign w:val="center"/>
            <w:hideMark/>
          </w:tcPr>
          <w:p w14:paraId="36EB6581" w14:textId="77777777" w:rsidR="00F125BE" w:rsidRPr="003A2898" w:rsidRDefault="00F125BE" w:rsidP="004054D4">
            <w:pPr>
              <w:spacing w:after="0" w:line="240" w:lineRule="auto"/>
              <w:rPr>
                <w:rFonts w:ascii="Times New Roman" w:eastAsia="Times New Roman" w:hAnsi="Times New Roman" w:cs="Times New Roman"/>
                <w:color w:val="000000"/>
                <w:sz w:val="22"/>
                <w:szCs w:val="22"/>
              </w:rPr>
            </w:pPr>
          </w:p>
        </w:tc>
        <w:tc>
          <w:tcPr>
            <w:tcW w:w="1260" w:type="dxa"/>
            <w:tcBorders>
              <w:top w:val="dashed" w:sz="4" w:space="0" w:color="auto"/>
              <w:left w:val="single" w:sz="12" w:space="0" w:color="auto"/>
              <w:bottom w:val="single" w:sz="12" w:space="0" w:color="auto"/>
              <w:right w:val="single" w:sz="4" w:space="0" w:color="auto"/>
            </w:tcBorders>
            <w:shd w:val="clear" w:color="auto" w:fill="auto"/>
            <w:noWrap/>
            <w:vAlign w:val="center"/>
            <w:hideMark/>
          </w:tcPr>
          <w:p w14:paraId="7FA1C4A6" w14:textId="77777777" w:rsidR="00F125BE" w:rsidRPr="003A2898" w:rsidRDefault="00F125BE" w:rsidP="004054D4">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61.1%</w:t>
            </w:r>
          </w:p>
        </w:tc>
        <w:tc>
          <w:tcPr>
            <w:tcW w:w="810" w:type="dxa"/>
            <w:tcBorders>
              <w:top w:val="dashed" w:sz="4" w:space="0" w:color="auto"/>
              <w:left w:val="single" w:sz="4" w:space="0" w:color="auto"/>
              <w:bottom w:val="single" w:sz="12" w:space="0" w:color="auto"/>
              <w:right w:val="single" w:sz="4" w:space="0" w:color="auto"/>
            </w:tcBorders>
            <w:shd w:val="clear" w:color="auto" w:fill="auto"/>
            <w:noWrap/>
            <w:vAlign w:val="center"/>
            <w:hideMark/>
          </w:tcPr>
          <w:p w14:paraId="7C021CBF" w14:textId="77777777" w:rsidR="00F125BE" w:rsidRPr="003A2898" w:rsidRDefault="00F125BE" w:rsidP="004054D4">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 </w:t>
            </w:r>
          </w:p>
        </w:tc>
        <w:tc>
          <w:tcPr>
            <w:tcW w:w="1170" w:type="dxa"/>
            <w:tcBorders>
              <w:top w:val="dashed" w:sz="4" w:space="0" w:color="auto"/>
              <w:left w:val="nil"/>
              <w:bottom w:val="single" w:sz="12" w:space="0" w:color="auto"/>
              <w:right w:val="single" w:sz="4" w:space="0" w:color="auto"/>
            </w:tcBorders>
            <w:shd w:val="clear" w:color="auto" w:fill="auto"/>
            <w:noWrap/>
            <w:vAlign w:val="center"/>
            <w:hideMark/>
          </w:tcPr>
          <w:p w14:paraId="7815C2BF" w14:textId="77777777" w:rsidR="00F125BE" w:rsidRPr="003A2898" w:rsidRDefault="00F125BE" w:rsidP="004054D4">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36.5%</w:t>
            </w:r>
          </w:p>
        </w:tc>
        <w:tc>
          <w:tcPr>
            <w:tcW w:w="1170" w:type="dxa"/>
            <w:tcBorders>
              <w:top w:val="dashed" w:sz="4" w:space="0" w:color="auto"/>
              <w:left w:val="nil"/>
              <w:bottom w:val="single" w:sz="12" w:space="0" w:color="auto"/>
              <w:right w:val="single" w:sz="4" w:space="0" w:color="auto"/>
            </w:tcBorders>
            <w:shd w:val="clear" w:color="auto" w:fill="auto"/>
            <w:noWrap/>
            <w:vAlign w:val="center"/>
            <w:hideMark/>
          </w:tcPr>
          <w:p w14:paraId="75DD00DC" w14:textId="77777777" w:rsidR="00F125BE" w:rsidRPr="003A2898" w:rsidRDefault="00F125BE" w:rsidP="004054D4">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49.1%</w:t>
            </w:r>
          </w:p>
        </w:tc>
        <w:tc>
          <w:tcPr>
            <w:tcW w:w="1350" w:type="dxa"/>
            <w:tcBorders>
              <w:top w:val="dashed" w:sz="4" w:space="0" w:color="auto"/>
              <w:left w:val="single" w:sz="4" w:space="0" w:color="auto"/>
              <w:bottom w:val="single" w:sz="12" w:space="0" w:color="auto"/>
              <w:right w:val="single" w:sz="12" w:space="0" w:color="auto"/>
            </w:tcBorders>
            <w:shd w:val="clear" w:color="auto" w:fill="auto"/>
            <w:noWrap/>
            <w:vAlign w:val="center"/>
            <w:hideMark/>
          </w:tcPr>
          <w:p w14:paraId="3A76F248" w14:textId="77777777" w:rsidR="00F125BE" w:rsidRPr="003A2898" w:rsidRDefault="00F125BE" w:rsidP="004054D4">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68.4%</w:t>
            </w:r>
          </w:p>
        </w:tc>
        <w:tc>
          <w:tcPr>
            <w:tcW w:w="1422" w:type="dxa"/>
            <w:tcBorders>
              <w:top w:val="dashed" w:sz="4" w:space="0" w:color="auto"/>
              <w:left w:val="single" w:sz="12" w:space="0" w:color="auto"/>
              <w:bottom w:val="single" w:sz="12" w:space="0" w:color="auto"/>
              <w:right w:val="single" w:sz="4" w:space="0" w:color="auto"/>
            </w:tcBorders>
            <w:shd w:val="clear" w:color="auto" w:fill="auto"/>
            <w:noWrap/>
            <w:vAlign w:val="center"/>
            <w:hideMark/>
          </w:tcPr>
          <w:p w14:paraId="00397F77" w14:textId="77777777" w:rsidR="00F125BE" w:rsidRPr="003A2898" w:rsidRDefault="00F125BE" w:rsidP="004054D4">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51.1%</w:t>
            </w:r>
          </w:p>
        </w:tc>
        <w:tc>
          <w:tcPr>
            <w:tcW w:w="1188" w:type="dxa"/>
            <w:tcBorders>
              <w:top w:val="dashed" w:sz="4" w:space="0" w:color="auto"/>
              <w:left w:val="nil"/>
              <w:bottom w:val="single" w:sz="12" w:space="0" w:color="auto"/>
              <w:right w:val="single" w:sz="4" w:space="0" w:color="auto"/>
            </w:tcBorders>
            <w:shd w:val="clear" w:color="auto" w:fill="auto"/>
            <w:noWrap/>
            <w:vAlign w:val="center"/>
            <w:hideMark/>
          </w:tcPr>
          <w:p w14:paraId="38DB9A66" w14:textId="77777777" w:rsidR="00F125BE" w:rsidRPr="003A2898" w:rsidRDefault="00F125BE" w:rsidP="004054D4">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 </w:t>
            </w:r>
          </w:p>
        </w:tc>
        <w:tc>
          <w:tcPr>
            <w:tcW w:w="1260" w:type="dxa"/>
            <w:tcBorders>
              <w:top w:val="dashed" w:sz="4" w:space="0" w:color="auto"/>
              <w:left w:val="nil"/>
              <w:bottom w:val="single" w:sz="12" w:space="0" w:color="auto"/>
              <w:right w:val="single" w:sz="4" w:space="0" w:color="auto"/>
            </w:tcBorders>
            <w:shd w:val="clear" w:color="auto" w:fill="auto"/>
            <w:noWrap/>
            <w:vAlign w:val="center"/>
            <w:hideMark/>
          </w:tcPr>
          <w:p w14:paraId="5BBF0E4D" w14:textId="77777777" w:rsidR="00F125BE" w:rsidRPr="003A2898" w:rsidRDefault="00F125BE" w:rsidP="004054D4">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 </w:t>
            </w:r>
          </w:p>
        </w:tc>
        <w:tc>
          <w:tcPr>
            <w:tcW w:w="1350" w:type="dxa"/>
            <w:tcBorders>
              <w:top w:val="dashed" w:sz="4" w:space="0" w:color="auto"/>
              <w:left w:val="single" w:sz="4" w:space="0" w:color="auto"/>
              <w:bottom w:val="single" w:sz="12" w:space="0" w:color="auto"/>
              <w:right w:val="double" w:sz="4" w:space="0" w:color="auto"/>
            </w:tcBorders>
            <w:shd w:val="clear" w:color="auto" w:fill="auto"/>
            <w:noWrap/>
            <w:vAlign w:val="center"/>
            <w:hideMark/>
          </w:tcPr>
          <w:p w14:paraId="4B9480A1" w14:textId="77777777" w:rsidR="00F125BE" w:rsidRPr="003A2898" w:rsidRDefault="00F125BE" w:rsidP="004054D4">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 </w:t>
            </w:r>
          </w:p>
        </w:tc>
      </w:tr>
      <w:tr w:rsidR="00F125BE" w:rsidRPr="003A2898" w14:paraId="6FD62C77" w14:textId="77777777" w:rsidTr="004054D4">
        <w:trPr>
          <w:trHeight w:val="885"/>
        </w:trPr>
        <w:tc>
          <w:tcPr>
            <w:tcW w:w="3320" w:type="dxa"/>
            <w:gridSpan w:val="2"/>
            <w:vMerge w:val="restart"/>
            <w:tcBorders>
              <w:top w:val="single" w:sz="12" w:space="0" w:color="auto"/>
              <w:left w:val="double" w:sz="4" w:space="0" w:color="auto"/>
              <w:bottom w:val="single" w:sz="4" w:space="0" w:color="auto"/>
              <w:right w:val="single" w:sz="12" w:space="0" w:color="auto"/>
            </w:tcBorders>
            <w:shd w:val="clear" w:color="000000" w:fill="E2EFDA"/>
            <w:vAlign w:val="center"/>
            <w:hideMark/>
          </w:tcPr>
          <w:p w14:paraId="708E653C" w14:textId="31EBB9DA" w:rsidR="00F125BE" w:rsidRPr="003A2898" w:rsidRDefault="00F125BE" w:rsidP="0070520F">
            <w:pPr>
              <w:spacing w:after="0" w:line="240" w:lineRule="auto"/>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Blocks WITH</w:t>
            </w:r>
            <w:r w:rsidR="005408BB">
              <w:rPr>
                <w:rFonts w:ascii="Times New Roman" w:eastAsia="Times New Roman" w:hAnsi="Times New Roman" w:cs="Times New Roman"/>
                <w:color w:val="000000"/>
                <w:sz w:val="22"/>
                <w:szCs w:val="22"/>
              </w:rPr>
              <w:t xml:space="preserve"> Less than Complete LTE Coverage</w:t>
            </w:r>
            <w:r w:rsidR="00813EF2">
              <w:rPr>
                <w:rFonts w:ascii="Times New Roman" w:eastAsia="Times New Roman" w:hAnsi="Times New Roman" w:cs="Times New Roman"/>
                <w:color w:val="000000"/>
                <w:sz w:val="22"/>
                <w:szCs w:val="22"/>
              </w:rPr>
              <w:t>,</w:t>
            </w:r>
            <w:r w:rsidR="005408BB">
              <w:rPr>
                <w:rFonts w:ascii="Times New Roman" w:eastAsia="Times New Roman" w:hAnsi="Times New Roman" w:cs="Times New Roman"/>
                <w:color w:val="000000"/>
                <w:sz w:val="22"/>
                <w:szCs w:val="22"/>
              </w:rPr>
              <w:t xml:space="preserve"> or </w:t>
            </w:r>
            <w:r w:rsidR="00813EF2">
              <w:rPr>
                <w:rFonts w:ascii="Times New Roman" w:eastAsia="Times New Roman" w:hAnsi="Times New Roman" w:cs="Times New Roman"/>
                <w:color w:val="000000"/>
                <w:sz w:val="22"/>
                <w:szCs w:val="22"/>
              </w:rPr>
              <w:t>WITH</w:t>
            </w:r>
            <w:r w:rsidR="005408BB">
              <w:rPr>
                <w:rFonts w:ascii="Times New Roman" w:eastAsia="Times New Roman" w:hAnsi="Times New Roman" w:cs="Times New Roman"/>
                <w:color w:val="000000"/>
                <w:sz w:val="22"/>
                <w:szCs w:val="22"/>
              </w:rPr>
              <w:t xml:space="preserve"> </w:t>
            </w:r>
            <w:r w:rsidR="00327AC5">
              <w:rPr>
                <w:rFonts w:ascii="Times New Roman" w:eastAsia="Times New Roman" w:hAnsi="Times New Roman" w:cs="Times New Roman"/>
                <w:color w:val="000000"/>
                <w:sz w:val="22"/>
                <w:szCs w:val="22"/>
              </w:rPr>
              <w:t>At</w:t>
            </w:r>
            <w:r w:rsidR="0070520F">
              <w:rPr>
                <w:rFonts w:ascii="Times New Roman" w:eastAsia="Times New Roman" w:hAnsi="Times New Roman" w:cs="Times New Roman"/>
                <w:color w:val="000000"/>
                <w:sz w:val="22"/>
                <w:szCs w:val="22"/>
              </w:rPr>
              <w:t xml:space="preserve"> L</w:t>
            </w:r>
            <w:r w:rsidR="006F4FE2">
              <w:rPr>
                <w:rFonts w:ascii="Times New Roman" w:eastAsia="Times New Roman" w:hAnsi="Times New Roman" w:cs="Times New Roman"/>
                <w:color w:val="000000"/>
                <w:sz w:val="22"/>
                <w:szCs w:val="22"/>
              </w:rPr>
              <w:t>e</w:t>
            </w:r>
            <w:r w:rsidR="00327AC5">
              <w:rPr>
                <w:rFonts w:ascii="Times New Roman" w:eastAsia="Times New Roman" w:hAnsi="Times New Roman" w:cs="Times New Roman"/>
                <w:color w:val="000000"/>
                <w:sz w:val="22"/>
                <w:szCs w:val="22"/>
              </w:rPr>
              <w:t xml:space="preserve">ast One </w:t>
            </w:r>
            <w:r w:rsidR="005408BB">
              <w:rPr>
                <w:rFonts w:ascii="Times New Roman" w:eastAsia="Times New Roman" w:hAnsi="Times New Roman" w:cs="Times New Roman"/>
                <w:color w:val="000000"/>
                <w:sz w:val="22"/>
                <w:szCs w:val="22"/>
              </w:rPr>
              <w:t xml:space="preserve"> S</w:t>
            </w:r>
            <w:r w:rsidRPr="003A2898">
              <w:rPr>
                <w:rFonts w:ascii="Times New Roman" w:eastAsia="Times New Roman" w:hAnsi="Times New Roman" w:cs="Times New Roman"/>
                <w:color w:val="000000"/>
                <w:sz w:val="22"/>
                <w:szCs w:val="22"/>
              </w:rPr>
              <w:t xml:space="preserve">ubsidized LTE </w:t>
            </w:r>
            <w:r w:rsidR="00327AC5">
              <w:rPr>
                <w:rFonts w:ascii="Times New Roman" w:eastAsia="Times New Roman" w:hAnsi="Times New Roman" w:cs="Times New Roman"/>
                <w:color w:val="000000"/>
                <w:sz w:val="22"/>
                <w:szCs w:val="22"/>
              </w:rPr>
              <w:t>Provider</w:t>
            </w:r>
          </w:p>
        </w:tc>
        <w:tc>
          <w:tcPr>
            <w:tcW w:w="1260" w:type="dxa"/>
            <w:tcBorders>
              <w:top w:val="single" w:sz="12" w:space="0" w:color="auto"/>
              <w:left w:val="single" w:sz="12" w:space="0" w:color="auto"/>
              <w:bottom w:val="dashed" w:sz="4" w:space="0" w:color="auto"/>
              <w:right w:val="single" w:sz="4" w:space="0" w:color="auto"/>
            </w:tcBorders>
            <w:shd w:val="clear" w:color="auto" w:fill="auto"/>
            <w:noWrap/>
            <w:vAlign w:val="center"/>
            <w:hideMark/>
          </w:tcPr>
          <w:p w14:paraId="21CE9F1E" w14:textId="77777777" w:rsidR="00F125BE" w:rsidRPr="003A2898" w:rsidRDefault="00F125BE" w:rsidP="004054D4">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4,122,808</w:t>
            </w:r>
          </w:p>
        </w:tc>
        <w:tc>
          <w:tcPr>
            <w:tcW w:w="810" w:type="dxa"/>
            <w:tcBorders>
              <w:top w:val="single" w:sz="12" w:space="0" w:color="auto"/>
              <w:left w:val="single" w:sz="4" w:space="0" w:color="auto"/>
              <w:bottom w:val="dashed" w:sz="4" w:space="0" w:color="auto"/>
              <w:right w:val="single" w:sz="4" w:space="0" w:color="auto"/>
            </w:tcBorders>
            <w:shd w:val="clear" w:color="auto" w:fill="auto"/>
            <w:noWrap/>
            <w:vAlign w:val="center"/>
            <w:hideMark/>
          </w:tcPr>
          <w:p w14:paraId="0EBB002B" w14:textId="77777777" w:rsidR="00F125BE" w:rsidRPr="003A2898" w:rsidRDefault="00F125BE" w:rsidP="004054D4">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28</w:t>
            </w:r>
          </w:p>
        </w:tc>
        <w:tc>
          <w:tcPr>
            <w:tcW w:w="1170" w:type="dxa"/>
            <w:tcBorders>
              <w:top w:val="single" w:sz="12" w:space="0" w:color="auto"/>
              <w:left w:val="nil"/>
              <w:bottom w:val="dashed" w:sz="4" w:space="0" w:color="auto"/>
              <w:right w:val="single" w:sz="4" w:space="0" w:color="auto"/>
            </w:tcBorders>
            <w:shd w:val="clear" w:color="auto" w:fill="auto"/>
            <w:noWrap/>
            <w:vAlign w:val="center"/>
            <w:hideMark/>
          </w:tcPr>
          <w:p w14:paraId="370222ED" w14:textId="77777777" w:rsidR="00F125BE" w:rsidRPr="003A2898" w:rsidRDefault="00F125BE" w:rsidP="004054D4">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1,884,375</w:t>
            </w:r>
          </w:p>
        </w:tc>
        <w:tc>
          <w:tcPr>
            <w:tcW w:w="1170" w:type="dxa"/>
            <w:tcBorders>
              <w:top w:val="single" w:sz="12" w:space="0" w:color="auto"/>
              <w:left w:val="nil"/>
              <w:bottom w:val="dashed" w:sz="4" w:space="0" w:color="auto"/>
              <w:right w:val="single" w:sz="4" w:space="0" w:color="auto"/>
            </w:tcBorders>
            <w:shd w:val="clear" w:color="auto" w:fill="auto"/>
            <w:noWrap/>
            <w:vAlign w:val="center"/>
            <w:hideMark/>
          </w:tcPr>
          <w:p w14:paraId="6802A581" w14:textId="77777777" w:rsidR="00F125BE" w:rsidRPr="003A2898" w:rsidRDefault="00F125BE" w:rsidP="004054D4">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3,453,806</w:t>
            </w:r>
          </w:p>
        </w:tc>
        <w:tc>
          <w:tcPr>
            <w:tcW w:w="1350" w:type="dxa"/>
            <w:tcBorders>
              <w:top w:val="single" w:sz="12" w:space="0" w:color="auto"/>
              <w:left w:val="nil"/>
              <w:bottom w:val="dashed" w:sz="4" w:space="0" w:color="auto"/>
              <w:right w:val="single" w:sz="12" w:space="0" w:color="auto"/>
            </w:tcBorders>
            <w:shd w:val="clear" w:color="auto" w:fill="auto"/>
            <w:noWrap/>
            <w:vAlign w:val="center"/>
            <w:hideMark/>
          </w:tcPr>
          <w:p w14:paraId="489423AC" w14:textId="77777777" w:rsidR="00F125BE" w:rsidRPr="003A2898" w:rsidRDefault="00F125BE" w:rsidP="004054D4">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98,640,163</w:t>
            </w:r>
          </w:p>
        </w:tc>
        <w:tc>
          <w:tcPr>
            <w:tcW w:w="1422" w:type="dxa"/>
            <w:tcBorders>
              <w:top w:val="single" w:sz="12" w:space="0" w:color="auto"/>
              <w:left w:val="single" w:sz="12" w:space="0" w:color="auto"/>
              <w:bottom w:val="dashed" w:sz="4" w:space="0" w:color="auto"/>
              <w:right w:val="single" w:sz="4" w:space="0" w:color="auto"/>
            </w:tcBorders>
            <w:shd w:val="clear" w:color="auto" w:fill="auto"/>
            <w:noWrap/>
            <w:vAlign w:val="center"/>
            <w:hideMark/>
          </w:tcPr>
          <w:p w14:paraId="76296735" w14:textId="77777777" w:rsidR="00F125BE" w:rsidRPr="003A2898" w:rsidRDefault="00F125BE" w:rsidP="004054D4">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1,033,234</w:t>
            </w:r>
          </w:p>
        </w:tc>
        <w:tc>
          <w:tcPr>
            <w:tcW w:w="1188" w:type="dxa"/>
            <w:tcBorders>
              <w:top w:val="single" w:sz="12" w:space="0" w:color="auto"/>
              <w:left w:val="nil"/>
              <w:bottom w:val="dashed" w:sz="4" w:space="0" w:color="auto"/>
              <w:right w:val="single" w:sz="4" w:space="0" w:color="auto"/>
            </w:tcBorders>
            <w:shd w:val="clear" w:color="auto" w:fill="auto"/>
            <w:noWrap/>
            <w:vAlign w:val="center"/>
            <w:hideMark/>
          </w:tcPr>
          <w:p w14:paraId="2D694169" w14:textId="77777777" w:rsidR="00F125BE" w:rsidRPr="003A2898" w:rsidRDefault="00F125BE" w:rsidP="004054D4">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469,470</w:t>
            </w:r>
          </w:p>
        </w:tc>
        <w:tc>
          <w:tcPr>
            <w:tcW w:w="1260" w:type="dxa"/>
            <w:tcBorders>
              <w:top w:val="single" w:sz="12" w:space="0" w:color="auto"/>
              <w:left w:val="nil"/>
              <w:bottom w:val="dashed" w:sz="4" w:space="0" w:color="auto"/>
              <w:right w:val="single" w:sz="4" w:space="0" w:color="auto"/>
            </w:tcBorders>
            <w:shd w:val="clear" w:color="auto" w:fill="auto"/>
            <w:noWrap/>
            <w:vAlign w:val="center"/>
            <w:hideMark/>
          </w:tcPr>
          <w:p w14:paraId="39FF1503" w14:textId="0AAF845A" w:rsidR="00F125BE" w:rsidRPr="003A2898" w:rsidRDefault="0071400C" w:rsidP="004054D4">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104,595</w:t>
            </w:r>
          </w:p>
        </w:tc>
        <w:tc>
          <w:tcPr>
            <w:tcW w:w="1350" w:type="dxa"/>
            <w:tcBorders>
              <w:top w:val="single" w:sz="12" w:space="0" w:color="auto"/>
              <w:left w:val="nil"/>
              <w:bottom w:val="dashed" w:sz="4" w:space="0" w:color="auto"/>
              <w:right w:val="double" w:sz="4" w:space="0" w:color="auto"/>
            </w:tcBorders>
            <w:shd w:val="clear" w:color="auto" w:fill="auto"/>
            <w:noWrap/>
            <w:vAlign w:val="center"/>
            <w:hideMark/>
          </w:tcPr>
          <w:p w14:paraId="09D5F2F4" w14:textId="2733B3A5" w:rsidR="00F125BE" w:rsidRPr="003A2898" w:rsidRDefault="0071400C" w:rsidP="004054D4">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574,065</w:t>
            </w:r>
          </w:p>
        </w:tc>
      </w:tr>
      <w:tr w:rsidR="00F125BE" w:rsidRPr="003A2898" w14:paraId="0D6CEEA5" w14:textId="77777777" w:rsidTr="004054D4">
        <w:trPr>
          <w:trHeight w:val="300"/>
        </w:trPr>
        <w:tc>
          <w:tcPr>
            <w:tcW w:w="3320" w:type="dxa"/>
            <w:gridSpan w:val="2"/>
            <w:vMerge/>
            <w:tcBorders>
              <w:top w:val="nil"/>
              <w:left w:val="double" w:sz="4" w:space="0" w:color="auto"/>
              <w:bottom w:val="single" w:sz="4" w:space="0" w:color="auto"/>
              <w:right w:val="single" w:sz="12" w:space="0" w:color="auto"/>
            </w:tcBorders>
            <w:vAlign w:val="center"/>
            <w:hideMark/>
          </w:tcPr>
          <w:p w14:paraId="0674C96B" w14:textId="77777777" w:rsidR="00F125BE" w:rsidRPr="003A2898" w:rsidRDefault="00F125BE" w:rsidP="004054D4">
            <w:pPr>
              <w:spacing w:after="0" w:line="240" w:lineRule="auto"/>
              <w:rPr>
                <w:rFonts w:ascii="Times New Roman" w:eastAsia="Times New Roman" w:hAnsi="Times New Roman" w:cs="Times New Roman"/>
                <w:color w:val="000000"/>
                <w:sz w:val="22"/>
                <w:szCs w:val="22"/>
              </w:rPr>
            </w:pPr>
          </w:p>
        </w:tc>
        <w:tc>
          <w:tcPr>
            <w:tcW w:w="1260" w:type="dxa"/>
            <w:tcBorders>
              <w:top w:val="dashed" w:sz="4" w:space="0" w:color="auto"/>
              <w:left w:val="single" w:sz="12" w:space="0" w:color="auto"/>
              <w:bottom w:val="single" w:sz="8" w:space="0" w:color="auto"/>
              <w:right w:val="single" w:sz="4" w:space="0" w:color="auto"/>
            </w:tcBorders>
            <w:shd w:val="clear" w:color="auto" w:fill="auto"/>
            <w:noWrap/>
            <w:vAlign w:val="center"/>
            <w:hideMark/>
          </w:tcPr>
          <w:p w14:paraId="495FCED5" w14:textId="77777777" w:rsidR="00F125BE" w:rsidRPr="003A2898" w:rsidRDefault="00F125BE" w:rsidP="004054D4">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38.9%</w:t>
            </w:r>
          </w:p>
        </w:tc>
        <w:tc>
          <w:tcPr>
            <w:tcW w:w="810" w:type="dxa"/>
            <w:tcBorders>
              <w:top w:val="dashed" w:sz="4" w:space="0" w:color="auto"/>
              <w:left w:val="nil"/>
              <w:bottom w:val="single" w:sz="8" w:space="0" w:color="auto"/>
              <w:right w:val="single" w:sz="4" w:space="0" w:color="auto"/>
            </w:tcBorders>
            <w:shd w:val="clear" w:color="auto" w:fill="auto"/>
            <w:noWrap/>
            <w:vAlign w:val="center"/>
            <w:hideMark/>
          </w:tcPr>
          <w:p w14:paraId="7B8EADB9" w14:textId="77777777" w:rsidR="00F125BE" w:rsidRPr="003A2898" w:rsidRDefault="00F125BE" w:rsidP="004054D4">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 </w:t>
            </w:r>
          </w:p>
        </w:tc>
        <w:tc>
          <w:tcPr>
            <w:tcW w:w="1170" w:type="dxa"/>
            <w:tcBorders>
              <w:top w:val="dashed" w:sz="4" w:space="0" w:color="auto"/>
              <w:left w:val="nil"/>
              <w:bottom w:val="single" w:sz="8" w:space="0" w:color="auto"/>
              <w:right w:val="single" w:sz="4" w:space="0" w:color="auto"/>
            </w:tcBorders>
            <w:shd w:val="clear" w:color="auto" w:fill="auto"/>
            <w:noWrap/>
            <w:vAlign w:val="center"/>
            <w:hideMark/>
          </w:tcPr>
          <w:p w14:paraId="2BAB8513" w14:textId="77777777" w:rsidR="00F125BE" w:rsidRPr="003A2898" w:rsidRDefault="00F125BE" w:rsidP="004054D4">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63.5%</w:t>
            </w:r>
          </w:p>
        </w:tc>
        <w:tc>
          <w:tcPr>
            <w:tcW w:w="1170" w:type="dxa"/>
            <w:tcBorders>
              <w:top w:val="dashed" w:sz="4" w:space="0" w:color="auto"/>
              <w:left w:val="nil"/>
              <w:bottom w:val="single" w:sz="8" w:space="0" w:color="auto"/>
              <w:right w:val="single" w:sz="4" w:space="0" w:color="auto"/>
            </w:tcBorders>
            <w:shd w:val="clear" w:color="auto" w:fill="auto"/>
            <w:noWrap/>
            <w:vAlign w:val="center"/>
            <w:hideMark/>
          </w:tcPr>
          <w:p w14:paraId="6E1CEEE9" w14:textId="77777777" w:rsidR="00F125BE" w:rsidRPr="003A2898" w:rsidRDefault="00F125BE" w:rsidP="004054D4">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50.9%</w:t>
            </w:r>
          </w:p>
        </w:tc>
        <w:tc>
          <w:tcPr>
            <w:tcW w:w="1350" w:type="dxa"/>
            <w:tcBorders>
              <w:top w:val="dashed" w:sz="4" w:space="0" w:color="auto"/>
              <w:left w:val="nil"/>
              <w:bottom w:val="single" w:sz="8" w:space="0" w:color="auto"/>
              <w:right w:val="single" w:sz="12" w:space="0" w:color="auto"/>
            </w:tcBorders>
            <w:shd w:val="clear" w:color="auto" w:fill="auto"/>
            <w:noWrap/>
            <w:vAlign w:val="center"/>
            <w:hideMark/>
          </w:tcPr>
          <w:p w14:paraId="670645A5" w14:textId="77777777" w:rsidR="00F125BE" w:rsidRPr="003A2898" w:rsidRDefault="00F125BE" w:rsidP="004054D4">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31.6%</w:t>
            </w:r>
          </w:p>
        </w:tc>
        <w:tc>
          <w:tcPr>
            <w:tcW w:w="1422" w:type="dxa"/>
            <w:tcBorders>
              <w:top w:val="dashed" w:sz="4" w:space="0" w:color="auto"/>
              <w:left w:val="single" w:sz="12" w:space="0" w:color="auto"/>
              <w:bottom w:val="single" w:sz="8" w:space="0" w:color="auto"/>
              <w:right w:val="single" w:sz="4" w:space="0" w:color="auto"/>
            </w:tcBorders>
            <w:shd w:val="clear" w:color="auto" w:fill="auto"/>
            <w:noWrap/>
            <w:vAlign w:val="center"/>
            <w:hideMark/>
          </w:tcPr>
          <w:p w14:paraId="76AAC572" w14:textId="77777777" w:rsidR="00F125BE" w:rsidRPr="003A2898" w:rsidRDefault="00F125BE" w:rsidP="004054D4">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48.9%</w:t>
            </w:r>
          </w:p>
        </w:tc>
        <w:tc>
          <w:tcPr>
            <w:tcW w:w="1188" w:type="dxa"/>
            <w:tcBorders>
              <w:top w:val="dashed" w:sz="4" w:space="0" w:color="auto"/>
              <w:left w:val="nil"/>
              <w:bottom w:val="single" w:sz="8" w:space="0" w:color="auto"/>
              <w:right w:val="single" w:sz="4" w:space="0" w:color="auto"/>
            </w:tcBorders>
            <w:shd w:val="clear" w:color="auto" w:fill="auto"/>
            <w:noWrap/>
            <w:vAlign w:val="center"/>
            <w:hideMark/>
          </w:tcPr>
          <w:p w14:paraId="1065A5F2" w14:textId="77777777" w:rsidR="00F125BE" w:rsidRPr="003A2898" w:rsidRDefault="00F125BE" w:rsidP="004054D4">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100.0%</w:t>
            </w:r>
          </w:p>
        </w:tc>
        <w:tc>
          <w:tcPr>
            <w:tcW w:w="1260" w:type="dxa"/>
            <w:tcBorders>
              <w:top w:val="dashed" w:sz="4" w:space="0" w:color="auto"/>
              <w:left w:val="nil"/>
              <w:bottom w:val="single" w:sz="8" w:space="0" w:color="auto"/>
              <w:right w:val="single" w:sz="4" w:space="0" w:color="auto"/>
            </w:tcBorders>
            <w:shd w:val="clear" w:color="auto" w:fill="auto"/>
            <w:noWrap/>
            <w:vAlign w:val="center"/>
            <w:hideMark/>
          </w:tcPr>
          <w:p w14:paraId="269BEE63" w14:textId="77777777" w:rsidR="00F125BE" w:rsidRPr="003A2898" w:rsidRDefault="00F125BE" w:rsidP="004054D4">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100.0%</w:t>
            </w:r>
          </w:p>
        </w:tc>
        <w:tc>
          <w:tcPr>
            <w:tcW w:w="1350" w:type="dxa"/>
            <w:tcBorders>
              <w:top w:val="dashed" w:sz="4" w:space="0" w:color="auto"/>
              <w:left w:val="nil"/>
              <w:bottom w:val="single" w:sz="8" w:space="0" w:color="auto"/>
              <w:right w:val="double" w:sz="4" w:space="0" w:color="auto"/>
            </w:tcBorders>
            <w:shd w:val="clear" w:color="auto" w:fill="auto"/>
            <w:noWrap/>
            <w:vAlign w:val="center"/>
            <w:hideMark/>
          </w:tcPr>
          <w:p w14:paraId="47150BA7" w14:textId="77777777" w:rsidR="00F125BE" w:rsidRPr="003A2898" w:rsidRDefault="00F125BE" w:rsidP="004054D4">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100.0%</w:t>
            </w:r>
          </w:p>
        </w:tc>
      </w:tr>
      <w:tr w:rsidR="00F125BE" w:rsidRPr="003A2898" w14:paraId="37013395" w14:textId="77777777" w:rsidTr="004054D4">
        <w:trPr>
          <w:trHeight w:val="548"/>
        </w:trPr>
        <w:tc>
          <w:tcPr>
            <w:tcW w:w="480" w:type="dxa"/>
            <w:tcBorders>
              <w:top w:val="nil"/>
              <w:bottom w:val="nil"/>
              <w:right w:val="double" w:sz="4" w:space="0" w:color="auto"/>
            </w:tcBorders>
            <w:shd w:val="clear" w:color="auto" w:fill="auto"/>
            <w:noWrap/>
            <w:vAlign w:val="bottom"/>
            <w:hideMark/>
          </w:tcPr>
          <w:p w14:paraId="270BF5C7" w14:textId="77777777" w:rsidR="00F125BE" w:rsidRPr="003A2898" w:rsidRDefault="00F125BE" w:rsidP="0070553D">
            <w:pPr>
              <w:spacing w:after="0" w:line="240" w:lineRule="auto"/>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 </w:t>
            </w:r>
          </w:p>
        </w:tc>
        <w:tc>
          <w:tcPr>
            <w:tcW w:w="2840" w:type="dxa"/>
            <w:vMerge w:val="restart"/>
            <w:tcBorders>
              <w:top w:val="nil"/>
              <w:left w:val="double" w:sz="4" w:space="0" w:color="auto"/>
              <w:bottom w:val="single" w:sz="8" w:space="0" w:color="000000"/>
              <w:right w:val="single" w:sz="12" w:space="0" w:color="auto"/>
            </w:tcBorders>
            <w:shd w:val="clear" w:color="000000" w:fill="E2EFDA"/>
            <w:vAlign w:val="center"/>
            <w:hideMark/>
          </w:tcPr>
          <w:p w14:paraId="10E091DC" w14:textId="77777777" w:rsidR="00F125BE" w:rsidRPr="003A2898" w:rsidRDefault="00F125BE" w:rsidP="0070553D">
            <w:pPr>
              <w:spacing w:after="0" w:line="240" w:lineRule="auto"/>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 xml:space="preserve">Blocks With </w:t>
            </w:r>
            <w:r w:rsidRPr="003A2898">
              <w:rPr>
                <w:rFonts w:ascii="Times New Roman" w:eastAsia="Times New Roman" w:hAnsi="Times New Roman" w:cs="Times New Roman"/>
                <w:i/>
                <w:iCs/>
                <w:color w:val="000000"/>
                <w:sz w:val="22"/>
                <w:szCs w:val="22"/>
              </w:rPr>
              <w:t>NO LTE SERVICE</w:t>
            </w:r>
            <w:r w:rsidRPr="003A2898">
              <w:rPr>
                <w:rFonts w:ascii="Times New Roman" w:eastAsia="Times New Roman" w:hAnsi="Times New Roman" w:cs="Times New Roman"/>
                <w:color w:val="000000"/>
                <w:sz w:val="22"/>
                <w:szCs w:val="22"/>
              </w:rPr>
              <w:t xml:space="preserve"> </w:t>
            </w:r>
          </w:p>
        </w:tc>
        <w:tc>
          <w:tcPr>
            <w:tcW w:w="1260" w:type="dxa"/>
            <w:tcBorders>
              <w:top w:val="single" w:sz="8" w:space="0" w:color="auto"/>
              <w:left w:val="single" w:sz="12" w:space="0" w:color="auto"/>
              <w:bottom w:val="dashed" w:sz="4" w:space="0" w:color="auto"/>
              <w:right w:val="single" w:sz="4" w:space="0" w:color="auto"/>
            </w:tcBorders>
            <w:shd w:val="clear" w:color="auto" w:fill="auto"/>
            <w:noWrap/>
            <w:vAlign w:val="center"/>
            <w:hideMark/>
          </w:tcPr>
          <w:p w14:paraId="1248721A" w14:textId="77777777" w:rsidR="00F125BE" w:rsidRPr="003A2898" w:rsidRDefault="00F125BE" w:rsidP="0070553D">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215,290</w:t>
            </w:r>
          </w:p>
        </w:tc>
        <w:tc>
          <w:tcPr>
            <w:tcW w:w="810" w:type="dxa"/>
            <w:tcBorders>
              <w:top w:val="single" w:sz="8" w:space="0" w:color="auto"/>
              <w:left w:val="nil"/>
              <w:bottom w:val="dashed" w:sz="4" w:space="0" w:color="auto"/>
              <w:right w:val="single" w:sz="4" w:space="0" w:color="auto"/>
            </w:tcBorders>
            <w:shd w:val="clear" w:color="auto" w:fill="auto"/>
            <w:noWrap/>
            <w:vAlign w:val="center"/>
            <w:hideMark/>
          </w:tcPr>
          <w:p w14:paraId="004E065F" w14:textId="77777777" w:rsidR="00F125BE" w:rsidRPr="003A2898" w:rsidRDefault="00F125BE" w:rsidP="0070553D">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7</w:t>
            </w:r>
          </w:p>
        </w:tc>
        <w:tc>
          <w:tcPr>
            <w:tcW w:w="1170" w:type="dxa"/>
            <w:tcBorders>
              <w:top w:val="single" w:sz="8" w:space="0" w:color="auto"/>
              <w:left w:val="nil"/>
              <w:bottom w:val="dashed" w:sz="4" w:space="0" w:color="auto"/>
              <w:right w:val="single" w:sz="4" w:space="0" w:color="auto"/>
            </w:tcBorders>
            <w:shd w:val="clear" w:color="auto" w:fill="auto"/>
            <w:noWrap/>
            <w:vAlign w:val="center"/>
            <w:hideMark/>
          </w:tcPr>
          <w:p w14:paraId="4C572375" w14:textId="77777777" w:rsidR="00F125BE" w:rsidRPr="003A2898" w:rsidRDefault="00F125BE" w:rsidP="0070553D">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104,007</w:t>
            </w:r>
          </w:p>
        </w:tc>
        <w:tc>
          <w:tcPr>
            <w:tcW w:w="1170" w:type="dxa"/>
            <w:tcBorders>
              <w:top w:val="single" w:sz="8" w:space="0" w:color="auto"/>
              <w:left w:val="nil"/>
              <w:bottom w:val="dashed" w:sz="4" w:space="0" w:color="auto"/>
              <w:right w:val="single" w:sz="4" w:space="0" w:color="auto"/>
            </w:tcBorders>
            <w:shd w:val="clear" w:color="auto" w:fill="auto"/>
            <w:noWrap/>
            <w:vAlign w:val="center"/>
            <w:hideMark/>
          </w:tcPr>
          <w:p w14:paraId="45F81B25" w14:textId="77777777" w:rsidR="00F125BE" w:rsidRPr="003A2898" w:rsidRDefault="00F125BE" w:rsidP="0070553D">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179,411</w:t>
            </w:r>
          </w:p>
        </w:tc>
        <w:tc>
          <w:tcPr>
            <w:tcW w:w="1350" w:type="dxa"/>
            <w:tcBorders>
              <w:top w:val="single" w:sz="8" w:space="0" w:color="auto"/>
              <w:left w:val="nil"/>
              <w:bottom w:val="dashed" w:sz="4" w:space="0" w:color="auto"/>
              <w:right w:val="single" w:sz="12" w:space="0" w:color="auto"/>
            </w:tcBorders>
            <w:shd w:val="clear" w:color="auto" w:fill="auto"/>
            <w:noWrap/>
            <w:vAlign w:val="center"/>
            <w:hideMark/>
          </w:tcPr>
          <w:p w14:paraId="5A3621EC" w14:textId="77777777" w:rsidR="00F125BE" w:rsidRPr="003A2898" w:rsidRDefault="00F125BE" w:rsidP="0070553D">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712,524</w:t>
            </w:r>
          </w:p>
        </w:tc>
        <w:tc>
          <w:tcPr>
            <w:tcW w:w="1422" w:type="dxa"/>
            <w:tcBorders>
              <w:top w:val="single" w:sz="8" w:space="0" w:color="auto"/>
              <w:left w:val="single" w:sz="12" w:space="0" w:color="auto"/>
              <w:bottom w:val="dashed" w:sz="4" w:space="0" w:color="auto"/>
              <w:right w:val="single" w:sz="4" w:space="0" w:color="auto"/>
            </w:tcBorders>
            <w:shd w:val="clear" w:color="auto" w:fill="auto"/>
            <w:noWrap/>
            <w:vAlign w:val="center"/>
            <w:hideMark/>
          </w:tcPr>
          <w:p w14:paraId="69C03F83" w14:textId="77777777" w:rsidR="00F125BE" w:rsidRPr="003A2898" w:rsidRDefault="00F125BE" w:rsidP="0070553D">
            <w:pPr>
              <w:spacing w:after="0" w:line="240" w:lineRule="auto"/>
              <w:jc w:val="center"/>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 </w:t>
            </w:r>
          </w:p>
        </w:tc>
        <w:tc>
          <w:tcPr>
            <w:tcW w:w="1188" w:type="dxa"/>
            <w:tcBorders>
              <w:top w:val="single" w:sz="8" w:space="0" w:color="auto"/>
              <w:left w:val="nil"/>
              <w:bottom w:val="dashed" w:sz="4" w:space="0" w:color="auto"/>
              <w:right w:val="single" w:sz="4" w:space="0" w:color="auto"/>
            </w:tcBorders>
            <w:shd w:val="clear" w:color="auto" w:fill="auto"/>
            <w:noWrap/>
            <w:vAlign w:val="center"/>
            <w:hideMark/>
          </w:tcPr>
          <w:p w14:paraId="0F516A32" w14:textId="77777777" w:rsidR="00F125BE" w:rsidRPr="003A2898" w:rsidRDefault="00F125BE" w:rsidP="0070553D">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104,007</w:t>
            </w:r>
          </w:p>
        </w:tc>
        <w:tc>
          <w:tcPr>
            <w:tcW w:w="1260" w:type="dxa"/>
            <w:tcBorders>
              <w:top w:val="single" w:sz="8" w:space="0" w:color="auto"/>
              <w:left w:val="nil"/>
              <w:bottom w:val="dashed" w:sz="4" w:space="0" w:color="auto"/>
              <w:right w:val="single" w:sz="4" w:space="0" w:color="auto"/>
            </w:tcBorders>
            <w:shd w:val="clear" w:color="auto" w:fill="auto"/>
            <w:noWrap/>
            <w:vAlign w:val="center"/>
            <w:hideMark/>
          </w:tcPr>
          <w:p w14:paraId="4163BF54" w14:textId="77777777" w:rsidR="00F125BE" w:rsidRPr="003A2898" w:rsidRDefault="00F125BE" w:rsidP="0070553D">
            <w:pPr>
              <w:spacing w:after="0" w:line="240" w:lineRule="auto"/>
              <w:jc w:val="center"/>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 </w:t>
            </w:r>
          </w:p>
        </w:tc>
        <w:tc>
          <w:tcPr>
            <w:tcW w:w="1350" w:type="dxa"/>
            <w:tcBorders>
              <w:top w:val="single" w:sz="8" w:space="0" w:color="auto"/>
              <w:left w:val="nil"/>
              <w:bottom w:val="dashed" w:sz="4" w:space="0" w:color="auto"/>
              <w:right w:val="double" w:sz="4" w:space="0" w:color="auto"/>
            </w:tcBorders>
            <w:shd w:val="clear" w:color="auto" w:fill="auto"/>
            <w:noWrap/>
            <w:vAlign w:val="center"/>
            <w:hideMark/>
          </w:tcPr>
          <w:p w14:paraId="2AAFD814" w14:textId="77777777" w:rsidR="00F125BE" w:rsidRPr="003A2898" w:rsidRDefault="00F125BE" w:rsidP="0070553D">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104,007</w:t>
            </w:r>
          </w:p>
        </w:tc>
      </w:tr>
      <w:tr w:rsidR="00F125BE" w:rsidRPr="003A2898" w14:paraId="3434B4F8" w14:textId="77777777" w:rsidTr="004054D4">
        <w:trPr>
          <w:trHeight w:val="300"/>
        </w:trPr>
        <w:tc>
          <w:tcPr>
            <w:tcW w:w="480" w:type="dxa"/>
            <w:tcBorders>
              <w:top w:val="nil"/>
              <w:bottom w:val="nil"/>
              <w:right w:val="double" w:sz="4" w:space="0" w:color="auto"/>
            </w:tcBorders>
            <w:shd w:val="clear" w:color="auto" w:fill="auto"/>
            <w:vAlign w:val="center"/>
            <w:hideMark/>
          </w:tcPr>
          <w:p w14:paraId="4424BD6F" w14:textId="77777777" w:rsidR="00F125BE" w:rsidRPr="003A2898" w:rsidRDefault="00F125BE" w:rsidP="0070553D">
            <w:pPr>
              <w:spacing w:after="0" w:line="240" w:lineRule="auto"/>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 </w:t>
            </w:r>
          </w:p>
        </w:tc>
        <w:tc>
          <w:tcPr>
            <w:tcW w:w="2840" w:type="dxa"/>
            <w:vMerge/>
            <w:tcBorders>
              <w:top w:val="single" w:sz="4" w:space="0" w:color="auto"/>
              <w:left w:val="double" w:sz="4" w:space="0" w:color="auto"/>
              <w:bottom w:val="single" w:sz="8" w:space="0" w:color="000000"/>
              <w:right w:val="single" w:sz="12" w:space="0" w:color="auto"/>
            </w:tcBorders>
            <w:vAlign w:val="center"/>
            <w:hideMark/>
          </w:tcPr>
          <w:p w14:paraId="50843127" w14:textId="77777777" w:rsidR="00F125BE" w:rsidRPr="003A2898" w:rsidRDefault="00F125BE" w:rsidP="0070553D">
            <w:pPr>
              <w:spacing w:after="0" w:line="240" w:lineRule="auto"/>
              <w:rPr>
                <w:rFonts w:ascii="Times New Roman" w:eastAsia="Times New Roman" w:hAnsi="Times New Roman" w:cs="Times New Roman"/>
                <w:color w:val="000000"/>
                <w:sz w:val="22"/>
                <w:szCs w:val="22"/>
              </w:rPr>
            </w:pPr>
          </w:p>
        </w:tc>
        <w:tc>
          <w:tcPr>
            <w:tcW w:w="1260" w:type="dxa"/>
            <w:tcBorders>
              <w:top w:val="dashed" w:sz="4" w:space="0" w:color="auto"/>
              <w:left w:val="single" w:sz="12" w:space="0" w:color="auto"/>
              <w:bottom w:val="single" w:sz="4" w:space="0" w:color="auto"/>
              <w:right w:val="single" w:sz="4" w:space="0" w:color="auto"/>
            </w:tcBorders>
            <w:shd w:val="clear" w:color="auto" w:fill="auto"/>
            <w:noWrap/>
            <w:vAlign w:val="center"/>
            <w:hideMark/>
          </w:tcPr>
          <w:p w14:paraId="7A5E793C" w14:textId="77777777" w:rsidR="00F125BE" w:rsidRPr="003A2898" w:rsidRDefault="00F125BE" w:rsidP="0070553D">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2.0%</w:t>
            </w:r>
          </w:p>
        </w:tc>
        <w:tc>
          <w:tcPr>
            <w:tcW w:w="810" w:type="dxa"/>
            <w:tcBorders>
              <w:top w:val="dashed" w:sz="4" w:space="0" w:color="auto"/>
              <w:left w:val="nil"/>
              <w:bottom w:val="single" w:sz="4" w:space="0" w:color="auto"/>
              <w:right w:val="single" w:sz="4" w:space="0" w:color="auto"/>
            </w:tcBorders>
            <w:shd w:val="clear" w:color="auto" w:fill="auto"/>
            <w:noWrap/>
            <w:vAlign w:val="center"/>
            <w:hideMark/>
          </w:tcPr>
          <w:p w14:paraId="155DEB5C" w14:textId="77777777" w:rsidR="00F125BE" w:rsidRPr="003A2898" w:rsidRDefault="00F125BE" w:rsidP="0070553D">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 </w:t>
            </w:r>
          </w:p>
        </w:tc>
        <w:tc>
          <w:tcPr>
            <w:tcW w:w="1170" w:type="dxa"/>
            <w:tcBorders>
              <w:top w:val="dashed" w:sz="4" w:space="0" w:color="auto"/>
              <w:left w:val="nil"/>
              <w:bottom w:val="single" w:sz="4" w:space="0" w:color="auto"/>
              <w:right w:val="single" w:sz="4" w:space="0" w:color="auto"/>
            </w:tcBorders>
            <w:shd w:val="clear" w:color="auto" w:fill="auto"/>
            <w:noWrap/>
            <w:vAlign w:val="center"/>
            <w:hideMark/>
          </w:tcPr>
          <w:p w14:paraId="4F1AE5F0" w14:textId="77777777" w:rsidR="00F125BE" w:rsidRPr="003A2898" w:rsidRDefault="00F125BE" w:rsidP="0070553D">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3.5%</w:t>
            </w:r>
          </w:p>
        </w:tc>
        <w:tc>
          <w:tcPr>
            <w:tcW w:w="1170" w:type="dxa"/>
            <w:tcBorders>
              <w:top w:val="dashed" w:sz="4" w:space="0" w:color="auto"/>
              <w:left w:val="nil"/>
              <w:bottom w:val="single" w:sz="4" w:space="0" w:color="auto"/>
              <w:right w:val="single" w:sz="4" w:space="0" w:color="auto"/>
            </w:tcBorders>
            <w:shd w:val="clear" w:color="auto" w:fill="auto"/>
            <w:noWrap/>
            <w:vAlign w:val="center"/>
            <w:hideMark/>
          </w:tcPr>
          <w:p w14:paraId="55F406E5" w14:textId="77777777" w:rsidR="00F125BE" w:rsidRPr="003A2898" w:rsidRDefault="00F125BE" w:rsidP="0070553D">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2.6%</w:t>
            </w:r>
          </w:p>
        </w:tc>
        <w:tc>
          <w:tcPr>
            <w:tcW w:w="1350" w:type="dxa"/>
            <w:tcBorders>
              <w:top w:val="dashed" w:sz="4" w:space="0" w:color="auto"/>
              <w:left w:val="nil"/>
              <w:bottom w:val="single" w:sz="4" w:space="0" w:color="auto"/>
              <w:right w:val="single" w:sz="12" w:space="0" w:color="auto"/>
            </w:tcBorders>
            <w:shd w:val="clear" w:color="auto" w:fill="auto"/>
            <w:noWrap/>
            <w:vAlign w:val="center"/>
            <w:hideMark/>
          </w:tcPr>
          <w:p w14:paraId="0DB96FD0" w14:textId="77777777" w:rsidR="00F125BE" w:rsidRPr="003A2898" w:rsidRDefault="00F125BE" w:rsidP="0070553D">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0.2%</w:t>
            </w:r>
          </w:p>
        </w:tc>
        <w:tc>
          <w:tcPr>
            <w:tcW w:w="1422" w:type="dxa"/>
            <w:tcBorders>
              <w:top w:val="dashed" w:sz="4" w:space="0" w:color="auto"/>
              <w:left w:val="single" w:sz="12" w:space="0" w:color="auto"/>
              <w:bottom w:val="single" w:sz="4" w:space="0" w:color="auto"/>
              <w:right w:val="single" w:sz="4" w:space="0" w:color="auto"/>
            </w:tcBorders>
            <w:shd w:val="clear" w:color="auto" w:fill="auto"/>
            <w:noWrap/>
            <w:vAlign w:val="center"/>
            <w:hideMark/>
          </w:tcPr>
          <w:p w14:paraId="1E033244" w14:textId="77777777" w:rsidR="00F125BE" w:rsidRPr="003A2898" w:rsidRDefault="00F125BE" w:rsidP="0070553D">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 </w:t>
            </w:r>
          </w:p>
        </w:tc>
        <w:tc>
          <w:tcPr>
            <w:tcW w:w="1188" w:type="dxa"/>
            <w:tcBorders>
              <w:top w:val="dashed" w:sz="4" w:space="0" w:color="auto"/>
              <w:left w:val="nil"/>
              <w:bottom w:val="single" w:sz="4" w:space="0" w:color="auto"/>
              <w:right w:val="single" w:sz="4" w:space="0" w:color="auto"/>
            </w:tcBorders>
            <w:shd w:val="clear" w:color="auto" w:fill="auto"/>
            <w:noWrap/>
            <w:vAlign w:val="center"/>
            <w:hideMark/>
          </w:tcPr>
          <w:p w14:paraId="7BAC1AEA" w14:textId="77777777" w:rsidR="00F125BE" w:rsidRPr="003A2898" w:rsidRDefault="00F125BE" w:rsidP="0070553D">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22.2%</w:t>
            </w:r>
          </w:p>
        </w:tc>
        <w:tc>
          <w:tcPr>
            <w:tcW w:w="1260" w:type="dxa"/>
            <w:tcBorders>
              <w:top w:val="dashed" w:sz="4" w:space="0" w:color="auto"/>
              <w:left w:val="nil"/>
              <w:bottom w:val="single" w:sz="4" w:space="0" w:color="auto"/>
              <w:right w:val="single" w:sz="4" w:space="0" w:color="auto"/>
            </w:tcBorders>
            <w:shd w:val="clear" w:color="auto" w:fill="auto"/>
            <w:noWrap/>
            <w:vAlign w:val="center"/>
            <w:hideMark/>
          </w:tcPr>
          <w:p w14:paraId="14917666" w14:textId="77777777" w:rsidR="00F125BE" w:rsidRPr="003A2898" w:rsidRDefault="00F125BE" w:rsidP="0070553D">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 </w:t>
            </w:r>
          </w:p>
        </w:tc>
        <w:tc>
          <w:tcPr>
            <w:tcW w:w="1350" w:type="dxa"/>
            <w:tcBorders>
              <w:top w:val="dashed" w:sz="4" w:space="0" w:color="auto"/>
              <w:left w:val="nil"/>
              <w:bottom w:val="single" w:sz="4" w:space="0" w:color="auto"/>
              <w:right w:val="double" w:sz="4" w:space="0" w:color="auto"/>
            </w:tcBorders>
            <w:shd w:val="clear" w:color="auto" w:fill="auto"/>
            <w:noWrap/>
            <w:vAlign w:val="center"/>
            <w:hideMark/>
          </w:tcPr>
          <w:p w14:paraId="2B77F668" w14:textId="36B022EF" w:rsidR="00F125BE" w:rsidRPr="003A2898" w:rsidRDefault="0071400C" w:rsidP="0070553D">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18.1</w:t>
            </w:r>
            <w:r w:rsidR="00F125BE" w:rsidRPr="003A2898">
              <w:rPr>
                <w:rFonts w:ascii="Times New Roman" w:eastAsia="Times New Roman" w:hAnsi="Times New Roman" w:cs="Times New Roman"/>
                <w:color w:val="000000"/>
                <w:sz w:val="22"/>
                <w:szCs w:val="22"/>
              </w:rPr>
              <w:t>%</w:t>
            </w:r>
          </w:p>
        </w:tc>
      </w:tr>
      <w:tr w:rsidR="00F125BE" w:rsidRPr="003A2898" w14:paraId="5B389856" w14:textId="77777777" w:rsidTr="004054D4">
        <w:trPr>
          <w:trHeight w:val="431"/>
        </w:trPr>
        <w:tc>
          <w:tcPr>
            <w:tcW w:w="480" w:type="dxa"/>
            <w:tcBorders>
              <w:top w:val="nil"/>
              <w:bottom w:val="nil"/>
              <w:right w:val="double" w:sz="4" w:space="0" w:color="auto"/>
            </w:tcBorders>
            <w:shd w:val="clear" w:color="auto" w:fill="auto"/>
            <w:noWrap/>
            <w:vAlign w:val="bottom"/>
            <w:hideMark/>
          </w:tcPr>
          <w:p w14:paraId="650F68FB" w14:textId="77777777" w:rsidR="00F125BE" w:rsidRPr="003A2898" w:rsidRDefault="00F125BE" w:rsidP="0070553D">
            <w:pPr>
              <w:spacing w:after="0" w:line="240" w:lineRule="auto"/>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 </w:t>
            </w:r>
          </w:p>
        </w:tc>
        <w:tc>
          <w:tcPr>
            <w:tcW w:w="2840" w:type="dxa"/>
            <w:vMerge w:val="restart"/>
            <w:tcBorders>
              <w:top w:val="single" w:sz="4" w:space="0" w:color="auto"/>
              <w:left w:val="double" w:sz="4" w:space="0" w:color="auto"/>
              <w:bottom w:val="single" w:sz="8" w:space="0" w:color="000000"/>
              <w:right w:val="single" w:sz="12" w:space="0" w:color="auto"/>
            </w:tcBorders>
            <w:shd w:val="clear" w:color="000000" w:fill="E2EFDA"/>
            <w:vAlign w:val="center"/>
            <w:hideMark/>
          </w:tcPr>
          <w:p w14:paraId="1B3B4BB0" w14:textId="77777777" w:rsidR="00F125BE" w:rsidRPr="003A2898" w:rsidRDefault="00F125BE" w:rsidP="0070553D">
            <w:pPr>
              <w:spacing w:after="0" w:line="240" w:lineRule="auto"/>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 xml:space="preserve">Blocks With </w:t>
            </w:r>
            <w:r w:rsidRPr="003A2898">
              <w:rPr>
                <w:rFonts w:ascii="Times New Roman" w:eastAsia="Times New Roman" w:hAnsi="Times New Roman" w:cs="Times New Roman"/>
                <w:i/>
                <w:iCs/>
                <w:color w:val="000000"/>
                <w:sz w:val="22"/>
                <w:szCs w:val="22"/>
              </w:rPr>
              <w:t>LESS THAN 100%  LTE Coverage</w:t>
            </w:r>
          </w:p>
        </w:tc>
        <w:tc>
          <w:tcPr>
            <w:tcW w:w="1260" w:type="dxa"/>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4CD364FF" w14:textId="77777777" w:rsidR="00F125BE" w:rsidRPr="003A2898" w:rsidRDefault="00F125BE" w:rsidP="0070553D">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351,511</w:t>
            </w:r>
          </w:p>
        </w:tc>
        <w:tc>
          <w:tcPr>
            <w:tcW w:w="810" w:type="dxa"/>
            <w:tcBorders>
              <w:top w:val="single" w:sz="4" w:space="0" w:color="auto"/>
              <w:left w:val="nil"/>
              <w:bottom w:val="dashed" w:sz="4" w:space="0" w:color="auto"/>
              <w:right w:val="single" w:sz="4" w:space="0" w:color="auto"/>
            </w:tcBorders>
            <w:shd w:val="clear" w:color="auto" w:fill="auto"/>
            <w:noWrap/>
            <w:vAlign w:val="center"/>
            <w:hideMark/>
          </w:tcPr>
          <w:p w14:paraId="64D65E1B" w14:textId="77777777" w:rsidR="00F125BE" w:rsidRPr="003A2898" w:rsidRDefault="00F125BE" w:rsidP="0070553D">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3</w:t>
            </w:r>
          </w:p>
        </w:tc>
        <w:tc>
          <w:tcPr>
            <w:tcW w:w="1170" w:type="dxa"/>
            <w:tcBorders>
              <w:top w:val="single" w:sz="4" w:space="0" w:color="auto"/>
              <w:left w:val="nil"/>
              <w:bottom w:val="dashed" w:sz="4" w:space="0" w:color="auto"/>
              <w:right w:val="single" w:sz="4" w:space="0" w:color="auto"/>
            </w:tcBorders>
            <w:shd w:val="clear" w:color="auto" w:fill="auto"/>
            <w:noWrap/>
            <w:vAlign w:val="center"/>
            <w:hideMark/>
          </w:tcPr>
          <w:p w14:paraId="0EE518FD" w14:textId="77777777" w:rsidR="00F125BE" w:rsidRPr="003A2898" w:rsidRDefault="00F125BE" w:rsidP="0070553D">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1,008,007</w:t>
            </w:r>
          </w:p>
        </w:tc>
        <w:tc>
          <w:tcPr>
            <w:tcW w:w="1170" w:type="dxa"/>
            <w:tcBorders>
              <w:top w:val="single" w:sz="4" w:space="0" w:color="auto"/>
              <w:left w:val="nil"/>
              <w:bottom w:val="dashed" w:sz="4" w:space="0" w:color="auto"/>
              <w:right w:val="single" w:sz="4" w:space="0" w:color="auto"/>
            </w:tcBorders>
            <w:shd w:val="clear" w:color="auto" w:fill="auto"/>
            <w:noWrap/>
            <w:vAlign w:val="center"/>
            <w:hideMark/>
          </w:tcPr>
          <w:p w14:paraId="05FC59F6" w14:textId="77777777" w:rsidR="00F125BE" w:rsidRPr="003A2898" w:rsidRDefault="00F125BE" w:rsidP="0070553D">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1,137,707</w:t>
            </w:r>
          </w:p>
        </w:tc>
        <w:tc>
          <w:tcPr>
            <w:tcW w:w="1350" w:type="dxa"/>
            <w:tcBorders>
              <w:top w:val="single" w:sz="4" w:space="0" w:color="auto"/>
              <w:left w:val="nil"/>
              <w:bottom w:val="dashed" w:sz="4" w:space="0" w:color="auto"/>
              <w:right w:val="single" w:sz="12" w:space="0" w:color="auto"/>
            </w:tcBorders>
            <w:shd w:val="clear" w:color="auto" w:fill="auto"/>
            <w:noWrap/>
            <w:vAlign w:val="center"/>
            <w:hideMark/>
          </w:tcPr>
          <w:p w14:paraId="3D13E0C0" w14:textId="77777777" w:rsidR="00F125BE" w:rsidRPr="003A2898" w:rsidRDefault="00F125BE" w:rsidP="0070553D">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3,377,520</w:t>
            </w:r>
          </w:p>
        </w:tc>
        <w:tc>
          <w:tcPr>
            <w:tcW w:w="1422" w:type="dxa"/>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3EA1E9EF" w14:textId="77777777" w:rsidR="00F125BE" w:rsidRPr="003A2898" w:rsidRDefault="00F125BE" w:rsidP="0070553D">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517,903</w:t>
            </w:r>
          </w:p>
        </w:tc>
        <w:tc>
          <w:tcPr>
            <w:tcW w:w="1188" w:type="dxa"/>
            <w:tcBorders>
              <w:top w:val="single" w:sz="4" w:space="0" w:color="auto"/>
              <w:left w:val="nil"/>
              <w:bottom w:val="dashed" w:sz="4" w:space="0" w:color="auto"/>
              <w:right w:val="single" w:sz="4" w:space="0" w:color="auto"/>
            </w:tcBorders>
            <w:shd w:val="clear" w:color="auto" w:fill="auto"/>
            <w:noWrap/>
            <w:vAlign w:val="center"/>
            <w:hideMark/>
          </w:tcPr>
          <w:p w14:paraId="64985AE7" w14:textId="77777777" w:rsidR="00F125BE" w:rsidRPr="003A2898" w:rsidRDefault="00F125BE" w:rsidP="0070553D">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365,463</w:t>
            </w:r>
          </w:p>
        </w:tc>
        <w:tc>
          <w:tcPr>
            <w:tcW w:w="1260" w:type="dxa"/>
            <w:tcBorders>
              <w:top w:val="single" w:sz="4" w:space="0" w:color="auto"/>
              <w:left w:val="nil"/>
              <w:bottom w:val="dashed" w:sz="4" w:space="0" w:color="auto"/>
              <w:right w:val="single" w:sz="4" w:space="0" w:color="auto"/>
            </w:tcBorders>
            <w:shd w:val="clear" w:color="auto" w:fill="auto"/>
            <w:noWrap/>
            <w:vAlign w:val="center"/>
            <w:hideMark/>
          </w:tcPr>
          <w:p w14:paraId="43E42B08" w14:textId="48F414EF" w:rsidR="00F125BE" w:rsidRPr="003A2898" w:rsidRDefault="0071400C" w:rsidP="0070553D">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47,247</w:t>
            </w:r>
          </w:p>
        </w:tc>
        <w:tc>
          <w:tcPr>
            <w:tcW w:w="1350" w:type="dxa"/>
            <w:tcBorders>
              <w:top w:val="single" w:sz="4" w:space="0" w:color="auto"/>
              <w:left w:val="nil"/>
              <w:bottom w:val="dashed" w:sz="4" w:space="0" w:color="auto"/>
              <w:right w:val="double" w:sz="4" w:space="0" w:color="auto"/>
            </w:tcBorders>
            <w:shd w:val="clear" w:color="auto" w:fill="auto"/>
            <w:noWrap/>
            <w:vAlign w:val="center"/>
            <w:hideMark/>
          </w:tcPr>
          <w:p w14:paraId="2353A6F4" w14:textId="0969C27B" w:rsidR="00F125BE" w:rsidRPr="003A2898" w:rsidRDefault="0071400C" w:rsidP="0070553D">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412,710</w:t>
            </w:r>
          </w:p>
        </w:tc>
      </w:tr>
      <w:tr w:rsidR="00F125BE" w:rsidRPr="003A2898" w14:paraId="74382252" w14:textId="77777777" w:rsidTr="004054D4">
        <w:trPr>
          <w:trHeight w:val="300"/>
        </w:trPr>
        <w:tc>
          <w:tcPr>
            <w:tcW w:w="480" w:type="dxa"/>
            <w:tcBorders>
              <w:top w:val="nil"/>
              <w:bottom w:val="nil"/>
              <w:right w:val="double" w:sz="4" w:space="0" w:color="auto"/>
            </w:tcBorders>
            <w:shd w:val="clear" w:color="auto" w:fill="auto"/>
            <w:vAlign w:val="center"/>
            <w:hideMark/>
          </w:tcPr>
          <w:p w14:paraId="2538EFD7" w14:textId="77777777" w:rsidR="00F125BE" w:rsidRPr="003A2898" w:rsidRDefault="00F125BE" w:rsidP="0070553D">
            <w:pPr>
              <w:spacing w:after="0" w:line="240" w:lineRule="auto"/>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 </w:t>
            </w:r>
          </w:p>
        </w:tc>
        <w:tc>
          <w:tcPr>
            <w:tcW w:w="2840" w:type="dxa"/>
            <w:vMerge/>
            <w:tcBorders>
              <w:top w:val="single" w:sz="4" w:space="0" w:color="auto"/>
              <w:left w:val="double" w:sz="4" w:space="0" w:color="auto"/>
              <w:bottom w:val="single" w:sz="8" w:space="0" w:color="000000"/>
              <w:right w:val="single" w:sz="12" w:space="0" w:color="auto"/>
            </w:tcBorders>
            <w:vAlign w:val="center"/>
            <w:hideMark/>
          </w:tcPr>
          <w:p w14:paraId="1455C15B" w14:textId="77777777" w:rsidR="00F125BE" w:rsidRPr="003A2898" w:rsidRDefault="00F125BE" w:rsidP="0070553D">
            <w:pPr>
              <w:spacing w:after="0" w:line="240" w:lineRule="auto"/>
              <w:rPr>
                <w:rFonts w:ascii="Times New Roman" w:eastAsia="Times New Roman" w:hAnsi="Times New Roman" w:cs="Times New Roman"/>
                <w:color w:val="000000"/>
                <w:sz w:val="22"/>
                <w:szCs w:val="22"/>
              </w:rPr>
            </w:pPr>
          </w:p>
        </w:tc>
        <w:tc>
          <w:tcPr>
            <w:tcW w:w="1260" w:type="dxa"/>
            <w:tcBorders>
              <w:top w:val="dashed" w:sz="4" w:space="0" w:color="auto"/>
              <w:left w:val="single" w:sz="12" w:space="0" w:color="auto"/>
              <w:bottom w:val="single" w:sz="4" w:space="0" w:color="auto"/>
              <w:right w:val="single" w:sz="4" w:space="0" w:color="auto"/>
            </w:tcBorders>
            <w:shd w:val="clear" w:color="auto" w:fill="auto"/>
            <w:noWrap/>
            <w:vAlign w:val="center"/>
            <w:hideMark/>
          </w:tcPr>
          <w:p w14:paraId="38E78704" w14:textId="77777777" w:rsidR="00F125BE" w:rsidRPr="003A2898" w:rsidRDefault="00F125BE" w:rsidP="0070553D">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3.3%</w:t>
            </w:r>
          </w:p>
        </w:tc>
        <w:tc>
          <w:tcPr>
            <w:tcW w:w="810" w:type="dxa"/>
            <w:tcBorders>
              <w:top w:val="dashed" w:sz="4" w:space="0" w:color="auto"/>
              <w:left w:val="nil"/>
              <w:bottom w:val="single" w:sz="4" w:space="0" w:color="auto"/>
              <w:right w:val="single" w:sz="4" w:space="0" w:color="auto"/>
            </w:tcBorders>
            <w:shd w:val="clear" w:color="auto" w:fill="auto"/>
            <w:noWrap/>
            <w:vAlign w:val="center"/>
            <w:hideMark/>
          </w:tcPr>
          <w:p w14:paraId="25337ED2" w14:textId="77777777" w:rsidR="00F125BE" w:rsidRPr="003A2898" w:rsidRDefault="00F125BE" w:rsidP="0070553D">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 </w:t>
            </w:r>
          </w:p>
        </w:tc>
        <w:tc>
          <w:tcPr>
            <w:tcW w:w="1170" w:type="dxa"/>
            <w:tcBorders>
              <w:top w:val="dashed" w:sz="4" w:space="0" w:color="auto"/>
              <w:left w:val="nil"/>
              <w:bottom w:val="single" w:sz="4" w:space="0" w:color="auto"/>
              <w:right w:val="single" w:sz="4" w:space="0" w:color="auto"/>
            </w:tcBorders>
            <w:shd w:val="clear" w:color="auto" w:fill="auto"/>
            <w:noWrap/>
            <w:vAlign w:val="center"/>
            <w:hideMark/>
          </w:tcPr>
          <w:p w14:paraId="4394F403" w14:textId="77777777" w:rsidR="00F125BE" w:rsidRPr="003A2898" w:rsidRDefault="00F125BE" w:rsidP="0070553D">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34.0%</w:t>
            </w:r>
          </w:p>
        </w:tc>
        <w:tc>
          <w:tcPr>
            <w:tcW w:w="1170" w:type="dxa"/>
            <w:tcBorders>
              <w:top w:val="dashed" w:sz="4" w:space="0" w:color="auto"/>
              <w:left w:val="nil"/>
              <w:bottom w:val="single" w:sz="4" w:space="0" w:color="auto"/>
              <w:right w:val="single" w:sz="4" w:space="0" w:color="auto"/>
            </w:tcBorders>
            <w:shd w:val="clear" w:color="auto" w:fill="auto"/>
            <w:noWrap/>
            <w:vAlign w:val="center"/>
            <w:hideMark/>
          </w:tcPr>
          <w:p w14:paraId="4461F9FF" w14:textId="77777777" w:rsidR="00F125BE" w:rsidRPr="003A2898" w:rsidRDefault="00F125BE" w:rsidP="0070553D">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16.8%</w:t>
            </w:r>
          </w:p>
        </w:tc>
        <w:tc>
          <w:tcPr>
            <w:tcW w:w="1350" w:type="dxa"/>
            <w:tcBorders>
              <w:top w:val="dashed" w:sz="4" w:space="0" w:color="auto"/>
              <w:left w:val="nil"/>
              <w:bottom w:val="single" w:sz="4" w:space="0" w:color="auto"/>
              <w:right w:val="single" w:sz="12" w:space="0" w:color="auto"/>
            </w:tcBorders>
            <w:shd w:val="clear" w:color="auto" w:fill="auto"/>
            <w:noWrap/>
            <w:vAlign w:val="center"/>
            <w:hideMark/>
          </w:tcPr>
          <w:p w14:paraId="7DC07C7B" w14:textId="77777777" w:rsidR="00F125BE" w:rsidRPr="003A2898" w:rsidRDefault="00F125BE" w:rsidP="0070553D">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1.1%</w:t>
            </w:r>
          </w:p>
        </w:tc>
        <w:tc>
          <w:tcPr>
            <w:tcW w:w="1422" w:type="dxa"/>
            <w:tcBorders>
              <w:top w:val="dashed" w:sz="4" w:space="0" w:color="auto"/>
              <w:left w:val="single" w:sz="12" w:space="0" w:color="auto"/>
              <w:bottom w:val="single" w:sz="4" w:space="0" w:color="auto"/>
              <w:right w:val="single" w:sz="4" w:space="0" w:color="auto"/>
            </w:tcBorders>
            <w:shd w:val="clear" w:color="auto" w:fill="auto"/>
            <w:noWrap/>
            <w:vAlign w:val="center"/>
            <w:hideMark/>
          </w:tcPr>
          <w:p w14:paraId="5C747A83" w14:textId="77777777" w:rsidR="00F125BE" w:rsidRPr="003A2898" w:rsidRDefault="00F125BE" w:rsidP="0070553D">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24.5%</w:t>
            </w:r>
          </w:p>
        </w:tc>
        <w:tc>
          <w:tcPr>
            <w:tcW w:w="1188" w:type="dxa"/>
            <w:tcBorders>
              <w:top w:val="dashed" w:sz="4" w:space="0" w:color="auto"/>
              <w:left w:val="nil"/>
              <w:bottom w:val="single" w:sz="4" w:space="0" w:color="auto"/>
              <w:right w:val="single" w:sz="4" w:space="0" w:color="auto"/>
            </w:tcBorders>
            <w:shd w:val="clear" w:color="auto" w:fill="auto"/>
            <w:noWrap/>
            <w:vAlign w:val="center"/>
            <w:hideMark/>
          </w:tcPr>
          <w:p w14:paraId="7B8CC8EE" w14:textId="77777777" w:rsidR="00F125BE" w:rsidRPr="003A2898" w:rsidRDefault="00F125BE" w:rsidP="0070553D">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77.8%</w:t>
            </w:r>
          </w:p>
        </w:tc>
        <w:tc>
          <w:tcPr>
            <w:tcW w:w="1260" w:type="dxa"/>
            <w:tcBorders>
              <w:top w:val="dashed" w:sz="4" w:space="0" w:color="auto"/>
              <w:left w:val="nil"/>
              <w:bottom w:val="single" w:sz="4" w:space="0" w:color="auto"/>
              <w:right w:val="single" w:sz="4" w:space="0" w:color="auto"/>
            </w:tcBorders>
            <w:shd w:val="clear" w:color="auto" w:fill="auto"/>
            <w:noWrap/>
            <w:vAlign w:val="center"/>
            <w:hideMark/>
          </w:tcPr>
          <w:p w14:paraId="63054E64" w14:textId="1D54EBF7" w:rsidR="00F125BE" w:rsidRPr="003A2898" w:rsidRDefault="0071400C" w:rsidP="0070553D">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45.2</w:t>
            </w:r>
            <w:r w:rsidR="00F125BE" w:rsidRPr="003A2898">
              <w:rPr>
                <w:rFonts w:ascii="Times New Roman" w:eastAsia="Times New Roman" w:hAnsi="Times New Roman" w:cs="Times New Roman"/>
                <w:color w:val="000000"/>
                <w:sz w:val="22"/>
                <w:szCs w:val="22"/>
              </w:rPr>
              <w:t>%</w:t>
            </w:r>
          </w:p>
        </w:tc>
        <w:tc>
          <w:tcPr>
            <w:tcW w:w="1350" w:type="dxa"/>
            <w:tcBorders>
              <w:top w:val="dashed" w:sz="4" w:space="0" w:color="auto"/>
              <w:left w:val="nil"/>
              <w:bottom w:val="single" w:sz="4" w:space="0" w:color="auto"/>
              <w:right w:val="double" w:sz="4" w:space="0" w:color="auto"/>
            </w:tcBorders>
            <w:shd w:val="clear" w:color="auto" w:fill="auto"/>
            <w:noWrap/>
            <w:vAlign w:val="center"/>
            <w:hideMark/>
          </w:tcPr>
          <w:p w14:paraId="5D9D3CF3" w14:textId="347088D0" w:rsidR="00F125BE" w:rsidRPr="003A2898" w:rsidRDefault="0071400C" w:rsidP="0070553D">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71.9</w:t>
            </w:r>
            <w:r w:rsidR="00F125BE" w:rsidRPr="003A2898">
              <w:rPr>
                <w:rFonts w:ascii="Times New Roman" w:eastAsia="Times New Roman" w:hAnsi="Times New Roman" w:cs="Times New Roman"/>
                <w:color w:val="000000"/>
                <w:sz w:val="22"/>
                <w:szCs w:val="22"/>
              </w:rPr>
              <w:t>%</w:t>
            </w:r>
          </w:p>
        </w:tc>
      </w:tr>
      <w:tr w:rsidR="00F125BE" w:rsidRPr="003A2898" w14:paraId="59A34AA8" w14:textId="77777777" w:rsidTr="004054D4">
        <w:trPr>
          <w:trHeight w:val="575"/>
        </w:trPr>
        <w:tc>
          <w:tcPr>
            <w:tcW w:w="480" w:type="dxa"/>
            <w:tcBorders>
              <w:top w:val="nil"/>
              <w:right w:val="double" w:sz="4" w:space="0" w:color="auto"/>
            </w:tcBorders>
            <w:shd w:val="clear" w:color="auto" w:fill="auto"/>
            <w:noWrap/>
            <w:vAlign w:val="bottom"/>
            <w:hideMark/>
          </w:tcPr>
          <w:p w14:paraId="2889A125" w14:textId="77777777" w:rsidR="00F125BE" w:rsidRPr="003A2898" w:rsidRDefault="00F125BE" w:rsidP="0070553D">
            <w:pPr>
              <w:spacing w:after="0" w:line="240" w:lineRule="auto"/>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 </w:t>
            </w:r>
          </w:p>
        </w:tc>
        <w:tc>
          <w:tcPr>
            <w:tcW w:w="2840" w:type="dxa"/>
            <w:vMerge w:val="restart"/>
            <w:tcBorders>
              <w:top w:val="single" w:sz="4" w:space="0" w:color="auto"/>
              <w:left w:val="double" w:sz="4" w:space="0" w:color="auto"/>
              <w:bottom w:val="single" w:sz="8" w:space="0" w:color="000000"/>
              <w:right w:val="single" w:sz="12" w:space="0" w:color="auto"/>
            </w:tcBorders>
            <w:shd w:val="clear" w:color="000000" w:fill="E2EFDA"/>
            <w:vAlign w:val="center"/>
            <w:hideMark/>
          </w:tcPr>
          <w:p w14:paraId="42F7DDEF" w14:textId="4F936276" w:rsidR="00F125BE" w:rsidRPr="003A2898" w:rsidRDefault="00F125BE" w:rsidP="006D6617">
            <w:pPr>
              <w:spacing w:after="0" w:line="240" w:lineRule="auto"/>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 xml:space="preserve">Blocks With </w:t>
            </w:r>
            <w:r w:rsidRPr="003A2898">
              <w:rPr>
                <w:rFonts w:ascii="Times New Roman" w:eastAsia="Times New Roman" w:hAnsi="Times New Roman" w:cs="Times New Roman"/>
                <w:i/>
                <w:iCs/>
                <w:color w:val="000000"/>
                <w:sz w:val="22"/>
                <w:szCs w:val="22"/>
              </w:rPr>
              <w:t>100%  LTE COVERAGE,</w:t>
            </w:r>
            <w:r w:rsidRPr="003A2898">
              <w:rPr>
                <w:rFonts w:ascii="Times New Roman" w:eastAsia="Times New Roman" w:hAnsi="Times New Roman" w:cs="Times New Roman"/>
                <w:color w:val="000000"/>
                <w:sz w:val="22"/>
                <w:szCs w:val="22"/>
              </w:rPr>
              <w:t xml:space="preserve"> </w:t>
            </w:r>
            <w:r w:rsidRPr="003A2898">
              <w:rPr>
                <w:rFonts w:ascii="Times New Roman" w:eastAsia="Times New Roman" w:hAnsi="Times New Roman" w:cs="Times New Roman"/>
                <w:i/>
                <w:iCs/>
                <w:color w:val="000000"/>
                <w:sz w:val="22"/>
                <w:szCs w:val="22"/>
              </w:rPr>
              <w:t xml:space="preserve">BUT </w:t>
            </w:r>
            <w:r w:rsidR="005408BB">
              <w:rPr>
                <w:rFonts w:ascii="Times New Roman" w:eastAsia="Times New Roman" w:hAnsi="Times New Roman" w:cs="Times New Roman"/>
                <w:i/>
                <w:iCs/>
                <w:color w:val="000000"/>
                <w:sz w:val="22"/>
                <w:szCs w:val="22"/>
              </w:rPr>
              <w:t>WITH</w:t>
            </w:r>
            <w:r w:rsidRPr="003A2898">
              <w:rPr>
                <w:rFonts w:ascii="Times New Roman" w:eastAsia="Times New Roman" w:hAnsi="Times New Roman" w:cs="Times New Roman"/>
                <w:i/>
                <w:iCs/>
                <w:color w:val="000000"/>
                <w:sz w:val="22"/>
                <w:szCs w:val="22"/>
              </w:rPr>
              <w:t xml:space="preserve"> </w:t>
            </w:r>
            <w:r w:rsidR="00813EF2">
              <w:rPr>
                <w:rFonts w:ascii="Times New Roman" w:eastAsia="Times New Roman" w:hAnsi="Times New Roman" w:cs="Times New Roman"/>
                <w:i/>
                <w:iCs/>
                <w:color w:val="000000"/>
                <w:sz w:val="22"/>
                <w:szCs w:val="22"/>
              </w:rPr>
              <w:t xml:space="preserve">AT LEAST </w:t>
            </w:r>
            <w:r w:rsidR="006D6617">
              <w:rPr>
                <w:rFonts w:ascii="Times New Roman" w:eastAsia="Times New Roman" w:hAnsi="Times New Roman" w:cs="Times New Roman"/>
                <w:i/>
                <w:iCs/>
                <w:color w:val="000000"/>
                <w:sz w:val="22"/>
                <w:szCs w:val="22"/>
              </w:rPr>
              <w:t>ONE</w:t>
            </w:r>
            <w:r w:rsidR="00813EF2">
              <w:rPr>
                <w:rFonts w:ascii="Times New Roman" w:eastAsia="Times New Roman" w:hAnsi="Times New Roman" w:cs="Times New Roman"/>
                <w:i/>
                <w:iCs/>
                <w:color w:val="000000"/>
                <w:sz w:val="22"/>
                <w:szCs w:val="22"/>
              </w:rPr>
              <w:t xml:space="preserve"> </w:t>
            </w:r>
            <w:r w:rsidRPr="003A2898">
              <w:rPr>
                <w:rFonts w:ascii="Times New Roman" w:eastAsia="Times New Roman" w:hAnsi="Times New Roman" w:cs="Times New Roman"/>
                <w:i/>
                <w:iCs/>
                <w:color w:val="000000"/>
                <w:sz w:val="22"/>
                <w:szCs w:val="22"/>
              </w:rPr>
              <w:t>SUBSIDIZED</w:t>
            </w:r>
            <w:r w:rsidR="005408BB">
              <w:rPr>
                <w:rFonts w:ascii="Times New Roman" w:eastAsia="Times New Roman" w:hAnsi="Times New Roman" w:cs="Times New Roman"/>
                <w:i/>
                <w:iCs/>
                <w:color w:val="000000"/>
                <w:sz w:val="22"/>
                <w:szCs w:val="22"/>
              </w:rPr>
              <w:t xml:space="preserve"> LTE </w:t>
            </w:r>
            <w:r w:rsidR="006D6617">
              <w:rPr>
                <w:rFonts w:ascii="Times New Roman" w:eastAsia="Times New Roman" w:hAnsi="Times New Roman" w:cs="Times New Roman"/>
                <w:i/>
                <w:iCs/>
                <w:color w:val="000000"/>
                <w:sz w:val="22"/>
                <w:szCs w:val="22"/>
              </w:rPr>
              <w:t>PROVIDER</w:t>
            </w:r>
          </w:p>
        </w:tc>
        <w:tc>
          <w:tcPr>
            <w:tcW w:w="1260" w:type="dxa"/>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3A09FD54" w14:textId="77777777" w:rsidR="00F125BE" w:rsidRPr="003A2898" w:rsidRDefault="00F125BE" w:rsidP="0070553D">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3,556,007</w:t>
            </w:r>
          </w:p>
        </w:tc>
        <w:tc>
          <w:tcPr>
            <w:tcW w:w="810" w:type="dxa"/>
            <w:tcBorders>
              <w:top w:val="single" w:sz="4" w:space="0" w:color="auto"/>
              <w:left w:val="nil"/>
              <w:bottom w:val="dashed" w:sz="4" w:space="0" w:color="auto"/>
              <w:right w:val="single" w:sz="4" w:space="0" w:color="auto"/>
            </w:tcBorders>
            <w:shd w:val="clear" w:color="auto" w:fill="auto"/>
            <w:noWrap/>
            <w:vAlign w:val="center"/>
            <w:hideMark/>
          </w:tcPr>
          <w:p w14:paraId="2C4861C0" w14:textId="77777777" w:rsidR="00F125BE" w:rsidRPr="003A2898" w:rsidRDefault="00F125BE" w:rsidP="0070553D">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121</w:t>
            </w:r>
          </w:p>
        </w:tc>
        <w:tc>
          <w:tcPr>
            <w:tcW w:w="1170" w:type="dxa"/>
            <w:tcBorders>
              <w:top w:val="single" w:sz="4" w:space="0" w:color="auto"/>
              <w:left w:val="nil"/>
              <w:bottom w:val="dashed" w:sz="4" w:space="0" w:color="auto"/>
              <w:right w:val="single" w:sz="4" w:space="0" w:color="auto"/>
            </w:tcBorders>
            <w:shd w:val="clear" w:color="auto" w:fill="auto"/>
            <w:noWrap/>
            <w:vAlign w:val="center"/>
            <w:hideMark/>
          </w:tcPr>
          <w:p w14:paraId="6FDABB3E" w14:textId="77777777" w:rsidR="00F125BE" w:rsidRPr="003A2898" w:rsidRDefault="00F125BE" w:rsidP="0070553D">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783,137</w:t>
            </w:r>
          </w:p>
        </w:tc>
        <w:tc>
          <w:tcPr>
            <w:tcW w:w="1170" w:type="dxa"/>
            <w:tcBorders>
              <w:top w:val="single" w:sz="4" w:space="0" w:color="auto"/>
              <w:left w:val="nil"/>
              <w:bottom w:val="dashed" w:sz="4" w:space="0" w:color="auto"/>
              <w:right w:val="single" w:sz="4" w:space="0" w:color="auto"/>
            </w:tcBorders>
            <w:shd w:val="clear" w:color="auto" w:fill="auto"/>
            <w:noWrap/>
            <w:vAlign w:val="center"/>
            <w:hideMark/>
          </w:tcPr>
          <w:p w14:paraId="354E3814" w14:textId="77777777" w:rsidR="00F125BE" w:rsidRPr="003A2898" w:rsidRDefault="00F125BE" w:rsidP="0070553D">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2,136,688</w:t>
            </w:r>
          </w:p>
        </w:tc>
        <w:tc>
          <w:tcPr>
            <w:tcW w:w="1350" w:type="dxa"/>
            <w:tcBorders>
              <w:top w:val="single" w:sz="4" w:space="0" w:color="auto"/>
              <w:left w:val="nil"/>
              <w:bottom w:val="dashed" w:sz="4" w:space="0" w:color="auto"/>
              <w:right w:val="single" w:sz="12" w:space="0" w:color="auto"/>
            </w:tcBorders>
            <w:shd w:val="clear" w:color="auto" w:fill="auto"/>
            <w:noWrap/>
            <w:vAlign w:val="center"/>
            <w:hideMark/>
          </w:tcPr>
          <w:p w14:paraId="14CA292A" w14:textId="77777777" w:rsidR="00F125BE" w:rsidRPr="003A2898" w:rsidRDefault="00F125BE" w:rsidP="0070553D">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94,550,119</w:t>
            </w:r>
          </w:p>
        </w:tc>
        <w:tc>
          <w:tcPr>
            <w:tcW w:w="1422" w:type="dxa"/>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2A99F831" w14:textId="602BC012" w:rsidR="00F125BE" w:rsidRPr="003A2898" w:rsidRDefault="00BE4D8B" w:rsidP="0070553D">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515,331</w:t>
            </w:r>
          </w:p>
        </w:tc>
        <w:tc>
          <w:tcPr>
            <w:tcW w:w="1188" w:type="dxa"/>
            <w:tcBorders>
              <w:top w:val="single" w:sz="4" w:space="0" w:color="auto"/>
              <w:left w:val="nil"/>
              <w:bottom w:val="dashed" w:sz="4" w:space="0" w:color="auto"/>
              <w:right w:val="single" w:sz="4" w:space="0" w:color="auto"/>
            </w:tcBorders>
            <w:shd w:val="clear" w:color="auto" w:fill="auto"/>
            <w:noWrap/>
            <w:vAlign w:val="center"/>
            <w:hideMark/>
          </w:tcPr>
          <w:p w14:paraId="6FD331A9" w14:textId="77777777" w:rsidR="00F125BE" w:rsidRPr="003A2898" w:rsidRDefault="00F125BE" w:rsidP="0070553D">
            <w:pPr>
              <w:spacing w:after="0" w:line="240" w:lineRule="auto"/>
              <w:jc w:val="center"/>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 </w:t>
            </w:r>
          </w:p>
        </w:tc>
        <w:tc>
          <w:tcPr>
            <w:tcW w:w="1260" w:type="dxa"/>
            <w:tcBorders>
              <w:top w:val="single" w:sz="4" w:space="0" w:color="auto"/>
              <w:left w:val="nil"/>
              <w:bottom w:val="dashed" w:sz="4" w:space="0" w:color="auto"/>
              <w:right w:val="single" w:sz="4" w:space="0" w:color="auto"/>
            </w:tcBorders>
            <w:shd w:val="clear" w:color="auto" w:fill="auto"/>
            <w:noWrap/>
            <w:vAlign w:val="center"/>
            <w:hideMark/>
          </w:tcPr>
          <w:p w14:paraId="142513A3" w14:textId="77777777" w:rsidR="00F125BE" w:rsidRPr="003A2898" w:rsidRDefault="00F125BE" w:rsidP="0070553D">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57,348</w:t>
            </w:r>
          </w:p>
        </w:tc>
        <w:tc>
          <w:tcPr>
            <w:tcW w:w="1350" w:type="dxa"/>
            <w:tcBorders>
              <w:top w:val="single" w:sz="4" w:space="0" w:color="auto"/>
              <w:left w:val="nil"/>
              <w:bottom w:val="dashed" w:sz="4" w:space="0" w:color="auto"/>
              <w:right w:val="double" w:sz="4" w:space="0" w:color="auto"/>
            </w:tcBorders>
            <w:shd w:val="clear" w:color="auto" w:fill="auto"/>
            <w:noWrap/>
            <w:vAlign w:val="center"/>
            <w:hideMark/>
          </w:tcPr>
          <w:p w14:paraId="6D6F15C6" w14:textId="77777777" w:rsidR="00F125BE" w:rsidRPr="003A2898" w:rsidRDefault="00F125BE" w:rsidP="0070553D">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57,348</w:t>
            </w:r>
          </w:p>
        </w:tc>
      </w:tr>
      <w:tr w:rsidR="00F125BE" w:rsidRPr="003A2898" w14:paraId="40C48965" w14:textId="77777777" w:rsidTr="004054D4">
        <w:trPr>
          <w:trHeight w:val="315"/>
        </w:trPr>
        <w:tc>
          <w:tcPr>
            <w:tcW w:w="480" w:type="dxa"/>
            <w:tcBorders>
              <w:top w:val="nil"/>
              <w:right w:val="double" w:sz="4" w:space="0" w:color="auto"/>
            </w:tcBorders>
            <w:shd w:val="clear" w:color="auto" w:fill="auto"/>
            <w:vAlign w:val="center"/>
            <w:hideMark/>
          </w:tcPr>
          <w:p w14:paraId="68740770" w14:textId="77777777" w:rsidR="00F125BE" w:rsidRPr="003A2898" w:rsidRDefault="00F125BE" w:rsidP="0070553D">
            <w:pPr>
              <w:spacing w:after="0" w:line="240" w:lineRule="auto"/>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 </w:t>
            </w:r>
          </w:p>
        </w:tc>
        <w:tc>
          <w:tcPr>
            <w:tcW w:w="2840" w:type="dxa"/>
            <w:vMerge/>
            <w:tcBorders>
              <w:top w:val="single" w:sz="4" w:space="0" w:color="auto"/>
              <w:left w:val="double" w:sz="4" w:space="0" w:color="auto"/>
              <w:bottom w:val="double" w:sz="4" w:space="0" w:color="auto"/>
              <w:right w:val="single" w:sz="12" w:space="0" w:color="auto"/>
            </w:tcBorders>
            <w:vAlign w:val="center"/>
            <w:hideMark/>
          </w:tcPr>
          <w:p w14:paraId="464E4FEB" w14:textId="77777777" w:rsidR="00F125BE" w:rsidRPr="003A2898" w:rsidRDefault="00F125BE" w:rsidP="0070553D">
            <w:pPr>
              <w:spacing w:after="0" w:line="240" w:lineRule="auto"/>
              <w:rPr>
                <w:rFonts w:ascii="Times New Roman" w:eastAsia="Times New Roman" w:hAnsi="Times New Roman" w:cs="Times New Roman"/>
                <w:color w:val="000000"/>
                <w:sz w:val="22"/>
                <w:szCs w:val="22"/>
              </w:rPr>
            </w:pPr>
          </w:p>
        </w:tc>
        <w:tc>
          <w:tcPr>
            <w:tcW w:w="1260" w:type="dxa"/>
            <w:tcBorders>
              <w:top w:val="dashed" w:sz="4" w:space="0" w:color="auto"/>
              <w:left w:val="single" w:sz="12" w:space="0" w:color="auto"/>
              <w:bottom w:val="double" w:sz="4" w:space="0" w:color="auto"/>
              <w:right w:val="single" w:sz="4" w:space="0" w:color="auto"/>
            </w:tcBorders>
            <w:shd w:val="clear" w:color="auto" w:fill="auto"/>
            <w:noWrap/>
            <w:vAlign w:val="center"/>
            <w:hideMark/>
          </w:tcPr>
          <w:p w14:paraId="455CCA5B" w14:textId="77777777" w:rsidR="00F125BE" w:rsidRPr="003A2898" w:rsidRDefault="00F125BE" w:rsidP="0070553D">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33.6%</w:t>
            </w:r>
          </w:p>
        </w:tc>
        <w:tc>
          <w:tcPr>
            <w:tcW w:w="810" w:type="dxa"/>
            <w:tcBorders>
              <w:top w:val="dashed" w:sz="4" w:space="0" w:color="auto"/>
              <w:left w:val="single" w:sz="4" w:space="0" w:color="auto"/>
              <w:bottom w:val="double" w:sz="4" w:space="0" w:color="auto"/>
              <w:right w:val="single" w:sz="4" w:space="0" w:color="auto"/>
            </w:tcBorders>
            <w:shd w:val="clear" w:color="auto" w:fill="auto"/>
            <w:noWrap/>
            <w:vAlign w:val="center"/>
            <w:hideMark/>
          </w:tcPr>
          <w:p w14:paraId="13CBD2B0" w14:textId="77777777" w:rsidR="00F125BE" w:rsidRPr="003A2898" w:rsidRDefault="00F125BE" w:rsidP="0070553D">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 </w:t>
            </w:r>
          </w:p>
        </w:tc>
        <w:tc>
          <w:tcPr>
            <w:tcW w:w="1170" w:type="dxa"/>
            <w:tcBorders>
              <w:top w:val="dashed" w:sz="4" w:space="0" w:color="auto"/>
              <w:left w:val="nil"/>
              <w:bottom w:val="double" w:sz="4" w:space="0" w:color="auto"/>
              <w:right w:val="single" w:sz="4" w:space="0" w:color="auto"/>
            </w:tcBorders>
            <w:shd w:val="clear" w:color="auto" w:fill="auto"/>
            <w:noWrap/>
            <w:vAlign w:val="center"/>
            <w:hideMark/>
          </w:tcPr>
          <w:p w14:paraId="0D5E644F" w14:textId="77777777" w:rsidR="00F125BE" w:rsidRPr="003A2898" w:rsidRDefault="00F125BE" w:rsidP="0070553D">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26.4%</w:t>
            </w:r>
          </w:p>
        </w:tc>
        <w:tc>
          <w:tcPr>
            <w:tcW w:w="1170" w:type="dxa"/>
            <w:tcBorders>
              <w:top w:val="dashed" w:sz="4" w:space="0" w:color="auto"/>
              <w:left w:val="nil"/>
              <w:bottom w:val="double" w:sz="4" w:space="0" w:color="auto"/>
              <w:right w:val="single" w:sz="4" w:space="0" w:color="auto"/>
            </w:tcBorders>
            <w:shd w:val="clear" w:color="auto" w:fill="auto"/>
            <w:noWrap/>
            <w:vAlign w:val="center"/>
            <w:hideMark/>
          </w:tcPr>
          <w:p w14:paraId="793AF147" w14:textId="77777777" w:rsidR="00F125BE" w:rsidRPr="003A2898" w:rsidRDefault="00F125BE" w:rsidP="0070553D">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31.5%</w:t>
            </w:r>
          </w:p>
        </w:tc>
        <w:tc>
          <w:tcPr>
            <w:tcW w:w="1350" w:type="dxa"/>
            <w:tcBorders>
              <w:top w:val="dashed" w:sz="4" w:space="0" w:color="auto"/>
              <w:left w:val="single" w:sz="4" w:space="0" w:color="auto"/>
              <w:bottom w:val="double" w:sz="4" w:space="0" w:color="auto"/>
              <w:right w:val="single" w:sz="12" w:space="0" w:color="auto"/>
            </w:tcBorders>
            <w:shd w:val="clear" w:color="auto" w:fill="auto"/>
            <w:noWrap/>
            <w:vAlign w:val="center"/>
            <w:hideMark/>
          </w:tcPr>
          <w:p w14:paraId="6547350A" w14:textId="77777777" w:rsidR="00F125BE" w:rsidRPr="003A2898" w:rsidRDefault="00F125BE" w:rsidP="0070553D">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30.3%</w:t>
            </w:r>
          </w:p>
        </w:tc>
        <w:tc>
          <w:tcPr>
            <w:tcW w:w="1422" w:type="dxa"/>
            <w:tcBorders>
              <w:top w:val="dashed" w:sz="4" w:space="0" w:color="auto"/>
              <w:left w:val="single" w:sz="12" w:space="0" w:color="auto"/>
              <w:bottom w:val="double" w:sz="4" w:space="0" w:color="auto"/>
              <w:right w:val="single" w:sz="4" w:space="0" w:color="auto"/>
            </w:tcBorders>
            <w:shd w:val="clear" w:color="auto" w:fill="auto"/>
            <w:noWrap/>
            <w:vAlign w:val="center"/>
            <w:hideMark/>
          </w:tcPr>
          <w:p w14:paraId="77CAB166" w14:textId="663FFA2C" w:rsidR="00F125BE" w:rsidRPr="003A2898" w:rsidRDefault="00BE4D8B" w:rsidP="0070553D">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r w:rsidR="00F125BE" w:rsidRPr="003A2898">
              <w:rPr>
                <w:rFonts w:ascii="Times New Roman" w:eastAsia="Times New Roman" w:hAnsi="Times New Roman" w:cs="Times New Roman"/>
                <w:color w:val="000000"/>
                <w:sz w:val="22"/>
                <w:szCs w:val="22"/>
              </w:rPr>
              <w:t>4.3%</w:t>
            </w:r>
          </w:p>
        </w:tc>
        <w:tc>
          <w:tcPr>
            <w:tcW w:w="1188" w:type="dxa"/>
            <w:tcBorders>
              <w:top w:val="dashed" w:sz="4" w:space="0" w:color="auto"/>
              <w:left w:val="nil"/>
              <w:bottom w:val="double" w:sz="4" w:space="0" w:color="auto"/>
              <w:right w:val="single" w:sz="4" w:space="0" w:color="auto"/>
            </w:tcBorders>
            <w:shd w:val="clear" w:color="auto" w:fill="auto"/>
            <w:noWrap/>
            <w:vAlign w:val="center"/>
            <w:hideMark/>
          </w:tcPr>
          <w:p w14:paraId="36047E0E" w14:textId="77777777" w:rsidR="00F125BE" w:rsidRPr="003A2898" w:rsidRDefault="00F125BE" w:rsidP="0070553D">
            <w:pPr>
              <w:spacing w:after="0" w:line="240" w:lineRule="auto"/>
              <w:jc w:val="right"/>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 </w:t>
            </w:r>
          </w:p>
        </w:tc>
        <w:tc>
          <w:tcPr>
            <w:tcW w:w="1260" w:type="dxa"/>
            <w:tcBorders>
              <w:top w:val="dashed" w:sz="4" w:space="0" w:color="auto"/>
              <w:left w:val="nil"/>
              <w:bottom w:val="double" w:sz="4" w:space="0" w:color="auto"/>
              <w:right w:val="single" w:sz="4" w:space="0" w:color="auto"/>
            </w:tcBorders>
            <w:shd w:val="clear" w:color="auto" w:fill="auto"/>
            <w:noWrap/>
            <w:vAlign w:val="center"/>
            <w:hideMark/>
          </w:tcPr>
          <w:p w14:paraId="6564BD6B" w14:textId="6C5FB694" w:rsidR="00F125BE" w:rsidRPr="003A2898" w:rsidRDefault="0071400C" w:rsidP="0070553D">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54.8</w:t>
            </w:r>
            <w:r w:rsidR="00F125BE" w:rsidRPr="003A2898">
              <w:rPr>
                <w:rFonts w:ascii="Times New Roman" w:eastAsia="Times New Roman" w:hAnsi="Times New Roman" w:cs="Times New Roman"/>
                <w:color w:val="000000"/>
                <w:sz w:val="22"/>
                <w:szCs w:val="22"/>
              </w:rPr>
              <w:t>%</w:t>
            </w:r>
          </w:p>
        </w:tc>
        <w:tc>
          <w:tcPr>
            <w:tcW w:w="1350" w:type="dxa"/>
            <w:tcBorders>
              <w:top w:val="dashed" w:sz="4" w:space="0" w:color="auto"/>
              <w:left w:val="single" w:sz="4" w:space="0" w:color="auto"/>
              <w:bottom w:val="double" w:sz="4" w:space="0" w:color="auto"/>
              <w:right w:val="double" w:sz="4" w:space="0" w:color="auto"/>
            </w:tcBorders>
            <w:shd w:val="clear" w:color="auto" w:fill="auto"/>
            <w:noWrap/>
            <w:vAlign w:val="center"/>
            <w:hideMark/>
          </w:tcPr>
          <w:p w14:paraId="64C3A602" w14:textId="3AC623A9" w:rsidR="00F125BE" w:rsidRPr="003A2898" w:rsidRDefault="0071400C" w:rsidP="0070553D">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r w:rsidR="00F125BE" w:rsidRPr="003A2898">
              <w:rPr>
                <w:rFonts w:ascii="Times New Roman" w:eastAsia="Times New Roman" w:hAnsi="Times New Roman" w:cs="Times New Roman"/>
                <w:color w:val="000000"/>
                <w:sz w:val="22"/>
                <w:szCs w:val="22"/>
              </w:rPr>
              <w:t>%</w:t>
            </w:r>
          </w:p>
        </w:tc>
      </w:tr>
    </w:tbl>
    <w:p w14:paraId="219133C2" w14:textId="4431F5A2" w:rsidR="00315F90" w:rsidRDefault="00F125BE" w:rsidP="0070553D">
      <w:pPr>
        <w:spacing w:after="0" w:line="240" w:lineRule="auto"/>
        <w:ind w:right="-86"/>
        <w:rPr>
          <w:rFonts w:ascii="Times New Roman" w:hAnsi="Times New Roman" w:cs="Times New Roman"/>
          <w:sz w:val="22"/>
          <w:szCs w:val="22"/>
        </w:rPr>
      </w:pPr>
      <w:r w:rsidRPr="009D6679">
        <w:rPr>
          <w:rFonts w:ascii="Times New Roman" w:hAnsi="Times New Roman" w:cs="Times New Roman"/>
          <w:sz w:val="22"/>
          <w:szCs w:val="22"/>
        </w:rPr>
        <w:t>Note: Based on Form 477 December 2015 coverage data. 2010 Census data on population and road</w:t>
      </w:r>
      <w:r w:rsidR="00323E8E">
        <w:rPr>
          <w:rFonts w:ascii="Times New Roman" w:hAnsi="Times New Roman" w:cs="Times New Roman"/>
          <w:sz w:val="22"/>
          <w:szCs w:val="22"/>
        </w:rPr>
        <w:t xml:space="preserve"> </w:t>
      </w:r>
      <w:r w:rsidRPr="009D6679">
        <w:rPr>
          <w:rFonts w:ascii="Times New Roman" w:hAnsi="Times New Roman" w:cs="Times New Roman"/>
          <w:sz w:val="22"/>
          <w:szCs w:val="22"/>
        </w:rPr>
        <w:t xml:space="preserve">miles. </w:t>
      </w:r>
      <w:r>
        <w:rPr>
          <w:rFonts w:ascii="Times New Roman" w:hAnsi="Times New Roman" w:cs="Times New Roman"/>
          <w:sz w:val="22"/>
          <w:szCs w:val="22"/>
        </w:rPr>
        <w:t xml:space="preserve">Subsidy data is from USAC’s December 2015 High-cost database and </w:t>
      </w:r>
      <w:r w:rsidR="00B524E8">
        <w:rPr>
          <w:rFonts w:ascii="Times New Roman" w:hAnsi="Times New Roman" w:cs="Times New Roman"/>
          <w:sz w:val="22"/>
          <w:szCs w:val="22"/>
        </w:rPr>
        <w:t>MF-I</w:t>
      </w:r>
      <w:r>
        <w:rPr>
          <w:rFonts w:ascii="Times New Roman" w:hAnsi="Times New Roman" w:cs="Times New Roman"/>
          <w:sz w:val="22"/>
          <w:szCs w:val="22"/>
        </w:rPr>
        <w:t xml:space="preserve"> auction data. </w:t>
      </w:r>
      <w:r w:rsidR="00904BE8">
        <w:rPr>
          <w:rFonts w:ascii="Times New Roman" w:hAnsi="Times New Roman" w:cs="Times New Roman"/>
          <w:sz w:val="22"/>
          <w:szCs w:val="22"/>
        </w:rPr>
        <w:t>Blocks exclude Alaska and w</w:t>
      </w:r>
      <w:r w:rsidRPr="009D6679">
        <w:rPr>
          <w:rFonts w:ascii="Times New Roman" w:hAnsi="Times New Roman" w:cs="Times New Roman"/>
          <w:sz w:val="22"/>
          <w:szCs w:val="22"/>
        </w:rPr>
        <w:t>ater</w:t>
      </w:r>
      <w:r w:rsidR="00B70598">
        <w:rPr>
          <w:rFonts w:ascii="Times New Roman" w:hAnsi="Times New Roman" w:cs="Times New Roman"/>
          <w:sz w:val="22"/>
          <w:szCs w:val="22"/>
        </w:rPr>
        <w:t>-</w:t>
      </w:r>
      <w:r w:rsidR="00D858D6">
        <w:rPr>
          <w:rFonts w:ascii="Times New Roman" w:hAnsi="Times New Roman" w:cs="Times New Roman"/>
          <w:sz w:val="22"/>
          <w:szCs w:val="22"/>
        </w:rPr>
        <w:t>only blocks</w:t>
      </w:r>
      <w:r w:rsidR="00E83A0D">
        <w:rPr>
          <w:rFonts w:ascii="Times New Roman" w:hAnsi="Times New Roman" w:cs="Times New Roman"/>
          <w:sz w:val="22"/>
          <w:szCs w:val="22"/>
        </w:rPr>
        <w:t xml:space="preserve">. </w:t>
      </w:r>
      <w:r w:rsidRPr="009D6679">
        <w:rPr>
          <w:rFonts w:ascii="Times New Roman" w:hAnsi="Times New Roman" w:cs="Times New Roman"/>
          <w:sz w:val="22"/>
          <w:szCs w:val="22"/>
        </w:rPr>
        <w:t>100% service is actually calculated as 99.9% service to tak</w:t>
      </w:r>
      <w:r w:rsidR="00744C36">
        <w:rPr>
          <w:rFonts w:ascii="Times New Roman" w:hAnsi="Times New Roman" w:cs="Times New Roman"/>
          <w:sz w:val="22"/>
          <w:szCs w:val="22"/>
        </w:rPr>
        <w:t xml:space="preserve">e coverage bleed into account. </w:t>
      </w:r>
    </w:p>
    <w:p w14:paraId="2EAFEA0B" w14:textId="77777777" w:rsidR="00A43FC2" w:rsidRDefault="00A43FC2" w:rsidP="0070553D">
      <w:pPr>
        <w:spacing w:after="0" w:line="240" w:lineRule="auto"/>
        <w:jc w:val="center"/>
        <w:rPr>
          <w:rFonts w:ascii="Times New Roman" w:hAnsi="Times New Roman" w:cs="Times New Roman"/>
          <w:b/>
          <w:sz w:val="24"/>
          <w:szCs w:val="24"/>
          <w:u w:val="single"/>
        </w:rPr>
      </w:pPr>
    </w:p>
    <w:p w14:paraId="3B79EDE9" w14:textId="77777777" w:rsidR="00744C36" w:rsidRDefault="00744C36">
      <w:pPr>
        <w:spacing w:after="200" w:line="276"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4371033C" w14:textId="5DB67380" w:rsidR="00F125BE" w:rsidRPr="00C374CC" w:rsidRDefault="00F125BE" w:rsidP="00744C36">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Table </w:t>
      </w:r>
      <w:r w:rsidR="00F42C5F">
        <w:rPr>
          <w:rFonts w:ascii="Times New Roman" w:hAnsi="Times New Roman" w:cs="Times New Roman"/>
          <w:b/>
          <w:sz w:val="24"/>
          <w:szCs w:val="24"/>
          <w:u w:val="single"/>
        </w:rPr>
        <w:t>3</w:t>
      </w:r>
      <w:r>
        <w:rPr>
          <w:rFonts w:ascii="Times New Roman" w:hAnsi="Times New Roman" w:cs="Times New Roman"/>
          <w:b/>
          <w:sz w:val="24"/>
          <w:szCs w:val="24"/>
          <w:u w:val="single"/>
        </w:rPr>
        <w:t>-</w:t>
      </w:r>
      <w:r w:rsidR="00156B8B">
        <w:rPr>
          <w:rFonts w:ascii="Times New Roman" w:hAnsi="Times New Roman" w:cs="Times New Roman"/>
          <w:b/>
          <w:sz w:val="24"/>
          <w:szCs w:val="24"/>
          <w:u w:val="single"/>
        </w:rPr>
        <w:t>ii</w:t>
      </w:r>
    </w:p>
    <w:p w14:paraId="6195E558" w14:textId="38A572BA" w:rsidR="00F125BE" w:rsidRPr="003A2898" w:rsidRDefault="00F125BE" w:rsidP="0070553D">
      <w:pPr>
        <w:spacing w:after="0" w:line="240" w:lineRule="auto"/>
        <w:jc w:val="center"/>
        <w:rPr>
          <w:rFonts w:ascii="Times New Roman" w:hAnsi="Times New Roman" w:cs="Times New Roman"/>
          <w:b/>
          <w:sz w:val="24"/>
          <w:szCs w:val="24"/>
          <w:u w:val="single"/>
        </w:rPr>
      </w:pPr>
      <w:r w:rsidRPr="002A4C8F">
        <w:rPr>
          <w:rFonts w:ascii="Times New Roman" w:hAnsi="Times New Roman" w:cs="Times New Roman"/>
          <w:b/>
          <w:sz w:val="24"/>
          <w:szCs w:val="24"/>
          <w:u w:val="single"/>
        </w:rPr>
        <w:t>US Coverage Analysis (</w:t>
      </w:r>
      <w:r w:rsidR="00241FBF">
        <w:rPr>
          <w:rFonts w:ascii="Times New Roman" w:hAnsi="Times New Roman" w:cs="Times New Roman"/>
          <w:b/>
          <w:sz w:val="24"/>
          <w:szCs w:val="24"/>
          <w:u w:val="single"/>
        </w:rPr>
        <w:t>Excluding</w:t>
      </w:r>
      <w:r w:rsidR="00241FBF" w:rsidRPr="002A4C8F">
        <w:rPr>
          <w:rFonts w:ascii="Times New Roman" w:hAnsi="Times New Roman" w:cs="Times New Roman"/>
          <w:b/>
          <w:sz w:val="24"/>
          <w:szCs w:val="24"/>
          <w:u w:val="single"/>
        </w:rPr>
        <w:t xml:space="preserve"> </w:t>
      </w:r>
      <w:r w:rsidRPr="002A4C8F">
        <w:rPr>
          <w:rFonts w:ascii="Times New Roman" w:hAnsi="Times New Roman" w:cs="Times New Roman"/>
          <w:b/>
          <w:sz w:val="24"/>
          <w:szCs w:val="24"/>
          <w:u w:val="single"/>
        </w:rPr>
        <w:t>Alaska)</w:t>
      </w:r>
      <w:r>
        <w:rPr>
          <w:rFonts w:ascii="Times New Roman" w:hAnsi="Times New Roman" w:cs="Times New Roman"/>
          <w:b/>
          <w:sz w:val="24"/>
          <w:szCs w:val="24"/>
          <w:u w:val="single"/>
        </w:rPr>
        <w:t>:  Analysis of LTE Network Coverage and Current Universal Service Support</w:t>
      </w:r>
    </w:p>
    <w:p w14:paraId="4E8C44EC" w14:textId="398A049E" w:rsidR="00F125BE" w:rsidRDefault="00F125BE" w:rsidP="00744C36">
      <w:pPr>
        <w:spacing w:after="240" w:line="240" w:lineRule="auto"/>
        <w:jc w:val="center"/>
        <w:rPr>
          <w:rFonts w:ascii="Times New Roman" w:hAnsi="Times New Roman" w:cs="Times New Roman"/>
          <w:b/>
          <w:sz w:val="24"/>
          <w:szCs w:val="24"/>
          <w:u w:val="single"/>
        </w:rPr>
      </w:pPr>
      <w:r w:rsidRPr="003A2898">
        <w:rPr>
          <w:rFonts w:ascii="Times New Roman" w:hAnsi="Times New Roman" w:cs="Times New Roman"/>
          <w:b/>
          <w:sz w:val="24"/>
          <w:szCs w:val="24"/>
          <w:u w:val="single"/>
        </w:rPr>
        <w:t>Road</w:t>
      </w:r>
      <w:r w:rsidR="00323E8E">
        <w:rPr>
          <w:rFonts w:ascii="Times New Roman" w:hAnsi="Times New Roman" w:cs="Times New Roman"/>
          <w:b/>
          <w:sz w:val="24"/>
          <w:szCs w:val="24"/>
          <w:u w:val="single"/>
        </w:rPr>
        <w:t xml:space="preserve"> M</w:t>
      </w:r>
      <w:r w:rsidRPr="003A2898">
        <w:rPr>
          <w:rFonts w:ascii="Times New Roman" w:hAnsi="Times New Roman" w:cs="Times New Roman"/>
          <w:b/>
          <w:sz w:val="24"/>
          <w:szCs w:val="24"/>
          <w:u w:val="single"/>
        </w:rPr>
        <w:t xml:space="preserve">iles and Population Coverage </w:t>
      </w:r>
    </w:p>
    <w:tbl>
      <w:tblPr>
        <w:tblW w:w="13940" w:type="dxa"/>
        <w:tblLayout w:type="fixed"/>
        <w:tblLook w:val="04A0" w:firstRow="1" w:lastRow="0" w:firstColumn="1" w:lastColumn="0" w:noHBand="0" w:noVBand="1"/>
      </w:tblPr>
      <w:tblGrid>
        <w:gridCol w:w="585"/>
        <w:gridCol w:w="2010"/>
        <w:gridCol w:w="1445"/>
        <w:gridCol w:w="1170"/>
        <w:gridCol w:w="1350"/>
        <w:gridCol w:w="1530"/>
        <w:gridCol w:w="1440"/>
        <w:gridCol w:w="1440"/>
        <w:gridCol w:w="1440"/>
        <w:gridCol w:w="1530"/>
      </w:tblGrid>
      <w:tr w:rsidR="0041725B" w:rsidRPr="00FD7A51" w14:paraId="7F76A0E4" w14:textId="77777777" w:rsidTr="00A43FC2">
        <w:trPr>
          <w:trHeight w:val="300"/>
        </w:trPr>
        <w:tc>
          <w:tcPr>
            <w:tcW w:w="585" w:type="dxa"/>
            <w:tcBorders>
              <w:top w:val="double" w:sz="4" w:space="0" w:color="auto"/>
              <w:left w:val="double" w:sz="4" w:space="0" w:color="auto"/>
              <w:bottom w:val="nil"/>
              <w:right w:val="nil"/>
            </w:tcBorders>
            <w:shd w:val="clear" w:color="auto" w:fill="auto"/>
            <w:vAlign w:val="center"/>
            <w:hideMark/>
          </w:tcPr>
          <w:p w14:paraId="763CF769" w14:textId="77777777" w:rsidR="0041725B" w:rsidRPr="00FD7A51" w:rsidRDefault="0041725B" w:rsidP="0070553D">
            <w:pPr>
              <w:spacing w:after="0" w:line="240" w:lineRule="auto"/>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 </w:t>
            </w:r>
          </w:p>
        </w:tc>
        <w:tc>
          <w:tcPr>
            <w:tcW w:w="2010" w:type="dxa"/>
            <w:tcBorders>
              <w:top w:val="double" w:sz="4" w:space="0" w:color="auto"/>
              <w:left w:val="nil"/>
              <w:right w:val="single" w:sz="12" w:space="0" w:color="auto"/>
            </w:tcBorders>
            <w:shd w:val="clear" w:color="auto" w:fill="auto"/>
            <w:vAlign w:val="center"/>
            <w:hideMark/>
          </w:tcPr>
          <w:p w14:paraId="1BEC63A5" w14:textId="77777777" w:rsidR="0041725B" w:rsidRPr="00FD7A51" w:rsidRDefault="0041725B" w:rsidP="0070553D">
            <w:pPr>
              <w:spacing w:after="0" w:line="240" w:lineRule="auto"/>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 </w:t>
            </w:r>
          </w:p>
        </w:tc>
        <w:tc>
          <w:tcPr>
            <w:tcW w:w="1445" w:type="dxa"/>
            <w:vMerge w:val="restart"/>
            <w:tcBorders>
              <w:top w:val="double" w:sz="4" w:space="0" w:color="auto"/>
              <w:left w:val="single" w:sz="12" w:space="0" w:color="auto"/>
              <w:bottom w:val="single" w:sz="8" w:space="0" w:color="auto"/>
              <w:right w:val="single" w:sz="4" w:space="0" w:color="auto"/>
            </w:tcBorders>
            <w:shd w:val="clear" w:color="000000" w:fill="E2EFDA"/>
            <w:vAlign w:val="center"/>
            <w:hideMark/>
          </w:tcPr>
          <w:p w14:paraId="54AB2D82" w14:textId="7C4CDA10" w:rsidR="0041725B" w:rsidRPr="00FD7A51" w:rsidRDefault="0041725B" w:rsidP="00323E8E">
            <w:pPr>
              <w:spacing w:after="0" w:line="240" w:lineRule="auto"/>
              <w:jc w:val="center"/>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Est'd R</w:t>
            </w:r>
            <w:r>
              <w:rPr>
                <w:rFonts w:ascii="Times New Roman" w:eastAsia="Times New Roman" w:hAnsi="Times New Roman" w:cs="Times New Roman"/>
                <w:color w:val="000000"/>
                <w:sz w:val="22"/>
                <w:szCs w:val="22"/>
              </w:rPr>
              <w:t>oad</w:t>
            </w:r>
            <w:r w:rsidR="00323E8E">
              <w:rPr>
                <w:rFonts w:ascii="Times New Roman" w:eastAsia="Times New Roman" w:hAnsi="Times New Roman" w:cs="Times New Roman"/>
                <w:color w:val="000000"/>
                <w:sz w:val="22"/>
                <w:szCs w:val="22"/>
              </w:rPr>
              <w:t xml:space="preserve"> M</w:t>
            </w:r>
            <w:r>
              <w:rPr>
                <w:rFonts w:ascii="Times New Roman" w:eastAsia="Times New Roman" w:hAnsi="Times New Roman" w:cs="Times New Roman"/>
                <w:color w:val="000000"/>
                <w:sz w:val="22"/>
                <w:szCs w:val="22"/>
              </w:rPr>
              <w:t>iles in Areas with Unsubsi</w:t>
            </w:r>
            <w:r w:rsidRPr="00FD7A51">
              <w:rPr>
                <w:rFonts w:ascii="Times New Roman" w:eastAsia="Times New Roman" w:hAnsi="Times New Roman" w:cs="Times New Roman"/>
                <w:color w:val="000000"/>
                <w:sz w:val="22"/>
                <w:szCs w:val="22"/>
              </w:rPr>
              <w:t>dized LTE Coverage</w:t>
            </w:r>
          </w:p>
        </w:tc>
        <w:tc>
          <w:tcPr>
            <w:tcW w:w="1170" w:type="dxa"/>
            <w:vMerge w:val="restart"/>
            <w:tcBorders>
              <w:top w:val="double" w:sz="4" w:space="0" w:color="auto"/>
              <w:left w:val="single" w:sz="4" w:space="0" w:color="auto"/>
              <w:bottom w:val="single" w:sz="4" w:space="0" w:color="auto"/>
              <w:right w:val="single" w:sz="4" w:space="0" w:color="auto"/>
            </w:tcBorders>
            <w:shd w:val="clear" w:color="000000" w:fill="E2EFDA"/>
            <w:vAlign w:val="center"/>
            <w:hideMark/>
          </w:tcPr>
          <w:p w14:paraId="45FDB303" w14:textId="20E3E37A" w:rsidR="0041725B" w:rsidRPr="00FD7A51" w:rsidRDefault="0041725B" w:rsidP="00323E8E">
            <w:pPr>
              <w:spacing w:after="0" w:line="240" w:lineRule="auto"/>
              <w:jc w:val="center"/>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Est'd Road</w:t>
            </w:r>
            <w:r w:rsidR="00323E8E">
              <w:rPr>
                <w:rFonts w:ascii="Times New Roman" w:eastAsia="Times New Roman" w:hAnsi="Times New Roman" w:cs="Times New Roman"/>
                <w:color w:val="000000"/>
                <w:sz w:val="22"/>
                <w:szCs w:val="22"/>
              </w:rPr>
              <w:t xml:space="preserve"> M</w:t>
            </w:r>
            <w:r w:rsidRPr="00FD7A51">
              <w:rPr>
                <w:rFonts w:ascii="Times New Roman" w:eastAsia="Times New Roman" w:hAnsi="Times New Roman" w:cs="Times New Roman"/>
                <w:color w:val="000000"/>
                <w:sz w:val="22"/>
                <w:szCs w:val="22"/>
              </w:rPr>
              <w:t>iles in Areas with No LTE Coverage</w:t>
            </w:r>
          </w:p>
        </w:tc>
        <w:tc>
          <w:tcPr>
            <w:tcW w:w="1350" w:type="dxa"/>
            <w:vMerge w:val="restart"/>
            <w:tcBorders>
              <w:top w:val="double" w:sz="4" w:space="0" w:color="auto"/>
              <w:left w:val="single" w:sz="4" w:space="0" w:color="auto"/>
              <w:bottom w:val="single" w:sz="4" w:space="0" w:color="auto"/>
              <w:right w:val="single" w:sz="4" w:space="0" w:color="auto"/>
            </w:tcBorders>
            <w:shd w:val="clear" w:color="000000" w:fill="E2EFDA"/>
            <w:vAlign w:val="center"/>
            <w:hideMark/>
          </w:tcPr>
          <w:p w14:paraId="30C94B50" w14:textId="6FF898E0" w:rsidR="0041725B" w:rsidRPr="00FD7A51" w:rsidRDefault="0041725B" w:rsidP="00323E8E">
            <w:pPr>
              <w:spacing w:after="0" w:line="240" w:lineRule="auto"/>
              <w:jc w:val="center"/>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Est'd Road</w:t>
            </w:r>
            <w:r w:rsidR="00323E8E">
              <w:rPr>
                <w:rFonts w:ascii="Times New Roman" w:eastAsia="Times New Roman" w:hAnsi="Times New Roman" w:cs="Times New Roman"/>
                <w:color w:val="000000"/>
                <w:sz w:val="22"/>
                <w:szCs w:val="22"/>
              </w:rPr>
              <w:t xml:space="preserve"> M</w:t>
            </w:r>
            <w:r w:rsidRPr="00FD7A51">
              <w:rPr>
                <w:rFonts w:ascii="Times New Roman" w:eastAsia="Times New Roman" w:hAnsi="Times New Roman" w:cs="Times New Roman"/>
                <w:color w:val="000000"/>
                <w:sz w:val="22"/>
                <w:szCs w:val="22"/>
              </w:rPr>
              <w:t>iles in Areas with Only Subsidized LTE</w:t>
            </w:r>
          </w:p>
        </w:tc>
        <w:tc>
          <w:tcPr>
            <w:tcW w:w="1530" w:type="dxa"/>
            <w:vMerge w:val="restart"/>
            <w:tcBorders>
              <w:top w:val="double" w:sz="4" w:space="0" w:color="auto"/>
              <w:left w:val="single" w:sz="4" w:space="0" w:color="auto"/>
              <w:bottom w:val="single" w:sz="4" w:space="0" w:color="auto"/>
              <w:right w:val="single" w:sz="12" w:space="0" w:color="auto"/>
            </w:tcBorders>
            <w:shd w:val="clear" w:color="000000" w:fill="E2EFDA"/>
            <w:vAlign w:val="center"/>
            <w:hideMark/>
          </w:tcPr>
          <w:p w14:paraId="355B1202" w14:textId="772AC3FE" w:rsidR="0041725B" w:rsidRPr="00FD7A51" w:rsidRDefault="0041725B" w:rsidP="00323E8E">
            <w:pPr>
              <w:spacing w:after="0" w:line="240" w:lineRule="auto"/>
              <w:jc w:val="center"/>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Totals - Est'd Road</w:t>
            </w:r>
            <w:r w:rsidR="00323E8E">
              <w:rPr>
                <w:rFonts w:ascii="Times New Roman" w:eastAsia="Times New Roman" w:hAnsi="Times New Roman" w:cs="Times New Roman"/>
                <w:color w:val="000000"/>
                <w:sz w:val="22"/>
                <w:szCs w:val="22"/>
              </w:rPr>
              <w:t xml:space="preserve"> M</w:t>
            </w:r>
            <w:r w:rsidRPr="00FD7A51">
              <w:rPr>
                <w:rFonts w:ascii="Times New Roman" w:eastAsia="Times New Roman" w:hAnsi="Times New Roman" w:cs="Times New Roman"/>
                <w:color w:val="000000"/>
                <w:sz w:val="22"/>
                <w:szCs w:val="22"/>
              </w:rPr>
              <w:t>iles in Areas with No LTE or Only Subsidized LTE</w:t>
            </w:r>
          </w:p>
        </w:tc>
        <w:tc>
          <w:tcPr>
            <w:tcW w:w="1440" w:type="dxa"/>
            <w:vMerge w:val="restart"/>
            <w:tcBorders>
              <w:top w:val="double" w:sz="4" w:space="0" w:color="auto"/>
              <w:left w:val="single" w:sz="12" w:space="0" w:color="auto"/>
              <w:bottom w:val="single" w:sz="4" w:space="0" w:color="auto"/>
              <w:right w:val="single" w:sz="4" w:space="0" w:color="auto"/>
            </w:tcBorders>
            <w:shd w:val="clear" w:color="000000" w:fill="E2EFDA"/>
            <w:vAlign w:val="center"/>
            <w:hideMark/>
          </w:tcPr>
          <w:p w14:paraId="01CE9752" w14:textId="3FB9E34C" w:rsidR="0041725B" w:rsidRPr="00FD7A51" w:rsidRDefault="0041725B" w:rsidP="0070553D">
            <w:pPr>
              <w:spacing w:after="0" w:line="240" w:lineRule="auto"/>
              <w:jc w:val="center"/>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E</w:t>
            </w:r>
            <w:r>
              <w:rPr>
                <w:rFonts w:ascii="Times New Roman" w:eastAsia="Times New Roman" w:hAnsi="Times New Roman" w:cs="Times New Roman"/>
                <w:color w:val="000000"/>
                <w:sz w:val="22"/>
                <w:szCs w:val="22"/>
              </w:rPr>
              <w:t>st'd Pops in Areas with Unsubsi</w:t>
            </w:r>
            <w:r w:rsidRPr="00FD7A51">
              <w:rPr>
                <w:rFonts w:ascii="Times New Roman" w:eastAsia="Times New Roman" w:hAnsi="Times New Roman" w:cs="Times New Roman"/>
                <w:color w:val="000000"/>
                <w:sz w:val="22"/>
                <w:szCs w:val="22"/>
              </w:rPr>
              <w:t>dized LTE Coverage</w:t>
            </w:r>
          </w:p>
        </w:tc>
        <w:tc>
          <w:tcPr>
            <w:tcW w:w="1440" w:type="dxa"/>
            <w:vMerge w:val="restart"/>
            <w:tcBorders>
              <w:top w:val="double" w:sz="4" w:space="0" w:color="auto"/>
              <w:left w:val="single" w:sz="4" w:space="0" w:color="auto"/>
              <w:bottom w:val="single" w:sz="4" w:space="0" w:color="auto"/>
              <w:right w:val="single" w:sz="4" w:space="0" w:color="auto"/>
            </w:tcBorders>
            <w:shd w:val="clear" w:color="000000" w:fill="E2EFDA"/>
            <w:vAlign w:val="center"/>
            <w:hideMark/>
          </w:tcPr>
          <w:p w14:paraId="6D8FC7EE" w14:textId="77777777" w:rsidR="0041725B" w:rsidRPr="00FD7A51" w:rsidRDefault="0041725B" w:rsidP="0070553D">
            <w:pPr>
              <w:spacing w:after="0" w:line="240" w:lineRule="auto"/>
              <w:jc w:val="center"/>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Est'd Pops in Areas with No LTE Coverage</w:t>
            </w:r>
          </w:p>
        </w:tc>
        <w:tc>
          <w:tcPr>
            <w:tcW w:w="1440" w:type="dxa"/>
            <w:vMerge w:val="restart"/>
            <w:tcBorders>
              <w:top w:val="double" w:sz="4" w:space="0" w:color="auto"/>
              <w:left w:val="single" w:sz="4" w:space="0" w:color="auto"/>
              <w:bottom w:val="single" w:sz="4" w:space="0" w:color="auto"/>
              <w:right w:val="single" w:sz="4" w:space="0" w:color="auto"/>
            </w:tcBorders>
            <w:shd w:val="clear" w:color="000000" w:fill="E2EFDA"/>
            <w:vAlign w:val="center"/>
            <w:hideMark/>
          </w:tcPr>
          <w:p w14:paraId="3FF5D692" w14:textId="77777777" w:rsidR="0041725B" w:rsidRPr="00FD7A51" w:rsidRDefault="0041725B" w:rsidP="0070553D">
            <w:pPr>
              <w:spacing w:after="0" w:line="240" w:lineRule="auto"/>
              <w:jc w:val="center"/>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Est'd Pops in Areas with Only Subsidized LTE</w:t>
            </w:r>
          </w:p>
        </w:tc>
        <w:tc>
          <w:tcPr>
            <w:tcW w:w="1530" w:type="dxa"/>
            <w:vMerge w:val="restart"/>
            <w:tcBorders>
              <w:top w:val="double" w:sz="4" w:space="0" w:color="auto"/>
              <w:left w:val="single" w:sz="4" w:space="0" w:color="auto"/>
              <w:bottom w:val="single" w:sz="4" w:space="0" w:color="auto"/>
              <w:right w:val="double" w:sz="4" w:space="0" w:color="auto"/>
            </w:tcBorders>
            <w:shd w:val="clear" w:color="000000" w:fill="E2EFDA"/>
            <w:vAlign w:val="center"/>
            <w:hideMark/>
          </w:tcPr>
          <w:p w14:paraId="5535792D" w14:textId="77777777" w:rsidR="0041725B" w:rsidRPr="00FD7A51" w:rsidRDefault="0041725B" w:rsidP="0070553D">
            <w:pPr>
              <w:spacing w:after="0" w:line="240" w:lineRule="auto"/>
              <w:jc w:val="center"/>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Totals - Est'd Pops in Areas with No LTE or Only Subsidized LTE</w:t>
            </w:r>
          </w:p>
        </w:tc>
      </w:tr>
      <w:tr w:rsidR="0041725B" w:rsidRPr="00FD7A51" w14:paraId="491085E4" w14:textId="77777777" w:rsidTr="00A43FC2">
        <w:trPr>
          <w:trHeight w:val="300"/>
        </w:trPr>
        <w:tc>
          <w:tcPr>
            <w:tcW w:w="585" w:type="dxa"/>
            <w:tcBorders>
              <w:top w:val="nil"/>
              <w:left w:val="double" w:sz="4" w:space="0" w:color="auto"/>
              <w:bottom w:val="single" w:sz="4" w:space="0" w:color="auto"/>
              <w:right w:val="nil"/>
            </w:tcBorders>
            <w:shd w:val="clear" w:color="auto" w:fill="auto"/>
            <w:vAlign w:val="center"/>
            <w:hideMark/>
          </w:tcPr>
          <w:p w14:paraId="05073A1A" w14:textId="77777777" w:rsidR="0041725B" w:rsidRPr="00FD7A51" w:rsidRDefault="0041725B" w:rsidP="0070553D">
            <w:pPr>
              <w:spacing w:after="0" w:line="240" w:lineRule="auto"/>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 </w:t>
            </w:r>
          </w:p>
        </w:tc>
        <w:tc>
          <w:tcPr>
            <w:tcW w:w="2010" w:type="dxa"/>
            <w:tcBorders>
              <w:top w:val="nil"/>
              <w:left w:val="nil"/>
              <w:bottom w:val="single" w:sz="8" w:space="0" w:color="000000"/>
              <w:right w:val="single" w:sz="12" w:space="0" w:color="000000"/>
            </w:tcBorders>
            <w:shd w:val="clear" w:color="auto" w:fill="auto"/>
            <w:vAlign w:val="center"/>
            <w:hideMark/>
          </w:tcPr>
          <w:p w14:paraId="014CA0E3" w14:textId="77777777" w:rsidR="0041725B" w:rsidRPr="00FD7A51" w:rsidRDefault="0041725B" w:rsidP="0070553D">
            <w:pPr>
              <w:spacing w:after="0" w:line="240" w:lineRule="auto"/>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 </w:t>
            </w:r>
          </w:p>
        </w:tc>
        <w:tc>
          <w:tcPr>
            <w:tcW w:w="1445" w:type="dxa"/>
            <w:vMerge/>
            <w:tcBorders>
              <w:top w:val="single" w:sz="8" w:space="0" w:color="auto"/>
              <w:left w:val="single" w:sz="12" w:space="0" w:color="000000"/>
              <w:bottom w:val="single" w:sz="8" w:space="0" w:color="auto"/>
              <w:right w:val="single" w:sz="4" w:space="0" w:color="auto"/>
            </w:tcBorders>
            <w:vAlign w:val="center"/>
            <w:hideMark/>
          </w:tcPr>
          <w:p w14:paraId="5E6F8ED2" w14:textId="77777777" w:rsidR="0041725B" w:rsidRPr="00FD7A51" w:rsidRDefault="0041725B" w:rsidP="0070553D">
            <w:pPr>
              <w:spacing w:after="0" w:line="240" w:lineRule="auto"/>
              <w:rPr>
                <w:rFonts w:ascii="Times New Roman" w:eastAsia="Times New Roman" w:hAnsi="Times New Roman" w:cs="Times New Roman"/>
                <w:color w:val="000000"/>
                <w:sz w:val="22"/>
                <w:szCs w:val="22"/>
              </w:rPr>
            </w:pPr>
          </w:p>
        </w:tc>
        <w:tc>
          <w:tcPr>
            <w:tcW w:w="1170" w:type="dxa"/>
            <w:vMerge/>
            <w:tcBorders>
              <w:top w:val="single" w:sz="8" w:space="0" w:color="auto"/>
              <w:left w:val="single" w:sz="4" w:space="0" w:color="auto"/>
              <w:bottom w:val="single" w:sz="4" w:space="0" w:color="auto"/>
              <w:right w:val="single" w:sz="4" w:space="0" w:color="auto"/>
            </w:tcBorders>
            <w:vAlign w:val="center"/>
            <w:hideMark/>
          </w:tcPr>
          <w:p w14:paraId="78C702A6" w14:textId="77777777" w:rsidR="0041725B" w:rsidRPr="00FD7A51" w:rsidRDefault="0041725B" w:rsidP="0070553D">
            <w:pPr>
              <w:spacing w:after="0" w:line="240" w:lineRule="auto"/>
              <w:rPr>
                <w:rFonts w:ascii="Times New Roman" w:eastAsia="Times New Roman" w:hAnsi="Times New Roman" w:cs="Times New Roman"/>
                <w:color w:val="000000"/>
                <w:sz w:val="22"/>
                <w:szCs w:val="22"/>
              </w:rPr>
            </w:pPr>
          </w:p>
        </w:tc>
        <w:tc>
          <w:tcPr>
            <w:tcW w:w="1350" w:type="dxa"/>
            <w:vMerge/>
            <w:tcBorders>
              <w:top w:val="single" w:sz="8" w:space="0" w:color="auto"/>
              <w:left w:val="single" w:sz="4" w:space="0" w:color="auto"/>
              <w:bottom w:val="single" w:sz="4" w:space="0" w:color="auto"/>
              <w:right w:val="single" w:sz="4" w:space="0" w:color="auto"/>
            </w:tcBorders>
            <w:vAlign w:val="center"/>
            <w:hideMark/>
          </w:tcPr>
          <w:p w14:paraId="05BD9DE2" w14:textId="77777777" w:rsidR="0041725B" w:rsidRPr="00FD7A51" w:rsidRDefault="0041725B" w:rsidP="0070553D">
            <w:pPr>
              <w:spacing w:after="0" w:line="240" w:lineRule="auto"/>
              <w:rPr>
                <w:rFonts w:ascii="Times New Roman" w:eastAsia="Times New Roman" w:hAnsi="Times New Roman" w:cs="Times New Roman"/>
                <w:color w:val="000000"/>
                <w:sz w:val="22"/>
                <w:szCs w:val="22"/>
              </w:rPr>
            </w:pPr>
          </w:p>
        </w:tc>
        <w:tc>
          <w:tcPr>
            <w:tcW w:w="1530" w:type="dxa"/>
            <w:vMerge/>
            <w:tcBorders>
              <w:top w:val="single" w:sz="8" w:space="0" w:color="auto"/>
              <w:left w:val="single" w:sz="4" w:space="0" w:color="auto"/>
              <w:bottom w:val="single" w:sz="4" w:space="0" w:color="auto"/>
              <w:right w:val="single" w:sz="12" w:space="0" w:color="auto"/>
            </w:tcBorders>
            <w:vAlign w:val="center"/>
            <w:hideMark/>
          </w:tcPr>
          <w:p w14:paraId="565E9914" w14:textId="77777777" w:rsidR="0041725B" w:rsidRPr="00FD7A51" w:rsidRDefault="0041725B" w:rsidP="0070553D">
            <w:pPr>
              <w:spacing w:after="0" w:line="240" w:lineRule="auto"/>
              <w:rPr>
                <w:rFonts w:ascii="Times New Roman" w:eastAsia="Times New Roman" w:hAnsi="Times New Roman" w:cs="Times New Roman"/>
                <w:color w:val="000000"/>
                <w:sz w:val="22"/>
                <w:szCs w:val="22"/>
              </w:rPr>
            </w:pPr>
          </w:p>
        </w:tc>
        <w:tc>
          <w:tcPr>
            <w:tcW w:w="1440" w:type="dxa"/>
            <w:vMerge/>
            <w:tcBorders>
              <w:top w:val="single" w:sz="8" w:space="0" w:color="auto"/>
              <w:left w:val="single" w:sz="12" w:space="0" w:color="auto"/>
              <w:bottom w:val="single" w:sz="4" w:space="0" w:color="auto"/>
              <w:right w:val="single" w:sz="4" w:space="0" w:color="auto"/>
            </w:tcBorders>
            <w:vAlign w:val="center"/>
            <w:hideMark/>
          </w:tcPr>
          <w:p w14:paraId="06237407" w14:textId="77777777" w:rsidR="0041725B" w:rsidRPr="00FD7A51" w:rsidRDefault="0041725B" w:rsidP="0070553D">
            <w:pPr>
              <w:spacing w:after="0" w:line="240" w:lineRule="auto"/>
              <w:rPr>
                <w:rFonts w:ascii="Times New Roman" w:eastAsia="Times New Roman" w:hAnsi="Times New Roman" w:cs="Times New Roman"/>
                <w:color w:val="000000"/>
                <w:sz w:val="22"/>
                <w:szCs w:val="22"/>
              </w:rPr>
            </w:pPr>
          </w:p>
        </w:tc>
        <w:tc>
          <w:tcPr>
            <w:tcW w:w="1440" w:type="dxa"/>
            <w:vMerge/>
            <w:tcBorders>
              <w:top w:val="single" w:sz="8" w:space="0" w:color="auto"/>
              <w:left w:val="single" w:sz="4" w:space="0" w:color="auto"/>
              <w:bottom w:val="single" w:sz="4" w:space="0" w:color="auto"/>
              <w:right w:val="single" w:sz="4" w:space="0" w:color="auto"/>
            </w:tcBorders>
            <w:vAlign w:val="center"/>
            <w:hideMark/>
          </w:tcPr>
          <w:p w14:paraId="1926E944" w14:textId="77777777" w:rsidR="0041725B" w:rsidRPr="00FD7A51" w:rsidRDefault="0041725B" w:rsidP="0070553D">
            <w:pPr>
              <w:spacing w:after="0" w:line="240" w:lineRule="auto"/>
              <w:rPr>
                <w:rFonts w:ascii="Times New Roman" w:eastAsia="Times New Roman" w:hAnsi="Times New Roman" w:cs="Times New Roman"/>
                <w:color w:val="000000"/>
                <w:sz w:val="22"/>
                <w:szCs w:val="22"/>
              </w:rPr>
            </w:pPr>
          </w:p>
        </w:tc>
        <w:tc>
          <w:tcPr>
            <w:tcW w:w="1440" w:type="dxa"/>
            <w:vMerge/>
            <w:tcBorders>
              <w:top w:val="single" w:sz="8" w:space="0" w:color="auto"/>
              <w:left w:val="single" w:sz="4" w:space="0" w:color="auto"/>
              <w:bottom w:val="single" w:sz="4" w:space="0" w:color="auto"/>
              <w:right w:val="single" w:sz="4" w:space="0" w:color="auto"/>
            </w:tcBorders>
            <w:vAlign w:val="center"/>
            <w:hideMark/>
          </w:tcPr>
          <w:p w14:paraId="04CF9C70" w14:textId="77777777" w:rsidR="0041725B" w:rsidRPr="00FD7A51" w:rsidRDefault="0041725B" w:rsidP="0070553D">
            <w:pPr>
              <w:spacing w:after="0" w:line="240" w:lineRule="auto"/>
              <w:rPr>
                <w:rFonts w:ascii="Times New Roman" w:eastAsia="Times New Roman" w:hAnsi="Times New Roman" w:cs="Times New Roman"/>
                <w:color w:val="000000"/>
                <w:sz w:val="22"/>
                <w:szCs w:val="22"/>
              </w:rPr>
            </w:pPr>
          </w:p>
        </w:tc>
        <w:tc>
          <w:tcPr>
            <w:tcW w:w="1530" w:type="dxa"/>
            <w:vMerge/>
            <w:tcBorders>
              <w:top w:val="single" w:sz="8" w:space="0" w:color="auto"/>
              <w:left w:val="single" w:sz="4" w:space="0" w:color="auto"/>
              <w:bottom w:val="single" w:sz="4" w:space="0" w:color="auto"/>
              <w:right w:val="double" w:sz="4" w:space="0" w:color="auto"/>
            </w:tcBorders>
            <w:vAlign w:val="center"/>
            <w:hideMark/>
          </w:tcPr>
          <w:p w14:paraId="2BB13A26" w14:textId="77777777" w:rsidR="0041725B" w:rsidRPr="00FD7A51" w:rsidRDefault="0041725B" w:rsidP="0070553D">
            <w:pPr>
              <w:spacing w:after="0" w:line="240" w:lineRule="auto"/>
              <w:rPr>
                <w:rFonts w:ascii="Times New Roman" w:eastAsia="Times New Roman" w:hAnsi="Times New Roman" w:cs="Times New Roman"/>
                <w:color w:val="000000"/>
                <w:sz w:val="22"/>
                <w:szCs w:val="22"/>
              </w:rPr>
            </w:pPr>
          </w:p>
        </w:tc>
      </w:tr>
      <w:tr w:rsidR="0041725B" w:rsidRPr="00FD7A51" w14:paraId="1D1799A0" w14:textId="77777777" w:rsidTr="00A43FC2">
        <w:trPr>
          <w:trHeight w:val="315"/>
        </w:trPr>
        <w:tc>
          <w:tcPr>
            <w:tcW w:w="2595" w:type="dxa"/>
            <w:gridSpan w:val="2"/>
            <w:tcBorders>
              <w:top w:val="single" w:sz="4" w:space="0" w:color="auto"/>
              <w:left w:val="double" w:sz="4" w:space="0" w:color="auto"/>
              <w:bottom w:val="single" w:sz="8" w:space="0" w:color="000000"/>
              <w:right w:val="single" w:sz="12" w:space="0" w:color="000000"/>
            </w:tcBorders>
            <w:shd w:val="clear" w:color="000000" w:fill="C6E0B4"/>
            <w:vAlign w:val="center"/>
            <w:hideMark/>
          </w:tcPr>
          <w:p w14:paraId="19ED5D9D" w14:textId="6AEAE0DD" w:rsidR="0041725B" w:rsidRPr="00FD7A51" w:rsidRDefault="0041725B" w:rsidP="0070553D">
            <w:pPr>
              <w:spacing w:after="0" w:line="240" w:lineRule="auto"/>
              <w:rPr>
                <w:rFonts w:ascii="Times New Roman" w:eastAsia="Times New Roman" w:hAnsi="Times New Roman" w:cs="Times New Roman"/>
                <w:color w:val="000000"/>
                <w:sz w:val="22"/>
                <w:szCs w:val="22"/>
              </w:rPr>
            </w:pPr>
          </w:p>
        </w:tc>
        <w:tc>
          <w:tcPr>
            <w:tcW w:w="1445" w:type="dxa"/>
            <w:tcBorders>
              <w:top w:val="single" w:sz="8" w:space="0" w:color="auto"/>
              <w:left w:val="single" w:sz="12" w:space="0" w:color="000000"/>
              <w:bottom w:val="single" w:sz="12" w:space="0" w:color="auto"/>
              <w:right w:val="single" w:sz="4" w:space="0" w:color="auto"/>
            </w:tcBorders>
            <w:shd w:val="clear" w:color="auto" w:fill="auto"/>
            <w:noWrap/>
            <w:vAlign w:val="center"/>
            <w:hideMark/>
          </w:tcPr>
          <w:p w14:paraId="5428E78C" w14:textId="77777777" w:rsidR="0041725B" w:rsidRPr="00FD7A51" w:rsidRDefault="0041725B" w:rsidP="0070553D">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5,931,116</w:t>
            </w:r>
          </w:p>
        </w:tc>
        <w:tc>
          <w:tcPr>
            <w:tcW w:w="117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4047B56F" w14:textId="77777777" w:rsidR="0041725B" w:rsidRPr="00FD7A51" w:rsidRDefault="0041725B" w:rsidP="0070553D">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557,280</w:t>
            </w:r>
          </w:p>
        </w:tc>
        <w:tc>
          <w:tcPr>
            <w:tcW w:w="1350" w:type="dxa"/>
            <w:tcBorders>
              <w:top w:val="single" w:sz="4" w:space="0" w:color="auto"/>
              <w:left w:val="nil"/>
              <w:bottom w:val="single" w:sz="12" w:space="0" w:color="auto"/>
              <w:right w:val="single" w:sz="4" w:space="0" w:color="auto"/>
            </w:tcBorders>
            <w:shd w:val="clear" w:color="auto" w:fill="auto"/>
            <w:noWrap/>
            <w:vAlign w:val="center"/>
            <w:hideMark/>
          </w:tcPr>
          <w:p w14:paraId="1A08396B" w14:textId="62633412" w:rsidR="0041725B" w:rsidRPr="00FD7A51" w:rsidRDefault="006A1859" w:rsidP="0070553D">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198,565</w:t>
            </w:r>
          </w:p>
        </w:tc>
        <w:tc>
          <w:tcPr>
            <w:tcW w:w="1530" w:type="dxa"/>
            <w:tcBorders>
              <w:top w:val="single" w:sz="4" w:space="0" w:color="auto"/>
              <w:left w:val="nil"/>
              <w:bottom w:val="single" w:sz="12" w:space="0" w:color="auto"/>
              <w:right w:val="single" w:sz="12" w:space="0" w:color="auto"/>
            </w:tcBorders>
            <w:shd w:val="clear" w:color="000000" w:fill="DDEBF7"/>
            <w:noWrap/>
            <w:vAlign w:val="center"/>
            <w:hideMark/>
          </w:tcPr>
          <w:p w14:paraId="488F8C65" w14:textId="4FC16F0D" w:rsidR="0041725B" w:rsidRPr="00FD7A51" w:rsidRDefault="0041725B" w:rsidP="0070553D">
            <w:pPr>
              <w:spacing w:after="0" w:line="240" w:lineRule="auto"/>
              <w:jc w:val="right"/>
              <w:rPr>
                <w:rFonts w:ascii="Times New Roman" w:eastAsia="Times New Roman" w:hAnsi="Times New Roman" w:cs="Times New Roman"/>
                <w:color w:val="000000"/>
                <w:sz w:val="22"/>
                <w:szCs w:val="22"/>
              </w:rPr>
            </w:pPr>
          </w:p>
        </w:tc>
        <w:tc>
          <w:tcPr>
            <w:tcW w:w="1440" w:type="dxa"/>
            <w:tcBorders>
              <w:top w:val="nil"/>
              <w:left w:val="single" w:sz="12" w:space="0" w:color="auto"/>
              <w:bottom w:val="single" w:sz="12" w:space="0" w:color="auto"/>
              <w:right w:val="single" w:sz="4" w:space="0" w:color="auto"/>
            </w:tcBorders>
            <w:shd w:val="clear" w:color="auto" w:fill="auto"/>
            <w:noWrap/>
            <w:vAlign w:val="center"/>
            <w:hideMark/>
          </w:tcPr>
          <w:p w14:paraId="4609E651" w14:textId="77777777" w:rsidR="0041725B" w:rsidRPr="00FD7A51" w:rsidRDefault="0041725B" w:rsidP="0070553D">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308,465,200</w:t>
            </w:r>
          </w:p>
        </w:tc>
        <w:tc>
          <w:tcPr>
            <w:tcW w:w="144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4D59349" w14:textId="77777777" w:rsidR="0041725B" w:rsidRPr="00FD7A51" w:rsidRDefault="0041725B" w:rsidP="0070553D">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1,433,450</w:t>
            </w:r>
          </w:p>
        </w:tc>
        <w:tc>
          <w:tcPr>
            <w:tcW w:w="1440" w:type="dxa"/>
            <w:tcBorders>
              <w:top w:val="single" w:sz="4" w:space="0" w:color="auto"/>
              <w:left w:val="nil"/>
              <w:bottom w:val="single" w:sz="12" w:space="0" w:color="auto"/>
              <w:right w:val="single" w:sz="4" w:space="0" w:color="auto"/>
            </w:tcBorders>
            <w:shd w:val="clear" w:color="auto" w:fill="auto"/>
            <w:noWrap/>
            <w:vAlign w:val="center"/>
            <w:hideMark/>
          </w:tcPr>
          <w:p w14:paraId="1080138A" w14:textId="08CB1FAA" w:rsidR="0041725B" w:rsidRPr="00FD7A51" w:rsidRDefault="006A1859" w:rsidP="0070553D">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1,656,753</w:t>
            </w:r>
          </w:p>
        </w:tc>
        <w:tc>
          <w:tcPr>
            <w:tcW w:w="1530" w:type="dxa"/>
            <w:tcBorders>
              <w:top w:val="single" w:sz="4" w:space="0" w:color="auto"/>
              <w:left w:val="nil"/>
              <w:bottom w:val="single" w:sz="12" w:space="0" w:color="auto"/>
              <w:right w:val="double" w:sz="4" w:space="0" w:color="auto"/>
            </w:tcBorders>
            <w:shd w:val="clear" w:color="000000" w:fill="DDEBF7"/>
            <w:noWrap/>
            <w:vAlign w:val="center"/>
            <w:hideMark/>
          </w:tcPr>
          <w:p w14:paraId="1C7A5B91" w14:textId="4ACE2DCC" w:rsidR="0041725B" w:rsidRPr="00FD7A51" w:rsidRDefault="0041725B" w:rsidP="0070553D">
            <w:pPr>
              <w:spacing w:after="0" w:line="240" w:lineRule="auto"/>
              <w:jc w:val="right"/>
              <w:rPr>
                <w:rFonts w:ascii="Times New Roman" w:eastAsia="Times New Roman" w:hAnsi="Times New Roman" w:cs="Times New Roman"/>
                <w:color w:val="000000"/>
                <w:sz w:val="22"/>
                <w:szCs w:val="22"/>
              </w:rPr>
            </w:pPr>
          </w:p>
        </w:tc>
      </w:tr>
      <w:tr w:rsidR="0041725B" w:rsidRPr="00FD7A51" w14:paraId="68FCCAC9" w14:textId="77777777" w:rsidTr="00A43FC2">
        <w:trPr>
          <w:trHeight w:val="300"/>
        </w:trPr>
        <w:tc>
          <w:tcPr>
            <w:tcW w:w="2595" w:type="dxa"/>
            <w:gridSpan w:val="2"/>
            <w:vMerge w:val="restart"/>
            <w:tcBorders>
              <w:top w:val="single" w:sz="12" w:space="0" w:color="auto"/>
              <w:left w:val="double" w:sz="4" w:space="0" w:color="auto"/>
              <w:bottom w:val="single" w:sz="8" w:space="0" w:color="000000"/>
              <w:right w:val="single" w:sz="12" w:space="0" w:color="000000"/>
            </w:tcBorders>
            <w:shd w:val="clear" w:color="000000" w:fill="E2EFDA"/>
            <w:vAlign w:val="center"/>
            <w:hideMark/>
          </w:tcPr>
          <w:p w14:paraId="2D6D61B3" w14:textId="512AD824" w:rsidR="0041725B" w:rsidRPr="00FD7A51" w:rsidRDefault="0041725B" w:rsidP="00AC0135">
            <w:pPr>
              <w:spacing w:after="0" w:line="240" w:lineRule="auto"/>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 xml:space="preserve">Blocks WITH </w:t>
            </w:r>
            <w:r w:rsidR="00813EF2">
              <w:rPr>
                <w:rFonts w:ascii="Times New Roman" w:eastAsia="Times New Roman" w:hAnsi="Times New Roman" w:cs="Times New Roman"/>
                <w:color w:val="000000"/>
                <w:sz w:val="22"/>
                <w:szCs w:val="22"/>
              </w:rPr>
              <w:t>Complete LTE Coverage and No S</w:t>
            </w:r>
            <w:r w:rsidR="00813EF2" w:rsidRPr="003A2898">
              <w:rPr>
                <w:rFonts w:ascii="Times New Roman" w:eastAsia="Times New Roman" w:hAnsi="Times New Roman" w:cs="Times New Roman"/>
                <w:color w:val="000000"/>
                <w:sz w:val="22"/>
                <w:szCs w:val="22"/>
              </w:rPr>
              <w:t xml:space="preserve">ubsidized </w:t>
            </w:r>
            <w:r w:rsidR="00D62A76">
              <w:rPr>
                <w:rFonts w:ascii="Times New Roman" w:eastAsia="Times New Roman" w:hAnsi="Times New Roman" w:cs="Times New Roman"/>
                <w:color w:val="000000"/>
                <w:sz w:val="22"/>
                <w:szCs w:val="22"/>
              </w:rPr>
              <w:t>Provider</w:t>
            </w:r>
          </w:p>
        </w:tc>
        <w:tc>
          <w:tcPr>
            <w:tcW w:w="1445" w:type="dxa"/>
            <w:tcBorders>
              <w:top w:val="single" w:sz="12" w:space="0" w:color="auto"/>
              <w:left w:val="single" w:sz="12" w:space="0" w:color="000000"/>
              <w:bottom w:val="dashed" w:sz="4" w:space="0" w:color="auto"/>
              <w:right w:val="single" w:sz="4" w:space="0" w:color="auto"/>
            </w:tcBorders>
            <w:shd w:val="clear" w:color="auto" w:fill="auto"/>
            <w:noWrap/>
            <w:vAlign w:val="center"/>
            <w:hideMark/>
          </w:tcPr>
          <w:p w14:paraId="21D5326A" w14:textId="77777777" w:rsidR="0041725B" w:rsidRPr="00FD7A51" w:rsidRDefault="0041725B" w:rsidP="0070553D">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3,338,300</w:t>
            </w:r>
          </w:p>
        </w:tc>
        <w:tc>
          <w:tcPr>
            <w:tcW w:w="1170" w:type="dxa"/>
            <w:tcBorders>
              <w:top w:val="single" w:sz="12" w:space="0" w:color="auto"/>
              <w:left w:val="single" w:sz="4" w:space="0" w:color="auto"/>
              <w:bottom w:val="dashed" w:sz="4" w:space="0" w:color="auto"/>
              <w:right w:val="single" w:sz="4" w:space="0" w:color="auto"/>
            </w:tcBorders>
            <w:shd w:val="clear" w:color="auto" w:fill="auto"/>
            <w:noWrap/>
            <w:vAlign w:val="center"/>
            <w:hideMark/>
          </w:tcPr>
          <w:p w14:paraId="0AFBDCC2" w14:textId="77777777" w:rsidR="0041725B" w:rsidRPr="00FD7A51" w:rsidRDefault="0041725B" w:rsidP="0070553D">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 </w:t>
            </w:r>
          </w:p>
        </w:tc>
        <w:tc>
          <w:tcPr>
            <w:tcW w:w="1350" w:type="dxa"/>
            <w:tcBorders>
              <w:top w:val="single" w:sz="12" w:space="0" w:color="auto"/>
              <w:left w:val="nil"/>
              <w:bottom w:val="dashed" w:sz="4" w:space="0" w:color="auto"/>
              <w:right w:val="single" w:sz="4" w:space="0" w:color="auto"/>
            </w:tcBorders>
            <w:shd w:val="clear" w:color="auto" w:fill="auto"/>
            <w:noWrap/>
            <w:vAlign w:val="center"/>
            <w:hideMark/>
          </w:tcPr>
          <w:p w14:paraId="7B50C68E" w14:textId="77777777" w:rsidR="0041725B" w:rsidRPr="00FD7A51" w:rsidRDefault="0041725B" w:rsidP="0070553D">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 </w:t>
            </w:r>
          </w:p>
        </w:tc>
        <w:tc>
          <w:tcPr>
            <w:tcW w:w="1530" w:type="dxa"/>
            <w:tcBorders>
              <w:top w:val="single" w:sz="12" w:space="0" w:color="auto"/>
              <w:left w:val="nil"/>
              <w:bottom w:val="dashed" w:sz="4" w:space="0" w:color="auto"/>
              <w:right w:val="single" w:sz="12" w:space="0" w:color="auto"/>
            </w:tcBorders>
            <w:shd w:val="clear" w:color="auto" w:fill="auto"/>
            <w:noWrap/>
            <w:vAlign w:val="center"/>
            <w:hideMark/>
          </w:tcPr>
          <w:p w14:paraId="64DE2BBF" w14:textId="77777777" w:rsidR="0041725B" w:rsidRPr="00FD7A51" w:rsidRDefault="0041725B" w:rsidP="0070553D">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 </w:t>
            </w:r>
          </w:p>
        </w:tc>
        <w:tc>
          <w:tcPr>
            <w:tcW w:w="1440" w:type="dxa"/>
            <w:tcBorders>
              <w:top w:val="single" w:sz="12" w:space="0" w:color="auto"/>
              <w:left w:val="single" w:sz="12" w:space="0" w:color="auto"/>
              <w:bottom w:val="dashed" w:sz="4" w:space="0" w:color="auto"/>
              <w:right w:val="single" w:sz="4" w:space="0" w:color="auto"/>
            </w:tcBorders>
            <w:shd w:val="clear" w:color="auto" w:fill="auto"/>
            <w:noWrap/>
            <w:vAlign w:val="center"/>
            <w:hideMark/>
          </w:tcPr>
          <w:p w14:paraId="3A412976" w14:textId="77777777" w:rsidR="0041725B" w:rsidRPr="00FD7A51" w:rsidRDefault="0041725B" w:rsidP="0070553D">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213,496,098</w:t>
            </w:r>
          </w:p>
        </w:tc>
        <w:tc>
          <w:tcPr>
            <w:tcW w:w="1440" w:type="dxa"/>
            <w:tcBorders>
              <w:top w:val="single" w:sz="12" w:space="0" w:color="auto"/>
              <w:left w:val="single" w:sz="4" w:space="0" w:color="auto"/>
              <w:bottom w:val="dashed" w:sz="4" w:space="0" w:color="auto"/>
              <w:right w:val="single" w:sz="4" w:space="0" w:color="auto"/>
            </w:tcBorders>
            <w:shd w:val="clear" w:color="auto" w:fill="auto"/>
            <w:noWrap/>
            <w:vAlign w:val="center"/>
            <w:hideMark/>
          </w:tcPr>
          <w:p w14:paraId="70E05CFF" w14:textId="77777777" w:rsidR="0041725B" w:rsidRPr="00FD7A51" w:rsidRDefault="0041725B" w:rsidP="0070553D">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 </w:t>
            </w:r>
          </w:p>
        </w:tc>
        <w:tc>
          <w:tcPr>
            <w:tcW w:w="1440" w:type="dxa"/>
            <w:tcBorders>
              <w:top w:val="single" w:sz="12" w:space="0" w:color="auto"/>
              <w:left w:val="nil"/>
              <w:bottom w:val="dashed" w:sz="4" w:space="0" w:color="auto"/>
              <w:right w:val="single" w:sz="4" w:space="0" w:color="auto"/>
            </w:tcBorders>
            <w:shd w:val="clear" w:color="auto" w:fill="auto"/>
            <w:noWrap/>
            <w:vAlign w:val="center"/>
            <w:hideMark/>
          </w:tcPr>
          <w:p w14:paraId="6A5C8743" w14:textId="77777777" w:rsidR="0041725B" w:rsidRPr="00FD7A51" w:rsidRDefault="0041725B" w:rsidP="0070553D">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 </w:t>
            </w:r>
          </w:p>
        </w:tc>
        <w:tc>
          <w:tcPr>
            <w:tcW w:w="1530" w:type="dxa"/>
            <w:tcBorders>
              <w:top w:val="single" w:sz="12" w:space="0" w:color="auto"/>
              <w:left w:val="nil"/>
              <w:bottom w:val="dashed" w:sz="4" w:space="0" w:color="auto"/>
              <w:right w:val="double" w:sz="4" w:space="0" w:color="auto"/>
            </w:tcBorders>
            <w:shd w:val="clear" w:color="auto" w:fill="auto"/>
            <w:noWrap/>
            <w:vAlign w:val="center"/>
            <w:hideMark/>
          </w:tcPr>
          <w:p w14:paraId="7ABE1371" w14:textId="77777777" w:rsidR="0041725B" w:rsidRPr="00FD7A51" w:rsidRDefault="0041725B" w:rsidP="0070553D">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 </w:t>
            </w:r>
          </w:p>
        </w:tc>
      </w:tr>
      <w:tr w:rsidR="0041725B" w:rsidRPr="00FD7A51" w14:paraId="5301B66B" w14:textId="77777777" w:rsidTr="00A43FC2">
        <w:trPr>
          <w:trHeight w:val="315"/>
        </w:trPr>
        <w:tc>
          <w:tcPr>
            <w:tcW w:w="2595" w:type="dxa"/>
            <w:gridSpan w:val="2"/>
            <w:vMerge/>
            <w:tcBorders>
              <w:top w:val="dashed" w:sz="4" w:space="0" w:color="auto"/>
              <w:left w:val="double" w:sz="4" w:space="0" w:color="auto"/>
              <w:bottom w:val="single" w:sz="8" w:space="0" w:color="000000"/>
              <w:right w:val="single" w:sz="12" w:space="0" w:color="000000"/>
            </w:tcBorders>
            <w:vAlign w:val="center"/>
            <w:hideMark/>
          </w:tcPr>
          <w:p w14:paraId="44FC8139" w14:textId="77777777" w:rsidR="0041725B" w:rsidRPr="00FD7A51" w:rsidRDefault="0041725B" w:rsidP="0070553D">
            <w:pPr>
              <w:spacing w:after="0" w:line="240" w:lineRule="auto"/>
              <w:rPr>
                <w:rFonts w:ascii="Times New Roman" w:eastAsia="Times New Roman" w:hAnsi="Times New Roman" w:cs="Times New Roman"/>
                <w:color w:val="000000"/>
                <w:sz w:val="22"/>
                <w:szCs w:val="22"/>
              </w:rPr>
            </w:pPr>
          </w:p>
        </w:tc>
        <w:tc>
          <w:tcPr>
            <w:tcW w:w="1445" w:type="dxa"/>
            <w:tcBorders>
              <w:top w:val="dashed" w:sz="4" w:space="0" w:color="auto"/>
              <w:left w:val="single" w:sz="12" w:space="0" w:color="000000"/>
              <w:bottom w:val="single" w:sz="12" w:space="0" w:color="auto"/>
              <w:right w:val="single" w:sz="4" w:space="0" w:color="auto"/>
            </w:tcBorders>
            <w:shd w:val="clear" w:color="auto" w:fill="auto"/>
            <w:noWrap/>
            <w:vAlign w:val="center"/>
            <w:hideMark/>
          </w:tcPr>
          <w:p w14:paraId="720417A0" w14:textId="77777777" w:rsidR="0041725B" w:rsidRPr="00FD7A51" w:rsidRDefault="0041725B" w:rsidP="0070553D">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56.3%</w:t>
            </w:r>
          </w:p>
        </w:tc>
        <w:tc>
          <w:tcPr>
            <w:tcW w:w="1170" w:type="dxa"/>
            <w:tcBorders>
              <w:top w:val="dashed" w:sz="4" w:space="0" w:color="auto"/>
              <w:left w:val="single" w:sz="4" w:space="0" w:color="auto"/>
              <w:bottom w:val="single" w:sz="12" w:space="0" w:color="auto"/>
              <w:right w:val="single" w:sz="4" w:space="0" w:color="auto"/>
            </w:tcBorders>
            <w:shd w:val="clear" w:color="auto" w:fill="auto"/>
            <w:noWrap/>
            <w:vAlign w:val="center"/>
            <w:hideMark/>
          </w:tcPr>
          <w:p w14:paraId="220B49B7" w14:textId="77777777" w:rsidR="0041725B" w:rsidRPr="00FD7A51" w:rsidRDefault="0041725B" w:rsidP="0070553D">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 </w:t>
            </w:r>
          </w:p>
        </w:tc>
        <w:tc>
          <w:tcPr>
            <w:tcW w:w="1350" w:type="dxa"/>
            <w:tcBorders>
              <w:top w:val="dashed" w:sz="4" w:space="0" w:color="auto"/>
              <w:left w:val="nil"/>
              <w:bottom w:val="single" w:sz="12" w:space="0" w:color="auto"/>
              <w:right w:val="single" w:sz="4" w:space="0" w:color="auto"/>
            </w:tcBorders>
            <w:shd w:val="clear" w:color="auto" w:fill="auto"/>
            <w:noWrap/>
            <w:vAlign w:val="center"/>
            <w:hideMark/>
          </w:tcPr>
          <w:p w14:paraId="2617BD3C" w14:textId="77777777" w:rsidR="0041725B" w:rsidRPr="00FD7A51" w:rsidRDefault="0041725B" w:rsidP="0070553D">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 </w:t>
            </w:r>
          </w:p>
        </w:tc>
        <w:tc>
          <w:tcPr>
            <w:tcW w:w="1530" w:type="dxa"/>
            <w:tcBorders>
              <w:top w:val="dashed" w:sz="4" w:space="0" w:color="auto"/>
              <w:left w:val="single" w:sz="4" w:space="0" w:color="auto"/>
              <w:bottom w:val="single" w:sz="12" w:space="0" w:color="auto"/>
              <w:right w:val="single" w:sz="12" w:space="0" w:color="auto"/>
            </w:tcBorders>
            <w:shd w:val="clear" w:color="auto" w:fill="auto"/>
            <w:noWrap/>
            <w:vAlign w:val="center"/>
            <w:hideMark/>
          </w:tcPr>
          <w:p w14:paraId="77C372C5" w14:textId="77777777" w:rsidR="0041725B" w:rsidRPr="00FD7A51" w:rsidRDefault="0041725B" w:rsidP="0070553D">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 </w:t>
            </w:r>
          </w:p>
        </w:tc>
        <w:tc>
          <w:tcPr>
            <w:tcW w:w="1440" w:type="dxa"/>
            <w:tcBorders>
              <w:top w:val="dashed" w:sz="4" w:space="0" w:color="auto"/>
              <w:left w:val="single" w:sz="12" w:space="0" w:color="auto"/>
              <w:bottom w:val="single" w:sz="12" w:space="0" w:color="auto"/>
              <w:right w:val="single" w:sz="4" w:space="0" w:color="auto"/>
            </w:tcBorders>
            <w:shd w:val="clear" w:color="auto" w:fill="auto"/>
            <w:noWrap/>
            <w:vAlign w:val="center"/>
            <w:hideMark/>
          </w:tcPr>
          <w:p w14:paraId="2016F6D0" w14:textId="77777777" w:rsidR="0041725B" w:rsidRPr="00FD7A51" w:rsidRDefault="0041725B" w:rsidP="0070553D">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69.2%</w:t>
            </w:r>
          </w:p>
        </w:tc>
        <w:tc>
          <w:tcPr>
            <w:tcW w:w="1440" w:type="dxa"/>
            <w:tcBorders>
              <w:top w:val="dashed" w:sz="4" w:space="0" w:color="auto"/>
              <w:left w:val="single" w:sz="4" w:space="0" w:color="auto"/>
              <w:bottom w:val="single" w:sz="12" w:space="0" w:color="auto"/>
              <w:right w:val="single" w:sz="4" w:space="0" w:color="auto"/>
            </w:tcBorders>
            <w:shd w:val="clear" w:color="auto" w:fill="auto"/>
            <w:noWrap/>
            <w:vAlign w:val="center"/>
            <w:hideMark/>
          </w:tcPr>
          <w:p w14:paraId="2C075E28" w14:textId="77777777" w:rsidR="0041725B" w:rsidRPr="00FD7A51" w:rsidRDefault="0041725B" w:rsidP="0070553D">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 </w:t>
            </w:r>
          </w:p>
        </w:tc>
        <w:tc>
          <w:tcPr>
            <w:tcW w:w="1440" w:type="dxa"/>
            <w:tcBorders>
              <w:top w:val="dashed" w:sz="4" w:space="0" w:color="auto"/>
              <w:left w:val="nil"/>
              <w:bottom w:val="single" w:sz="12" w:space="0" w:color="auto"/>
              <w:right w:val="single" w:sz="4" w:space="0" w:color="auto"/>
            </w:tcBorders>
            <w:shd w:val="clear" w:color="auto" w:fill="auto"/>
            <w:noWrap/>
            <w:vAlign w:val="center"/>
            <w:hideMark/>
          </w:tcPr>
          <w:p w14:paraId="31B40125" w14:textId="77777777" w:rsidR="0041725B" w:rsidRPr="00FD7A51" w:rsidRDefault="0041725B" w:rsidP="0070553D">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 </w:t>
            </w:r>
          </w:p>
        </w:tc>
        <w:tc>
          <w:tcPr>
            <w:tcW w:w="1530" w:type="dxa"/>
            <w:tcBorders>
              <w:top w:val="dashed" w:sz="4" w:space="0" w:color="auto"/>
              <w:left w:val="single" w:sz="4" w:space="0" w:color="auto"/>
              <w:bottom w:val="single" w:sz="12" w:space="0" w:color="auto"/>
              <w:right w:val="double" w:sz="4" w:space="0" w:color="auto"/>
            </w:tcBorders>
            <w:shd w:val="clear" w:color="auto" w:fill="auto"/>
            <w:noWrap/>
            <w:vAlign w:val="center"/>
            <w:hideMark/>
          </w:tcPr>
          <w:p w14:paraId="619CAF66" w14:textId="77777777" w:rsidR="0041725B" w:rsidRPr="00FD7A51" w:rsidRDefault="0041725B" w:rsidP="0070553D">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 </w:t>
            </w:r>
          </w:p>
        </w:tc>
      </w:tr>
      <w:tr w:rsidR="0041725B" w:rsidRPr="00FD7A51" w14:paraId="10347298" w14:textId="77777777" w:rsidTr="00A43FC2">
        <w:trPr>
          <w:trHeight w:val="300"/>
        </w:trPr>
        <w:tc>
          <w:tcPr>
            <w:tcW w:w="2595" w:type="dxa"/>
            <w:gridSpan w:val="2"/>
            <w:vMerge w:val="restart"/>
            <w:tcBorders>
              <w:top w:val="single" w:sz="12" w:space="0" w:color="auto"/>
              <w:left w:val="double" w:sz="4" w:space="0" w:color="auto"/>
              <w:bottom w:val="single" w:sz="8" w:space="0" w:color="000000"/>
              <w:right w:val="single" w:sz="12" w:space="0" w:color="000000"/>
            </w:tcBorders>
            <w:shd w:val="clear" w:color="000000" w:fill="E2EFDA"/>
            <w:vAlign w:val="center"/>
            <w:hideMark/>
          </w:tcPr>
          <w:p w14:paraId="03C002F6" w14:textId="282232E5" w:rsidR="0041725B" w:rsidRPr="00FD7A51" w:rsidRDefault="0041725B" w:rsidP="00D62A76">
            <w:pPr>
              <w:spacing w:after="0" w:line="240" w:lineRule="auto"/>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Blocks WITH</w:t>
            </w:r>
            <w:r w:rsidR="00813EF2">
              <w:rPr>
                <w:rFonts w:ascii="Times New Roman" w:eastAsia="Times New Roman" w:hAnsi="Times New Roman" w:cs="Times New Roman"/>
                <w:color w:val="000000"/>
                <w:sz w:val="22"/>
                <w:szCs w:val="22"/>
              </w:rPr>
              <w:t xml:space="preserve"> Less than Complete LTE Coverage, or WITH </w:t>
            </w:r>
            <w:r w:rsidR="00D62A76">
              <w:rPr>
                <w:rFonts w:ascii="Times New Roman" w:eastAsia="Times New Roman" w:hAnsi="Times New Roman" w:cs="Times New Roman"/>
                <w:color w:val="000000"/>
                <w:sz w:val="22"/>
                <w:szCs w:val="22"/>
              </w:rPr>
              <w:t>At</w:t>
            </w:r>
            <w:r w:rsidR="00262553">
              <w:rPr>
                <w:rFonts w:ascii="Times New Roman" w:eastAsia="Times New Roman" w:hAnsi="Times New Roman" w:cs="Times New Roman"/>
                <w:color w:val="000000"/>
                <w:sz w:val="22"/>
                <w:szCs w:val="22"/>
              </w:rPr>
              <w:t xml:space="preserve"> </w:t>
            </w:r>
            <w:r w:rsidR="00D62A76">
              <w:rPr>
                <w:rFonts w:ascii="Times New Roman" w:eastAsia="Times New Roman" w:hAnsi="Times New Roman" w:cs="Times New Roman"/>
                <w:color w:val="000000"/>
                <w:sz w:val="22"/>
                <w:szCs w:val="22"/>
              </w:rPr>
              <w:t>least One</w:t>
            </w:r>
            <w:r w:rsidR="00D62A76" w:rsidDel="00D62A76">
              <w:rPr>
                <w:rFonts w:ascii="Times New Roman" w:eastAsia="Times New Roman" w:hAnsi="Times New Roman" w:cs="Times New Roman"/>
                <w:color w:val="000000"/>
                <w:sz w:val="22"/>
                <w:szCs w:val="22"/>
              </w:rPr>
              <w:t xml:space="preserve"> </w:t>
            </w:r>
            <w:r w:rsidR="00D62A76">
              <w:rPr>
                <w:rFonts w:ascii="Times New Roman" w:eastAsia="Times New Roman" w:hAnsi="Times New Roman" w:cs="Times New Roman"/>
                <w:color w:val="000000"/>
                <w:sz w:val="22"/>
                <w:szCs w:val="22"/>
              </w:rPr>
              <w:t xml:space="preserve">Subsidized </w:t>
            </w:r>
            <w:r w:rsidRPr="00FD7A51">
              <w:rPr>
                <w:rFonts w:ascii="Times New Roman" w:eastAsia="Times New Roman" w:hAnsi="Times New Roman" w:cs="Times New Roman"/>
                <w:color w:val="000000"/>
                <w:sz w:val="22"/>
                <w:szCs w:val="22"/>
              </w:rPr>
              <w:t xml:space="preserve">LTE </w:t>
            </w:r>
            <w:r w:rsidR="00D62A76">
              <w:rPr>
                <w:rFonts w:ascii="Times New Roman" w:eastAsia="Times New Roman" w:hAnsi="Times New Roman" w:cs="Times New Roman"/>
                <w:color w:val="000000"/>
                <w:sz w:val="22"/>
                <w:szCs w:val="22"/>
              </w:rPr>
              <w:t>Provider</w:t>
            </w:r>
          </w:p>
        </w:tc>
        <w:tc>
          <w:tcPr>
            <w:tcW w:w="1445" w:type="dxa"/>
            <w:tcBorders>
              <w:top w:val="single" w:sz="12" w:space="0" w:color="auto"/>
              <w:left w:val="single" w:sz="12" w:space="0" w:color="000000"/>
              <w:bottom w:val="dashed" w:sz="4" w:space="0" w:color="auto"/>
              <w:right w:val="single" w:sz="4" w:space="0" w:color="auto"/>
            </w:tcBorders>
            <w:shd w:val="clear" w:color="auto" w:fill="auto"/>
            <w:noWrap/>
            <w:vAlign w:val="center"/>
            <w:hideMark/>
          </w:tcPr>
          <w:p w14:paraId="0A25E27F" w14:textId="77777777" w:rsidR="0041725B" w:rsidRPr="00FD7A51" w:rsidRDefault="0041725B" w:rsidP="0070553D">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2,592,816</w:t>
            </w:r>
          </w:p>
        </w:tc>
        <w:tc>
          <w:tcPr>
            <w:tcW w:w="1170" w:type="dxa"/>
            <w:tcBorders>
              <w:top w:val="single" w:sz="12" w:space="0" w:color="auto"/>
              <w:left w:val="single" w:sz="4" w:space="0" w:color="auto"/>
              <w:bottom w:val="dashed" w:sz="4" w:space="0" w:color="auto"/>
              <w:right w:val="single" w:sz="4" w:space="0" w:color="auto"/>
            </w:tcBorders>
            <w:shd w:val="clear" w:color="auto" w:fill="auto"/>
            <w:noWrap/>
            <w:vAlign w:val="center"/>
            <w:hideMark/>
          </w:tcPr>
          <w:p w14:paraId="6A6ED54F" w14:textId="77777777" w:rsidR="0041725B" w:rsidRPr="00FD7A51" w:rsidRDefault="0041725B" w:rsidP="0070553D">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557,280</w:t>
            </w:r>
          </w:p>
        </w:tc>
        <w:tc>
          <w:tcPr>
            <w:tcW w:w="1350" w:type="dxa"/>
            <w:tcBorders>
              <w:top w:val="single" w:sz="12" w:space="0" w:color="auto"/>
              <w:left w:val="nil"/>
              <w:bottom w:val="dashed" w:sz="4" w:space="0" w:color="auto"/>
              <w:right w:val="single" w:sz="4" w:space="0" w:color="auto"/>
            </w:tcBorders>
            <w:shd w:val="clear" w:color="auto" w:fill="auto"/>
            <w:noWrap/>
            <w:vAlign w:val="center"/>
            <w:hideMark/>
          </w:tcPr>
          <w:p w14:paraId="38FA3A3A" w14:textId="3DBC7EE1" w:rsidR="0041725B" w:rsidRPr="00FD7A51" w:rsidRDefault="00EB134D" w:rsidP="0070553D">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198,565</w:t>
            </w:r>
          </w:p>
        </w:tc>
        <w:tc>
          <w:tcPr>
            <w:tcW w:w="1530" w:type="dxa"/>
            <w:tcBorders>
              <w:top w:val="single" w:sz="12" w:space="0" w:color="auto"/>
              <w:left w:val="nil"/>
              <w:bottom w:val="dashed" w:sz="4" w:space="0" w:color="auto"/>
              <w:right w:val="single" w:sz="12" w:space="0" w:color="auto"/>
            </w:tcBorders>
            <w:shd w:val="clear" w:color="auto" w:fill="auto"/>
            <w:noWrap/>
            <w:vAlign w:val="center"/>
            <w:hideMark/>
          </w:tcPr>
          <w:p w14:paraId="72988694" w14:textId="506CE490" w:rsidR="0041725B" w:rsidRPr="00FD7A51" w:rsidRDefault="006A1859" w:rsidP="0070553D">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755,845</w:t>
            </w:r>
          </w:p>
        </w:tc>
        <w:tc>
          <w:tcPr>
            <w:tcW w:w="1440" w:type="dxa"/>
            <w:tcBorders>
              <w:top w:val="single" w:sz="12" w:space="0" w:color="auto"/>
              <w:left w:val="single" w:sz="12" w:space="0" w:color="auto"/>
              <w:bottom w:val="dashed" w:sz="4" w:space="0" w:color="auto"/>
              <w:right w:val="single" w:sz="4" w:space="0" w:color="auto"/>
            </w:tcBorders>
            <w:shd w:val="clear" w:color="auto" w:fill="auto"/>
            <w:noWrap/>
            <w:vAlign w:val="center"/>
            <w:hideMark/>
          </w:tcPr>
          <w:p w14:paraId="606FCEDB" w14:textId="77777777" w:rsidR="0041725B" w:rsidRPr="00FD7A51" w:rsidRDefault="0041725B" w:rsidP="0070553D">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94,969,102</w:t>
            </w:r>
          </w:p>
        </w:tc>
        <w:tc>
          <w:tcPr>
            <w:tcW w:w="1440" w:type="dxa"/>
            <w:tcBorders>
              <w:top w:val="single" w:sz="12" w:space="0" w:color="auto"/>
              <w:left w:val="single" w:sz="4" w:space="0" w:color="auto"/>
              <w:bottom w:val="dashed" w:sz="4" w:space="0" w:color="auto"/>
              <w:right w:val="single" w:sz="4" w:space="0" w:color="auto"/>
            </w:tcBorders>
            <w:shd w:val="clear" w:color="auto" w:fill="auto"/>
            <w:noWrap/>
            <w:vAlign w:val="center"/>
            <w:hideMark/>
          </w:tcPr>
          <w:p w14:paraId="3C5F8166" w14:textId="77777777" w:rsidR="0041725B" w:rsidRPr="00FD7A51" w:rsidRDefault="0041725B" w:rsidP="0070553D">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1,433,450</w:t>
            </w:r>
          </w:p>
        </w:tc>
        <w:tc>
          <w:tcPr>
            <w:tcW w:w="1440" w:type="dxa"/>
            <w:tcBorders>
              <w:top w:val="single" w:sz="12" w:space="0" w:color="auto"/>
              <w:left w:val="nil"/>
              <w:bottom w:val="dashed" w:sz="4" w:space="0" w:color="auto"/>
              <w:right w:val="single" w:sz="4" w:space="0" w:color="auto"/>
            </w:tcBorders>
            <w:shd w:val="clear" w:color="auto" w:fill="auto"/>
            <w:noWrap/>
            <w:vAlign w:val="center"/>
            <w:hideMark/>
          </w:tcPr>
          <w:p w14:paraId="36F3F7BA" w14:textId="3579D78A" w:rsidR="0041725B" w:rsidRPr="00FD7A51" w:rsidRDefault="006A1859" w:rsidP="0070553D">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1,656,753</w:t>
            </w:r>
          </w:p>
        </w:tc>
        <w:tc>
          <w:tcPr>
            <w:tcW w:w="1530" w:type="dxa"/>
            <w:tcBorders>
              <w:top w:val="single" w:sz="12" w:space="0" w:color="auto"/>
              <w:left w:val="nil"/>
              <w:bottom w:val="dashed" w:sz="4" w:space="0" w:color="auto"/>
              <w:right w:val="double" w:sz="4" w:space="0" w:color="auto"/>
            </w:tcBorders>
            <w:shd w:val="clear" w:color="auto" w:fill="auto"/>
            <w:noWrap/>
            <w:vAlign w:val="center"/>
            <w:hideMark/>
          </w:tcPr>
          <w:p w14:paraId="487373F6" w14:textId="45EC68E0" w:rsidR="0041725B" w:rsidRPr="00FD7A51" w:rsidRDefault="006A1859" w:rsidP="0070553D">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3,090,203</w:t>
            </w:r>
          </w:p>
        </w:tc>
      </w:tr>
      <w:tr w:rsidR="0041725B" w:rsidRPr="00FD7A51" w14:paraId="194193C8" w14:textId="77777777" w:rsidTr="00A43FC2">
        <w:trPr>
          <w:trHeight w:val="300"/>
        </w:trPr>
        <w:tc>
          <w:tcPr>
            <w:tcW w:w="2595" w:type="dxa"/>
            <w:gridSpan w:val="2"/>
            <w:vMerge/>
            <w:tcBorders>
              <w:top w:val="nil"/>
              <w:left w:val="double" w:sz="4" w:space="0" w:color="auto"/>
              <w:bottom w:val="single" w:sz="8" w:space="0" w:color="000000"/>
              <w:right w:val="single" w:sz="12" w:space="0" w:color="000000"/>
            </w:tcBorders>
            <w:vAlign w:val="center"/>
            <w:hideMark/>
          </w:tcPr>
          <w:p w14:paraId="471CFCF9" w14:textId="77777777" w:rsidR="0041725B" w:rsidRPr="00FD7A51" w:rsidRDefault="0041725B" w:rsidP="0070553D">
            <w:pPr>
              <w:spacing w:after="0" w:line="240" w:lineRule="auto"/>
              <w:rPr>
                <w:rFonts w:ascii="Times New Roman" w:eastAsia="Times New Roman" w:hAnsi="Times New Roman" w:cs="Times New Roman"/>
                <w:color w:val="000000"/>
                <w:sz w:val="22"/>
                <w:szCs w:val="22"/>
              </w:rPr>
            </w:pPr>
          </w:p>
        </w:tc>
        <w:tc>
          <w:tcPr>
            <w:tcW w:w="1445" w:type="dxa"/>
            <w:tcBorders>
              <w:top w:val="dashed" w:sz="4" w:space="0" w:color="auto"/>
              <w:left w:val="single" w:sz="12" w:space="0" w:color="000000"/>
              <w:bottom w:val="single" w:sz="8" w:space="0" w:color="auto"/>
              <w:right w:val="single" w:sz="4" w:space="0" w:color="auto"/>
            </w:tcBorders>
            <w:shd w:val="clear" w:color="auto" w:fill="auto"/>
            <w:noWrap/>
            <w:vAlign w:val="center"/>
            <w:hideMark/>
          </w:tcPr>
          <w:p w14:paraId="2C478B35" w14:textId="77777777" w:rsidR="0041725B" w:rsidRPr="00FD7A51" w:rsidRDefault="0041725B" w:rsidP="0070553D">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43.7%</w:t>
            </w:r>
          </w:p>
        </w:tc>
        <w:tc>
          <w:tcPr>
            <w:tcW w:w="1170" w:type="dxa"/>
            <w:tcBorders>
              <w:top w:val="dashed" w:sz="4" w:space="0" w:color="auto"/>
              <w:left w:val="nil"/>
              <w:bottom w:val="single" w:sz="8" w:space="0" w:color="auto"/>
              <w:right w:val="single" w:sz="4" w:space="0" w:color="auto"/>
            </w:tcBorders>
            <w:shd w:val="clear" w:color="auto" w:fill="auto"/>
            <w:noWrap/>
            <w:vAlign w:val="center"/>
            <w:hideMark/>
          </w:tcPr>
          <w:p w14:paraId="4FB444C6" w14:textId="77777777" w:rsidR="0041725B" w:rsidRPr="00FD7A51" w:rsidRDefault="0041725B" w:rsidP="0070553D">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100.0%</w:t>
            </w:r>
          </w:p>
        </w:tc>
        <w:tc>
          <w:tcPr>
            <w:tcW w:w="1350" w:type="dxa"/>
            <w:tcBorders>
              <w:top w:val="dashed" w:sz="4" w:space="0" w:color="auto"/>
              <w:left w:val="nil"/>
              <w:bottom w:val="single" w:sz="8" w:space="0" w:color="auto"/>
              <w:right w:val="single" w:sz="4" w:space="0" w:color="auto"/>
            </w:tcBorders>
            <w:shd w:val="clear" w:color="auto" w:fill="auto"/>
            <w:noWrap/>
            <w:vAlign w:val="center"/>
            <w:hideMark/>
          </w:tcPr>
          <w:p w14:paraId="51BF3592" w14:textId="77777777" w:rsidR="0041725B" w:rsidRPr="00FD7A51" w:rsidRDefault="0041725B" w:rsidP="0070553D">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100.0%</w:t>
            </w:r>
          </w:p>
        </w:tc>
        <w:tc>
          <w:tcPr>
            <w:tcW w:w="1530" w:type="dxa"/>
            <w:tcBorders>
              <w:top w:val="dashed" w:sz="4" w:space="0" w:color="auto"/>
              <w:left w:val="nil"/>
              <w:bottom w:val="single" w:sz="8" w:space="0" w:color="auto"/>
              <w:right w:val="single" w:sz="12" w:space="0" w:color="auto"/>
            </w:tcBorders>
            <w:shd w:val="clear" w:color="auto" w:fill="auto"/>
            <w:noWrap/>
            <w:vAlign w:val="center"/>
            <w:hideMark/>
          </w:tcPr>
          <w:p w14:paraId="2F77137B" w14:textId="77777777" w:rsidR="0041725B" w:rsidRPr="00FD7A51" w:rsidRDefault="0041725B" w:rsidP="0070553D">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100.0%</w:t>
            </w:r>
          </w:p>
        </w:tc>
        <w:tc>
          <w:tcPr>
            <w:tcW w:w="1440" w:type="dxa"/>
            <w:tcBorders>
              <w:top w:val="dashed" w:sz="4" w:space="0" w:color="auto"/>
              <w:left w:val="single" w:sz="12" w:space="0" w:color="auto"/>
              <w:bottom w:val="single" w:sz="8" w:space="0" w:color="auto"/>
              <w:right w:val="single" w:sz="4" w:space="0" w:color="auto"/>
            </w:tcBorders>
            <w:shd w:val="clear" w:color="auto" w:fill="auto"/>
            <w:noWrap/>
            <w:vAlign w:val="center"/>
            <w:hideMark/>
          </w:tcPr>
          <w:p w14:paraId="06332FAD" w14:textId="77777777" w:rsidR="0041725B" w:rsidRPr="00FD7A51" w:rsidRDefault="0041725B" w:rsidP="0070553D">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30.8%</w:t>
            </w:r>
          </w:p>
        </w:tc>
        <w:tc>
          <w:tcPr>
            <w:tcW w:w="1440" w:type="dxa"/>
            <w:tcBorders>
              <w:top w:val="dashed" w:sz="4" w:space="0" w:color="auto"/>
              <w:left w:val="nil"/>
              <w:bottom w:val="single" w:sz="8" w:space="0" w:color="auto"/>
              <w:right w:val="single" w:sz="4" w:space="0" w:color="auto"/>
            </w:tcBorders>
            <w:shd w:val="clear" w:color="auto" w:fill="auto"/>
            <w:noWrap/>
            <w:vAlign w:val="center"/>
            <w:hideMark/>
          </w:tcPr>
          <w:p w14:paraId="74B8B917" w14:textId="77777777" w:rsidR="0041725B" w:rsidRPr="00FD7A51" w:rsidRDefault="0041725B" w:rsidP="0070553D">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100.0%</w:t>
            </w:r>
          </w:p>
        </w:tc>
        <w:tc>
          <w:tcPr>
            <w:tcW w:w="1440" w:type="dxa"/>
            <w:tcBorders>
              <w:top w:val="dashed" w:sz="4" w:space="0" w:color="auto"/>
              <w:left w:val="nil"/>
              <w:bottom w:val="single" w:sz="8" w:space="0" w:color="auto"/>
              <w:right w:val="single" w:sz="4" w:space="0" w:color="auto"/>
            </w:tcBorders>
            <w:shd w:val="clear" w:color="auto" w:fill="auto"/>
            <w:noWrap/>
            <w:vAlign w:val="center"/>
            <w:hideMark/>
          </w:tcPr>
          <w:p w14:paraId="6DA19EDD" w14:textId="77777777" w:rsidR="0041725B" w:rsidRPr="00FD7A51" w:rsidRDefault="0041725B" w:rsidP="0070553D">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100.0%</w:t>
            </w:r>
          </w:p>
        </w:tc>
        <w:tc>
          <w:tcPr>
            <w:tcW w:w="1530" w:type="dxa"/>
            <w:tcBorders>
              <w:top w:val="dashed" w:sz="4" w:space="0" w:color="auto"/>
              <w:left w:val="nil"/>
              <w:bottom w:val="single" w:sz="8" w:space="0" w:color="auto"/>
              <w:right w:val="double" w:sz="4" w:space="0" w:color="auto"/>
            </w:tcBorders>
            <w:shd w:val="clear" w:color="auto" w:fill="auto"/>
            <w:noWrap/>
            <w:vAlign w:val="center"/>
            <w:hideMark/>
          </w:tcPr>
          <w:p w14:paraId="6C5879B2" w14:textId="77777777" w:rsidR="0041725B" w:rsidRPr="00FD7A51" w:rsidRDefault="0041725B" w:rsidP="0070553D">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100.0%</w:t>
            </w:r>
          </w:p>
        </w:tc>
      </w:tr>
      <w:tr w:rsidR="0041725B" w:rsidRPr="00FD7A51" w14:paraId="4F282D54" w14:textId="77777777" w:rsidTr="00A43FC2">
        <w:trPr>
          <w:trHeight w:val="300"/>
        </w:trPr>
        <w:tc>
          <w:tcPr>
            <w:tcW w:w="585" w:type="dxa"/>
            <w:tcBorders>
              <w:top w:val="nil"/>
              <w:right w:val="double" w:sz="4" w:space="0" w:color="auto"/>
            </w:tcBorders>
            <w:shd w:val="clear" w:color="auto" w:fill="auto"/>
            <w:noWrap/>
            <w:vAlign w:val="bottom"/>
            <w:hideMark/>
          </w:tcPr>
          <w:p w14:paraId="03CF2BB6" w14:textId="77777777" w:rsidR="0041725B" w:rsidRPr="00FD7A51" w:rsidRDefault="0041725B" w:rsidP="0070553D">
            <w:pPr>
              <w:spacing w:after="0" w:line="240" w:lineRule="auto"/>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 </w:t>
            </w:r>
          </w:p>
        </w:tc>
        <w:tc>
          <w:tcPr>
            <w:tcW w:w="2010" w:type="dxa"/>
            <w:vMerge w:val="restart"/>
            <w:tcBorders>
              <w:top w:val="nil"/>
              <w:left w:val="double" w:sz="4" w:space="0" w:color="auto"/>
              <w:bottom w:val="single" w:sz="8" w:space="0" w:color="000000"/>
              <w:right w:val="single" w:sz="12" w:space="0" w:color="000000"/>
            </w:tcBorders>
            <w:shd w:val="clear" w:color="000000" w:fill="E2EFDA"/>
            <w:vAlign w:val="center"/>
            <w:hideMark/>
          </w:tcPr>
          <w:p w14:paraId="3DCCA69B" w14:textId="77777777" w:rsidR="0041725B" w:rsidRPr="00FD7A51" w:rsidRDefault="0041725B" w:rsidP="0070553D">
            <w:pPr>
              <w:spacing w:after="0" w:line="240" w:lineRule="auto"/>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 xml:space="preserve">Blocks With </w:t>
            </w:r>
            <w:r w:rsidRPr="00FD7A51">
              <w:rPr>
                <w:rFonts w:ascii="Times New Roman" w:eastAsia="Times New Roman" w:hAnsi="Times New Roman" w:cs="Times New Roman"/>
                <w:i/>
                <w:iCs/>
                <w:color w:val="000000"/>
                <w:sz w:val="22"/>
                <w:szCs w:val="22"/>
              </w:rPr>
              <w:t>NO LTE SERVICE</w:t>
            </w:r>
            <w:r w:rsidRPr="00FD7A51">
              <w:rPr>
                <w:rFonts w:ascii="Times New Roman" w:eastAsia="Times New Roman" w:hAnsi="Times New Roman" w:cs="Times New Roman"/>
                <w:color w:val="000000"/>
                <w:sz w:val="22"/>
                <w:szCs w:val="22"/>
              </w:rPr>
              <w:t xml:space="preserve"> </w:t>
            </w:r>
          </w:p>
        </w:tc>
        <w:tc>
          <w:tcPr>
            <w:tcW w:w="1445" w:type="dxa"/>
            <w:tcBorders>
              <w:top w:val="single" w:sz="8" w:space="0" w:color="auto"/>
              <w:left w:val="single" w:sz="12" w:space="0" w:color="000000"/>
              <w:bottom w:val="dashed" w:sz="4" w:space="0" w:color="auto"/>
              <w:right w:val="single" w:sz="4" w:space="0" w:color="auto"/>
            </w:tcBorders>
            <w:shd w:val="clear" w:color="auto" w:fill="auto"/>
            <w:noWrap/>
            <w:vAlign w:val="center"/>
            <w:hideMark/>
          </w:tcPr>
          <w:p w14:paraId="46F7EDC6" w14:textId="77777777" w:rsidR="0041725B" w:rsidRPr="00FD7A51" w:rsidRDefault="0041725B" w:rsidP="0070553D">
            <w:pPr>
              <w:spacing w:after="0" w:line="240" w:lineRule="auto"/>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 </w:t>
            </w:r>
          </w:p>
        </w:tc>
        <w:tc>
          <w:tcPr>
            <w:tcW w:w="1170" w:type="dxa"/>
            <w:tcBorders>
              <w:top w:val="single" w:sz="8" w:space="0" w:color="auto"/>
              <w:left w:val="nil"/>
              <w:bottom w:val="dashed" w:sz="4" w:space="0" w:color="auto"/>
              <w:right w:val="single" w:sz="4" w:space="0" w:color="auto"/>
            </w:tcBorders>
            <w:shd w:val="clear" w:color="auto" w:fill="auto"/>
            <w:noWrap/>
            <w:vAlign w:val="center"/>
            <w:hideMark/>
          </w:tcPr>
          <w:p w14:paraId="30698C7D" w14:textId="77777777" w:rsidR="0041725B" w:rsidRPr="00FD7A51" w:rsidRDefault="0041725B" w:rsidP="0070553D">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179,411</w:t>
            </w:r>
          </w:p>
        </w:tc>
        <w:tc>
          <w:tcPr>
            <w:tcW w:w="1350" w:type="dxa"/>
            <w:tcBorders>
              <w:top w:val="single" w:sz="8" w:space="0" w:color="auto"/>
              <w:left w:val="nil"/>
              <w:bottom w:val="dashed" w:sz="4" w:space="0" w:color="auto"/>
              <w:right w:val="single" w:sz="4" w:space="0" w:color="auto"/>
            </w:tcBorders>
            <w:shd w:val="clear" w:color="auto" w:fill="auto"/>
            <w:noWrap/>
            <w:vAlign w:val="center"/>
            <w:hideMark/>
          </w:tcPr>
          <w:p w14:paraId="5C3F5CCB" w14:textId="77777777" w:rsidR="0041725B" w:rsidRPr="00FD7A51" w:rsidRDefault="0041725B" w:rsidP="0070553D">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 </w:t>
            </w:r>
          </w:p>
        </w:tc>
        <w:tc>
          <w:tcPr>
            <w:tcW w:w="1530" w:type="dxa"/>
            <w:tcBorders>
              <w:top w:val="single" w:sz="8" w:space="0" w:color="auto"/>
              <w:left w:val="nil"/>
              <w:bottom w:val="dashed" w:sz="4" w:space="0" w:color="auto"/>
              <w:right w:val="single" w:sz="12" w:space="0" w:color="auto"/>
            </w:tcBorders>
            <w:shd w:val="clear" w:color="auto" w:fill="auto"/>
            <w:noWrap/>
            <w:vAlign w:val="center"/>
            <w:hideMark/>
          </w:tcPr>
          <w:p w14:paraId="05D7B93B" w14:textId="77777777" w:rsidR="0041725B" w:rsidRPr="00FD7A51" w:rsidRDefault="0041725B" w:rsidP="0070553D">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179,411</w:t>
            </w:r>
          </w:p>
        </w:tc>
        <w:tc>
          <w:tcPr>
            <w:tcW w:w="1440" w:type="dxa"/>
            <w:tcBorders>
              <w:top w:val="single" w:sz="8" w:space="0" w:color="auto"/>
              <w:left w:val="single" w:sz="12" w:space="0" w:color="auto"/>
              <w:bottom w:val="dashed" w:sz="4" w:space="0" w:color="auto"/>
              <w:right w:val="single" w:sz="4" w:space="0" w:color="auto"/>
            </w:tcBorders>
            <w:shd w:val="clear" w:color="auto" w:fill="auto"/>
            <w:noWrap/>
            <w:vAlign w:val="center"/>
            <w:hideMark/>
          </w:tcPr>
          <w:p w14:paraId="3FE9CBF9" w14:textId="77777777" w:rsidR="0041725B" w:rsidRPr="00FD7A51" w:rsidRDefault="0041725B" w:rsidP="0070553D">
            <w:pPr>
              <w:spacing w:after="0" w:line="240" w:lineRule="auto"/>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 </w:t>
            </w:r>
          </w:p>
        </w:tc>
        <w:tc>
          <w:tcPr>
            <w:tcW w:w="1440" w:type="dxa"/>
            <w:tcBorders>
              <w:top w:val="single" w:sz="8" w:space="0" w:color="auto"/>
              <w:left w:val="nil"/>
              <w:bottom w:val="dashed" w:sz="4" w:space="0" w:color="auto"/>
              <w:right w:val="single" w:sz="4" w:space="0" w:color="auto"/>
            </w:tcBorders>
            <w:shd w:val="clear" w:color="auto" w:fill="auto"/>
            <w:noWrap/>
            <w:vAlign w:val="center"/>
            <w:hideMark/>
          </w:tcPr>
          <w:p w14:paraId="0742EA80" w14:textId="77777777" w:rsidR="0041725B" w:rsidRPr="00FD7A51" w:rsidRDefault="0041725B" w:rsidP="0070553D">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712,524</w:t>
            </w:r>
          </w:p>
        </w:tc>
        <w:tc>
          <w:tcPr>
            <w:tcW w:w="1440" w:type="dxa"/>
            <w:tcBorders>
              <w:top w:val="single" w:sz="8" w:space="0" w:color="auto"/>
              <w:left w:val="nil"/>
              <w:bottom w:val="dashed" w:sz="4" w:space="0" w:color="auto"/>
              <w:right w:val="single" w:sz="4" w:space="0" w:color="auto"/>
            </w:tcBorders>
            <w:shd w:val="clear" w:color="auto" w:fill="auto"/>
            <w:noWrap/>
            <w:vAlign w:val="center"/>
            <w:hideMark/>
          </w:tcPr>
          <w:p w14:paraId="2D2AD837" w14:textId="77777777" w:rsidR="0041725B" w:rsidRPr="00FD7A51" w:rsidRDefault="0041725B" w:rsidP="0070553D">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 </w:t>
            </w:r>
          </w:p>
        </w:tc>
        <w:tc>
          <w:tcPr>
            <w:tcW w:w="1530" w:type="dxa"/>
            <w:tcBorders>
              <w:top w:val="single" w:sz="8" w:space="0" w:color="auto"/>
              <w:left w:val="nil"/>
              <w:bottom w:val="dashed" w:sz="4" w:space="0" w:color="auto"/>
              <w:right w:val="double" w:sz="4" w:space="0" w:color="auto"/>
            </w:tcBorders>
            <w:shd w:val="clear" w:color="auto" w:fill="auto"/>
            <w:noWrap/>
            <w:vAlign w:val="center"/>
            <w:hideMark/>
          </w:tcPr>
          <w:p w14:paraId="5FB573CB" w14:textId="77777777" w:rsidR="0041725B" w:rsidRPr="00FD7A51" w:rsidRDefault="0041725B" w:rsidP="0070553D">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712,524</w:t>
            </w:r>
          </w:p>
        </w:tc>
      </w:tr>
      <w:tr w:rsidR="0041725B" w:rsidRPr="00FD7A51" w14:paraId="67A8AD3A" w14:textId="77777777" w:rsidTr="00A43FC2">
        <w:trPr>
          <w:trHeight w:val="300"/>
        </w:trPr>
        <w:tc>
          <w:tcPr>
            <w:tcW w:w="585" w:type="dxa"/>
            <w:tcBorders>
              <w:top w:val="nil"/>
              <w:bottom w:val="nil"/>
              <w:right w:val="double" w:sz="4" w:space="0" w:color="auto"/>
            </w:tcBorders>
            <w:shd w:val="clear" w:color="auto" w:fill="auto"/>
            <w:vAlign w:val="center"/>
            <w:hideMark/>
          </w:tcPr>
          <w:p w14:paraId="535FCFA6" w14:textId="77777777" w:rsidR="0041725B" w:rsidRPr="00FD7A51" w:rsidRDefault="0041725B" w:rsidP="0070553D">
            <w:pPr>
              <w:spacing w:after="0" w:line="240" w:lineRule="auto"/>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 </w:t>
            </w:r>
          </w:p>
        </w:tc>
        <w:tc>
          <w:tcPr>
            <w:tcW w:w="2010" w:type="dxa"/>
            <w:vMerge/>
            <w:tcBorders>
              <w:top w:val="nil"/>
              <w:left w:val="double" w:sz="4" w:space="0" w:color="auto"/>
              <w:bottom w:val="single" w:sz="8" w:space="0" w:color="000000"/>
              <w:right w:val="single" w:sz="12" w:space="0" w:color="000000"/>
            </w:tcBorders>
            <w:vAlign w:val="center"/>
            <w:hideMark/>
          </w:tcPr>
          <w:p w14:paraId="1DADEEDF" w14:textId="77777777" w:rsidR="0041725B" w:rsidRPr="00FD7A51" w:rsidRDefault="0041725B" w:rsidP="0070553D">
            <w:pPr>
              <w:spacing w:after="0" w:line="240" w:lineRule="auto"/>
              <w:rPr>
                <w:rFonts w:ascii="Times New Roman" w:eastAsia="Times New Roman" w:hAnsi="Times New Roman" w:cs="Times New Roman"/>
                <w:color w:val="000000"/>
                <w:sz w:val="22"/>
                <w:szCs w:val="22"/>
              </w:rPr>
            </w:pPr>
          </w:p>
        </w:tc>
        <w:tc>
          <w:tcPr>
            <w:tcW w:w="1445" w:type="dxa"/>
            <w:tcBorders>
              <w:top w:val="dashed" w:sz="4" w:space="0" w:color="auto"/>
              <w:left w:val="single" w:sz="12" w:space="0" w:color="000000"/>
              <w:bottom w:val="single" w:sz="8" w:space="0" w:color="auto"/>
              <w:right w:val="single" w:sz="4" w:space="0" w:color="auto"/>
            </w:tcBorders>
            <w:shd w:val="clear" w:color="auto" w:fill="auto"/>
            <w:noWrap/>
            <w:vAlign w:val="center"/>
            <w:hideMark/>
          </w:tcPr>
          <w:p w14:paraId="1B66936A" w14:textId="77777777" w:rsidR="0041725B" w:rsidRPr="00FD7A51" w:rsidRDefault="0041725B" w:rsidP="0070553D">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 </w:t>
            </w:r>
          </w:p>
        </w:tc>
        <w:tc>
          <w:tcPr>
            <w:tcW w:w="1170" w:type="dxa"/>
            <w:tcBorders>
              <w:top w:val="dashed" w:sz="4" w:space="0" w:color="auto"/>
              <w:left w:val="nil"/>
              <w:bottom w:val="single" w:sz="4" w:space="0" w:color="auto"/>
              <w:right w:val="single" w:sz="4" w:space="0" w:color="auto"/>
            </w:tcBorders>
            <w:shd w:val="clear" w:color="auto" w:fill="auto"/>
            <w:noWrap/>
            <w:vAlign w:val="center"/>
            <w:hideMark/>
          </w:tcPr>
          <w:p w14:paraId="4931F9FC" w14:textId="77777777" w:rsidR="0041725B" w:rsidRPr="00FD7A51" w:rsidRDefault="0041725B" w:rsidP="0070553D">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32.2%</w:t>
            </w:r>
          </w:p>
        </w:tc>
        <w:tc>
          <w:tcPr>
            <w:tcW w:w="1350" w:type="dxa"/>
            <w:tcBorders>
              <w:top w:val="dashed" w:sz="4" w:space="0" w:color="auto"/>
              <w:left w:val="nil"/>
              <w:bottom w:val="single" w:sz="4" w:space="0" w:color="auto"/>
              <w:right w:val="single" w:sz="4" w:space="0" w:color="auto"/>
            </w:tcBorders>
            <w:shd w:val="clear" w:color="auto" w:fill="auto"/>
            <w:noWrap/>
            <w:vAlign w:val="center"/>
            <w:hideMark/>
          </w:tcPr>
          <w:p w14:paraId="1D502665" w14:textId="77777777" w:rsidR="0041725B" w:rsidRPr="00FD7A51" w:rsidRDefault="0041725B" w:rsidP="0070553D">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 </w:t>
            </w:r>
          </w:p>
        </w:tc>
        <w:tc>
          <w:tcPr>
            <w:tcW w:w="1530" w:type="dxa"/>
            <w:tcBorders>
              <w:top w:val="dashed" w:sz="4" w:space="0" w:color="auto"/>
              <w:left w:val="nil"/>
              <w:bottom w:val="single" w:sz="4" w:space="0" w:color="auto"/>
              <w:right w:val="single" w:sz="12" w:space="0" w:color="auto"/>
            </w:tcBorders>
            <w:shd w:val="clear" w:color="auto" w:fill="auto"/>
            <w:noWrap/>
            <w:vAlign w:val="center"/>
            <w:hideMark/>
          </w:tcPr>
          <w:p w14:paraId="26DDAF1C" w14:textId="77777777" w:rsidR="0041725B" w:rsidRPr="00FD7A51" w:rsidRDefault="0041725B" w:rsidP="0070553D">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20.8%</w:t>
            </w:r>
          </w:p>
        </w:tc>
        <w:tc>
          <w:tcPr>
            <w:tcW w:w="1440" w:type="dxa"/>
            <w:tcBorders>
              <w:top w:val="dashed" w:sz="4" w:space="0" w:color="auto"/>
              <w:left w:val="single" w:sz="12" w:space="0" w:color="auto"/>
              <w:bottom w:val="single" w:sz="4" w:space="0" w:color="auto"/>
              <w:right w:val="single" w:sz="4" w:space="0" w:color="auto"/>
            </w:tcBorders>
            <w:shd w:val="clear" w:color="auto" w:fill="auto"/>
            <w:noWrap/>
            <w:vAlign w:val="center"/>
            <w:hideMark/>
          </w:tcPr>
          <w:p w14:paraId="2193846A" w14:textId="77777777" w:rsidR="0041725B" w:rsidRPr="00FD7A51" w:rsidRDefault="0041725B" w:rsidP="0070553D">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 </w:t>
            </w:r>
          </w:p>
        </w:tc>
        <w:tc>
          <w:tcPr>
            <w:tcW w:w="1440" w:type="dxa"/>
            <w:tcBorders>
              <w:top w:val="dashed" w:sz="4" w:space="0" w:color="auto"/>
              <w:left w:val="nil"/>
              <w:bottom w:val="single" w:sz="4" w:space="0" w:color="auto"/>
              <w:right w:val="single" w:sz="4" w:space="0" w:color="auto"/>
            </w:tcBorders>
            <w:shd w:val="clear" w:color="auto" w:fill="auto"/>
            <w:noWrap/>
            <w:vAlign w:val="center"/>
            <w:hideMark/>
          </w:tcPr>
          <w:p w14:paraId="334B95AC" w14:textId="77777777" w:rsidR="0041725B" w:rsidRPr="00FD7A51" w:rsidRDefault="0041725B" w:rsidP="0070553D">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49.7%</w:t>
            </w:r>
          </w:p>
        </w:tc>
        <w:tc>
          <w:tcPr>
            <w:tcW w:w="1440" w:type="dxa"/>
            <w:tcBorders>
              <w:top w:val="dashed" w:sz="4" w:space="0" w:color="auto"/>
              <w:left w:val="nil"/>
              <w:bottom w:val="single" w:sz="4" w:space="0" w:color="auto"/>
              <w:right w:val="single" w:sz="4" w:space="0" w:color="auto"/>
            </w:tcBorders>
            <w:shd w:val="clear" w:color="auto" w:fill="auto"/>
            <w:noWrap/>
            <w:vAlign w:val="center"/>
            <w:hideMark/>
          </w:tcPr>
          <w:p w14:paraId="75B9C60A" w14:textId="77777777" w:rsidR="0041725B" w:rsidRPr="00FD7A51" w:rsidRDefault="0041725B" w:rsidP="0070553D">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 </w:t>
            </w:r>
          </w:p>
        </w:tc>
        <w:tc>
          <w:tcPr>
            <w:tcW w:w="1530" w:type="dxa"/>
            <w:tcBorders>
              <w:top w:val="dashed" w:sz="4" w:space="0" w:color="auto"/>
              <w:left w:val="nil"/>
              <w:bottom w:val="single" w:sz="4" w:space="0" w:color="auto"/>
              <w:right w:val="double" w:sz="4" w:space="0" w:color="auto"/>
            </w:tcBorders>
            <w:shd w:val="clear" w:color="auto" w:fill="auto"/>
            <w:noWrap/>
            <w:vAlign w:val="center"/>
            <w:hideMark/>
          </w:tcPr>
          <w:p w14:paraId="72EF76AD" w14:textId="6D128494" w:rsidR="0041725B" w:rsidRPr="00FD7A51" w:rsidRDefault="006A1859" w:rsidP="0070553D">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23.1</w:t>
            </w:r>
            <w:r w:rsidR="0041725B" w:rsidRPr="00FD7A51">
              <w:rPr>
                <w:rFonts w:ascii="Times New Roman" w:eastAsia="Times New Roman" w:hAnsi="Times New Roman" w:cs="Times New Roman"/>
                <w:color w:val="000000"/>
                <w:sz w:val="22"/>
                <w:szCs w:val="22"/>
              </w:rPr>
              <w:t>%</w:t>
            </w:r>
          </w:p>
        </w:tc>
      </w:tr>
      <w:tr w:rsidR="0041725B" w:rsidRPr="00FD7A51" w14:paraId="10AF38F2" w14:textId="77777777" w:rsidTr="006A1859">
        <w:trPr>
          <w:trHeight w:val="300"/>
        </w:trPr>
        <w:tc>
          <w:tcPr>
            <w:tcW w:w="585" w:type="dxa"/>
            <w:tcBorders>
              <w:top w:val="nil"/>
              <w:bottom w:val="nil"/>
              <w:right w:val="double" w:sz="4" w:space="0" w:color="auto"/>
            </w:tcBorders>
            <w:shd w:val="clear" w:color="auto" w:fill="auto"/>
            <w:noWrap/>
            <w:vAlign w:val="bottom"/>
            <w:hideMark/>
          </w:tcPr>
          <w:p w14:paraId="4D0A76F1" w14:textId="77777777" w:rsidR="0041725B" w:rsidRPr="00FD7A51" w:rsidRDefault="0041725B" w:rsidP="0070553D">
            <w:pPr>
              <w:spacing w:after="0" w:line="240" w:lineRule="auto"/>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 </w:t>
            </w:r>
          </w:p>
        </w:tc>
        <w:tc>
          <w:tcPr>
            <w:tcW w:w="2010" w:type="dxa"/>
            <w:vMerge w:val="restart"/>
            <w:tcBorders>
              <w:top w:val="nil"/>
              <w:left w:val="double" w:sz="4" w:space="0" w:color="auto"/>
              <w:bottom w:val="single" w:sz="8" w:space="0" w:color="000000"/>
              <w:right w:val="single" w:sz="12" w:space="0" w:color="000000"/>
            </w:tcBorders>
            <w:shd w:val="clear" w:color="000000" w:fill="E2EFDA"/>
            <w:vAlign w:val="center"/>
            <w:hideMark/>
          </w:tcPr>
          <w:p w14:paraId="2581D278" w14:textId="77777777" w:rsidR="0041725B" w:rsidRPr="00FD7A51" w:rsidRDefault="0041725B" w:rsidP="0070553D">
            <w:pPr>
              <w:spacing w:after="0" w:line="240" w:lineRule="auto"/>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 xml:space="preserve">Blocks With </w:t>
            </w:r>
            <w:r w:rsidRPr="00FD7A51">
              <w:rPr>
                <w:rFonts w:ascii="Times New Roman" w:eastAsia="Times New Roman" w:hAnsi="Times New Roman" w:cs="Times New Roman"/>
                <w:i/>
                <w:iCs/>
                <w:color w:val="000000"/>
                <w:sz w:val="22"/>
                <w:szCs w:val="22"/>
              </w:rPr>
              <w:t>LESS THAN 100%  LTE Coverage</w:t>
            </w:r>
          </w:p>
        </w:tc>
        <w:tc>
          <w:tcPr>
            <w:tcW w:w="1445" w:type="dxa"/>
            <w:tcBorders>
              <w:top w:val="single" w:sz="8" w:space="0" w:color="auto"/>
              <w:left w:val="single" w:sz="12" w:space="0" w:color="000000"/>
              <w:bottom w:val="dashed" w:sz="4" w:space="0" w:color="auto"/>
              <w:right w:val="single" w:sz="4" w:space="0" w:color="auto"/>
            </w:tcBorders>
            <w:shd w:val="clear" w:color="auto" w:fill="auto"/>
            <w:noWrap/>
            <w:vAlign w:val="center"/>
            <w:hideMark/>
          </w:tcPr>
          <w:p w14:paraId="0031CAA8" w14:textId="77777777" w:rsidR="0041725B" w:rsidRPr="00FD7A51" w:rsidRDefault="0041725B" w:rsidP="0070553D">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588,633</w:t>
            </w:r>
          </w:p>
        </w:tc>
        <w:tc>
          <w:tcPr>
            <w:tcW w:w="1170" w:type="dxa"/>
            <w:tcBorders>
              <w:top w:val="nil"/>
              <w:left w:val="nil"/>
              <w:bottom w:val="dashed" w:sz="4" w:space="0" w:color="auto"/>
              <w:right w:val="single" w:sz="4" w:space="0" w:color="auto"/>
            </w:tcBorders>
            <w:shd w:val="clear" w:color="auto" w:fill="auto"/>
            <w:noWrap/>
            <w:vAlign w:val="center"/>
            <w:hideMark/>
          </w:tcPr>
          <w:p w14:paraId="11384EA6" w14:textId="77777777" w:rsidR="0041725B" w:rsidRPr="00FD7A51" w:rsidRDefault="0041725B" w:rsidP="0070553D">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377,869</w:t>
            </w:r>
          </w:p>
        </w:tc>
        <w:tc>
          <w:tcPr>
            <w:tcW w:w="1350" w:type="dxa"/>
            <w:tcBorders>
              <w:top w:val="nil"/>
              <w:left w:val="nil"/>
              <w:bottom w:val="dashed" w:sz="4" w:space="0" w:color="auto"/>
              <w:right w:val="single" w:sz="4" w:space="0" w:color="auto"/>
            </w:tcBorders>
            <w:shd w:val="clear" w:color="auto" w:fill="auto"/>
            <w:noWrap/>
            <w:vAlign w:val="center"/>
            <w:hideMark/>
          </w:tcPr>
          <w:p w14:paraId="382DFD73" w14:textId="671F8C4E" w:rsidR="0041725B" w:rsidRPr="00FD7A51" w:rsidRDefault="006A1859" w:rsidP="0070553D">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66,060</w:t>
            </w:r>
          </w:p>
        </w:tc>
        <w:tc>
          <w:tcPr>
            <w:tcW w:w="1530" w:type="dxa"/>
            <w:tcBorders>
              <w:top w:val="nil"/>
              <w:left w:val="nil"/>
              <w:bottom w:val="dashed" w:sz="4" w:space="0" w:color="auto"/>
              <w:right w:val="single" w:sz="12" w:space="0" w:color="auto"/>
            </w:tcBorders>
            <w:shd w:val="clear" w:color="auto" w:fill="auto"/>
            <w:noWrap/>
            <w:vAlign w:val="center"/>
            <w:hideMark/>
          </w:tcPr>
          <w:p w14:paraId="5760E943" w14:textId="3B1748AF" w:rsidR="0041725B" w:rsidRPr="00FD7A51" w:rsidRDefault="006A1859" w:rsidP="0070553D">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443,929</w:t>
            </w:r>
          </w:p>
        </w:tc>
        <w:tc>
          <w:tcPr>
            <w:tcW w:w="1440" w:type="dxa"/>
            <w:tcBorders>
              <w:top w:val="nil"/>
              <w:left w:val="single" w:sz="12" w:space="0" w:color="auto"/>
              <w:bottom w:val="dashed" w:sz="4" w:space="0" w:color="auto"/>
              <w:right w:val="single" w:sz="4" w:space="0" w:color="auto"/>
            </w:tcBorders>
            <w:shd w:val="clear" w:color="auto" w:fill="auto"/>
            <w:noWrap/>
            <w:vAlign w:val="bottom"/>
            <w:hideMark/>
          </w:tcPr>
          <w:p w14:paraId="3BE189EE" w14:textId="52DA2FB0" w:rsidR="0041725B" w:rsidRPr="00FD7A51" w:rsidRDefault="0041725B" w:rsidP="00D42D11">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 xml:space="preserve">1,788,880 </w:t>
            </w:r>
          </w:p>
        </w:tc>
        <w:tc>
          <w:tcPr>
            <w:tcW w:w="1440" w:type="dxa"/>
            <w:tcBorders>
              <w:top w:val="nil"/>
              <w:left w:val="nil"/>
              <w:bottom w:val="dashed" w:sz="4" w:space="0" w:color="auto"/>
              <w:right w:val="single" w:sz="4" w:space="0" w:color="auto"/>
            </w:tcBorders>
            <w:shd w:val="clear" w:color="auto" w:fill="auto"/>
            <w:noWrap/>
            <w:vAlign w:val="center"/>
            <w:hideMark/>
          </w:tcPr>
          <w:p w14:paraId="56753A17" w14:textId="77777777" w:rsidR="0041725B" w:rsidRPr="00FD7A51" w:rsidRDefault="0041725B" w:rsidP="0070553D">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720,926</w:t>
            </w:r>
          </w:p>
        </w:tc>
        <w:tc>
          <w:tcPr>
            <w:tcW w:w="1440" w:type="dxa"/>
            <w:tcBorders>
              <w:top w:val="nil"/>
              <w:left w:val="nil"/>
              <w:bottom w:val="dashed" w:sz="4" w:space="0" w:color="auto"/>
              <w:right w:val="single" w:sz="4" w:space="0" w:color="auto"/>
            </w:tcBorders>
            <w:shd w:val="clear" w:color="auto" w:fill="auto"/>
            <w:noWrap/>
            <w:vAlign w:val="center"/>
            <w:hideMark/>
          </w:tcPr>
          <w:p w14:paraId="6A425AE5" w14:textId="3667B977" w:rsidR="0041725B" w:rsidRPr="00FD7A51" w:rsidRDefault="006A1859" w:rsidP="006A1859">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286,857</w:t>
            </w:r>
          </w:p>
        </w:tc>
        <w:tc>
          <w:tcPr>
            <w:tcW w:w="1530" w:type="dxa"/>
            <w:tcBorders>
              <w:top w:val="nil"/>
              <w:left w:val="nil"/>
              <w:bottom w:val="dashed" w:sz="4" w:space="0" w:color="auto"/>
              <w:right w:val="double" w:sz="4" w:space="0" w:color="auto"/>
            </w:tcBorders>
            <w:shd w:val="clear" w:color="auto" w:fill="auto"/>
            <w:noWrap/>
            <w:vAlign w:val="center"/>
            <w:hideMark/>
          </w:tcPr>
          <w:p w14:paraId="0EA5FB88" w14:textId="51F70C9D" w:rsidR="0041725B" w:rsidRPr="00FD7A51" w:rsidRDefault="0041725B" w:rsidP="006A1859">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1</w:t>
            </w:r>
            <w:r w:rsidR="006A1859">
              <w:rPr>
                <w:rFonts w:ascii="Times New Roman" w:eastAsia="Times New Roman" w:hAnsi="Times New Roman" w:cs="Times New Roman"/>
                <w:color w:val="000000"/>
                <w:sz w:val="22"/>
                <w:szCs w:val="22"/>
              </w:rPr>
              <w:t>,007,783</w:t>
            </w:r>
          </w:p>
        </w:tc>
      </w:tr>
      <w:tr w:rsidR="0041725B" w:rsidRPr="00FD7A51" w14:paraId="7BAB340A" w14:textId="77777777" w:rsidTr="00A43FC2">
        <w:trPr>
          <w:trHeight w:val="300"/>
        </w:trPr>
        <w:tc>
          <w:tcPr>
            <w:tcW w:w="585" w:type="dxa"/>
            <w:tcBorders>
              <w:top w:val="nil"/>
              <w:bottom w:val="nil"/>
              <w:right w:val="double" w:sz="4" w:space="0" w:color="auto"/>
            </w:tcBorders>
            <w:shd w:val="clear" w:color="auto" w:fill="auto"/>
            <w:vAlign w:val="center"/>
            <w:hideMark/>
          </w:tcPr>
          <w:p w14:paraId="2D2859A8" w14:textId="77777777" w:rsidR="0041725B" w:rsidRPr="00FD7A51" w:rsidRDefault="0041725B" w:rsidP="0070553D">
            <w:pPr>
              <w:spacing w:after="0" w:line="240" w:lineRule="auto"/>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 </w:t>
            </w:r>
          </w:p>
        </w:tc>
        <w:tc>
          <w:tcPr>
            <w:tcW w:w="2010" w:type="dxa"/>
            <w:vMerge/>
            <w:tcBorders>
              <w:top w:val="nil"/>
              <w:left w:val="double" w:sz="4" w:space="0" w:color="auto"/>
              <w:bottom w:val="single" w:sz="8" w:space="0" w:color="000000"/>
              <w:right w:val="single" w:sz="12" w:space="0" w:color="000000"/>
            </w:tcBorders>
            <w:vAlign w:val="center"/>
            <w:hideMark/>
          </w:tcPr>
          <w:p w14:paraId="00044F49" w14:textId="77777777" w:rsidR="0041725B" w:rsidRPr="00FD7A51" w:rsidRDefault="0041725B" w:rsidP="0070553D">
            <w:pPr>
              <w:spacing w:after="0" w:line="240" w:lineRule="auto"/>
              <w:rPr>
                <w:rFonts w:ascii="Times New Roman" w:eastAsia="Times New Roman" w:hAnsi="Times New Roman" w:cs="Times New Roman"/>
                <w:color w:val="000000"/>
                <w:sz w:val="22"/>
                <w:szCs w:val="22"/>
              </w:rPr>
            </w:pPr>
          </w:p>
        </w:tc>
        <w:tc>
          <w:tcPr>
            <w:tcW w:w="1445" w:type="dxa"/>
            <w:tcBorders>
              <w:top w:val="dashed" w:sz="4" w:space="0" w:color="auto"/>
              <w:left w:val="single" w:sz="12" w:space="0" w:color="000000"/>
              <w:bottom w:val="single" w:sz="8" w:space="0" w:color="auto"/>
              <w:right w:val="single" w:sz="4" w:space="0" w:color="auto"/>
            </w:tcBorders>
            <w:shd w:val="clear" w:color="auto" w:fill="auto"/>
            <w:noWrap/>
            <w:vAlign w:val="center"/>
            <w:hideMark/>
          </w:tcPr>
          <w:p w14:paraId="193FD456" w14:textId="77777777" w:rsidR="0041725B" w:rsidRPr="00FD7A51" w:rsidRDefault="0041725B" w:rsidP="0070553D">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9.9%</w:t>
            </w:r>
          </w:p>
        </w:tc>
        <w:tc>
          <w:tcPr>
            <w:tcW w:w="1170" w:type="dxa"/>
            <w:tcBorders>
              <w:top w:val="dashed" w:sz="4" w:space="0" w:color="auto"/>
              <w:left w:val="nil"/>
              <w:bottom w:val="single" w:sz="4" w:space="0" w:color="auto"/>
              <w:right w:val="single" w:sz="4" w:space="0" w:color="auto"/>
            </w:tcBorders>
            <w:shd w:val="clear" w:color="auto" w:fill="auto"/>
            <w:noWrap/>
            <w:vAlign w:val="center"/>
            <w:hideMark/>
          </w:tcPr>
          <w:p w14:paraId="40C1AAC1" w14:textId="77777777" w:rsidR="0041725B" w:rsidRPr="00FD7A51" w:rsidRDefault="0041725B" w:rsidP="0070553D">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67.8%</w:t>
            </w:r>
          </w:p>
        </w:tc>
        <w:tc>
          <w:tcPr>
            <w:tcW w:w="1350" w:type="dxa"/>
            <w:tcBorders>
              <w:top w:val="dashed" w:sz="4" w:space="0" w:color="auto"/>
              <w:left w:val="nil"/>
              <w:bottom w:val="single" w:sz="4" w:space="0" w:color="auto"/>
              <w:right w:val="single" w:sz="4" w:space="0" w:color="auto"/>
            </w:tcBorders>
            <w:shd w:val="clear" w:color="auto" w:fill="auto"/>
            <w:noWrap/>
            <w:vAlign w:val="center"/>
            <w:hideMark/>
          </w:tcPr>
          <w:p w14:paraId="60C07AD7" w14:textId="4FDF43E5" w:rsidR="0041725B" w:rsidRPr="00FD7A51" w:rsidRDefault="006A1859" w:rsidP="0070553D">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33.3</w:t>
            </w:r>
            <w:r w:rsidR="0041725B" w:rsidRPr="00FD7A51">
              <w:rPr>
                <w:rFonts w:ascii="Times New Roman" w:eastAsia="Times New Roman" w:hAnsi="Times New Roman" w:cs="Times New Roman"/>
                <w:color w:val="000000"/>
                <w:sz w:val="22"/>
                <w:szCs w:val="22"/>
              </w:rPr>
              <w:t>%</w:t>
            </w:r>
          </w:p>
        </w:tc>
        <w:tc>
          <w:tcPr>
            <w:tcW w:w="1530" w:type="dxa"/>
            <w:tcBorders>
              <w:top w:val="dashed" w:sz="4" w:space="0" w:color="auto"/>
              <w:left w:val="nil"/>
              <w:bottom w:val="single" w:sz="4" w:space="0" w:color="auto"/>
              <w:right w:val="single" w:sz="12" w:space="0" w:color="auto"/>
            </w:tcBorders>
            <w:shd w:val="clear" w:color="auto" w:fill="auto"/>
            <w:noWrap/>
            <w:vAlign w:val="center"/>
            <w:hideMark/>
          </w:tcPr>
          <w:p w14:paraId="533563F2" w14:textId="77777777" w:rsidR="0041725B" w:rsidRPr="00FD7A51" w:rsidRDefault="0041725B" w:rsidP="0070553D">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63.8%</w:t>
            </w:r>
          </w:p>
        </w:tc>
        <w:tc>
          <w:tcPr>
            <w:tcW w:w="1440" w:type="dxa"/>
            <w:tcBorders>
              <w:top w:val="dashed" w:sz="4" w:space="0" w:color="auto"/>
              <w:left w:val="single" w:sz="12" w:space="0" w:color="auto"/>
              <w:bottom w:val="single" w:sz="4" w:space="0" w:color="auto"/>
              <w:right w:val="single" w:sz="4" w:space="0" w:color="auto"/>
            </w:tcBorders>
            <w:shd w:val="clear" w:color="auto" w:fill="auto"/>
            <w:noWrap/>
            <w:vAlign w:val="center"/>
            <w:hideMark/>
          </w:tcPr>
          <w:p w14:paraId="42480C96" w14:textId="77777777" w:rsidR="0041725B" w:rsidRPr="00FD7A51" w:rsidRDefault="0041725B" w:rsidP="0070553D">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0.6%</w:t>
            </w:r>
          </w:p>
        </w:tc>
        <w:tc>
          <w:tcPr>
            <w:tcW w:w="1440" w:type="dxa"/>
            <w:tcBorders>
              <w:top w:val="dashed" w:sz="4" w:space="0" w:color="auto"/>
              <w:left w:val="nil"/>
              <w:bottom w:val="single" w:sz="4" w:space="0" w:color="auto"/>
              <w:right w:val="single" w:sz="4" w:space="0" w:color="auto"/>
            </w:tcBorders>
            <w:shd w:val="clear" w:color="auto" w:fill="auto"/>
            <w:noWrap/>
            <w:vAlign w:val="center"/>
            <w:hideMark/>
          </w:tcPr>
          <w:p w14:paraId="6117AFE1" w14:textId="0E9E143C" w:rsidR="0041725B" w:rsidRPr="00FD7A51" w:rsidRDefault="00B70598" w:rsidP="0070553D">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50.3%</w:t>
            </w:r>
            <w:r w:rsidR="0041725B" w:rsidRPr="00FD7A51">
              <w:rPr>
                <w:rFonts w:ascii="Times New Roman" w:eastAsia="Times New Roman" w:hAnsi="Times New Roman" w:cs="Times New Roman"/>
                <w:color w:val="000000"/>
                <w:sz w:val="22"/>
                <w:szCs w:val="22"/>
              </w:rPr>
              <w:t> </w:t>
            </w:r>
          </w:p>
        </w:tc>
        <w:tc>
          <w:tcPr>
            <w:tcW w:w="1440" w:type="dxa"/>
            <w:tcBorders>
              <w:top w:val="dashed" w:sz="4" w:space="0" w:color="auto"/>
              <w:left w:val="nil"/>
              <w:bottom w:val="single" w:sz="4" w:space="0" w:color="auto"/>
              <w:right w:val="single" w:sz="4" w:space="0" w:color="auto"/>
            </w:tcBorders>
            <w:shd w:val="clear" w:color="auto" w:fill="auto"/>
            <w:noWrap/>
            <w:vAlign w:val="center"/>
            <w:hideMark/>
          </w:tcPr>
          <w:p w14:paraId="64C33F53" w14:textId="51F87D75" w:rsidR="0041725B" w:rsidRPr="00FD7A51" w:rsidRDefault="006A1859" w:rsidP="0070553D">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17.3</w:t>
            </w:r>
            <w:r w:rsidR="0041725B" w:rsidRPr="00FD7A51">
              <w:rPr>
                <w:rFonts w:ascii="Times New Roman" w:eastAsia="Times New Roman" w:hAnsi="Times New Roman" w:cs="Times New Roman"/>
                <w:color w:val="000000"/>
                <w:sz w:val="22"/>
                <w:szCs w:val="22"/>
              </w:rPr>
              <w:t>%</w:t>
            </w:r>
          </w:p>
        </w:tc>
        <w:tc>
          <w:tcPr>
            <w:tcW w:w="1530" w:type="dxa"/>
            <w:tcBorders>
              <w:top w:val="dashed" w:sz="4" w:space="0" w:color="auto"/>
              <w:left w:val="nil"/>
              <w:bottom w:val="single" w:sz="4" w:space="0" w:color="auto"/>
              <w:right w:val="double" w:sz="4" w:space="0" w:color="auto"/>
            </w:tcBorders>
            <w:shd w:val="clear" w:color="auto" w:fill="auto"/>
            <w:noWrap/>
            <w:vAlign w:val="center"/>
            <w:hideMark/>
          </w:tcPr>
          <w:p w14:paraId="31614545" w14:textId="112BE708" w:rsidR="0041725B" w:rsidRPr="00FD7A51" w:rsidRDefault="006A1859" w:rsidP="0070553D">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32.6</w:t>
            </w:r>
            <w:r w:rsidR="0041725B" w:rsidRPr="00FD7A51">
              <w:rPr>
                <w:rFonts w:ascii="Times New Roman" w:eastAsia="Times New Roman" w:hAnsi="Times New Roman" w:cs="Times New Roman"/>
                <w:color w:val="000000"/>
                <w:sz w:val="22"/>
                <w:szCs w:val="22"/>
              </w:rPr>
              <w:t>%</w:t>
            </w:r>
          </w:p>
        </w:tc>
      </w:tr>
      <w:tr w:rsidR="0041725B" w:rsidRPr="00FD7A51" w14:paraId="058FCA67" w14:textId="77777777" w:rsidTr="00A43FC2">
        <w:trPr>
          <w:trHeight w:val="300"/>
        </w:trPr>
        <w:tc>
          <w:tcPr>
            <w:tcW w:w="585" w:type="dxa"/>
            <w:tcBorders>
              <w:top w:val="nil"/>
              <w:right w:val="double" w:sz="4" w:space="0" w:color="auto"/>
            </w:tcBorders>
            <w:shd w:val="clear" w:color="auto" w:fill="auto"/>
            <w:noWrap/>
            <w:vAlign w:val="bottom"/>
            <w:hideMark/>
          </w:tcPr>
          <w:p w14:paraId="71F86AE0" w14:textId="27AF0563" w:rsidR="0041725B" w:rsidRPr="00FD7A51" w:rsidRDefault="0041725B" w:rsidP="0070553D">
            <w:pPr>
              <w:spacing w:after="0" w:line="240" w:lineRule="auto"/>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 </w:t>
            </w:r>
          </w:p>
        </w:tc>
        <w:tc>
          <w:tcPr>
            <w:tcW w:w="2010" w:type="dxa"/>
            <w:vMerge w:val="restart"/>
            <w:tcBorders>
              <w:top w:val="nil"/>
              <w:left w:val="double" w:sz="4" w:space="0" w:color="auto"/>
              <w:bottom w:val="single" w:sz="8" w:space="0" w:color="000000"/>
              <w:right w:val="single" w:sz="12" w:space="0" w:color="000000"/>
            </w:tcBorders>
            <w:shd w:val="clear" w:color="000000" w:fill="E2EFDA"/>
            <w:vAlign w:val="center"/>
            <w:hideMark/>
          </w:tcPr>
          <w:p w14:paraId="62290E55" w14:textId="7149FD17" w:rsidR="0041725B" w:rsidRPr="00FD7A51" w:rsidRDefault="0041725B" w:rsidP="006D6617">
            <w:pPr>
              <w:spacing w:after="0" w:line="240" w:lineRule="auto"/>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 xml:space="preserve">Blocks With </w:t>
            </w:r>
            <w:r w:rsidRPr="00FD7A51">
              <w:rPr>
                <w:rFonts w:ascii="Times New Roman" w:eastAsia="Times New Roman" w:hAnsi="Times New Roman" w:cs="Times New Roman"/>
                <w:i/>
                <w:iCs/>
                <w:color w:val="000000"/>
                <w:sz w:val="22"/>
                <w:szCs w:val="22"/>
              </w:rPr>
              <w:t>100%  LTE COVERAGE,</w:t>
            </w:r>
            <w:r w:rsidRPr="00FD7A51">
              <w:rPr>
                <w:rFonts w:ascii="Times New Roman" w:eastAsia="Times New Roman" w:hAnsi="Times New Roman" w:cs="Times New Roman"/>
                <w:color w:val="000000"/>
                <w:sz w:val="22"/>
                <w:szCs w:val="22"/>
              </w:rPr>
              <w:t xml:space="preserve"> </w:t>
            </w:r>
            <w:r w:rsidRPr="00FD7A51">
              <w:rPr>
                <w:rFonts w:ascii="Times New Roman" w:eastAsia="Times New Roman" w:hAnsi="Times New Roman" w:cs="Times New Roman"/>
                <w:i/>
                <w:iCs/>
                <w:color w:val="000000"/>
                <w:sz w:val="22"/>
                <w:szCs w:val="22"/>
              </w:rPr>
              <w:t xml:space="preserve">BUT </w:t>
            </w:r>
            <w:r w:rsidR="00813EF2">
              <w:rPr>
                <w:rFonts w:ascii="Times New Roman" w:eastAsia="Times New Roman" w:hAnsi="Times New Roman" w:cs="Times New Roman"/>
                <w:i/>
                <w:iCs/>
                <w:color w:val="000000"/>
                <w:sz w:val="22"/>
                <w:szCs w:val="22"/>
              </w:rPr>
              <w:t>WITH</w:t>
            </w:r>
            <w:r w:rsidR="00813EF2" w:rsidRPr="003A2898">
              <w:rPr>
                <w:rFonts w:ascii="Times New Roman" w:eastAsia="Times New Roman" w:hAnsi="Times New Roman" w:cs="Times New Roman"/>
                <w:i/>
                <w:iCs/>
                <w:color w:val="000000"/>
                <w:sz w:val="22"/>
                <w:szCs w:val="22"/>
              </w:rPr>
              <w:t xml:space="preserve"> </w:t>
            </w:r>
            <w:r w:rsidR="00813EF2">
              <w:rPr>
                <w:rFonts w:ascii="Times New Roman" w:eastAsia="Times New Roman" w:hAnsi="Times New Roman" w:cs="Times New Roman"/>
                <w:i/>
                <w:iCs/>
                <w:color w:val="000000"/>
                <w:sz w:val="22"/>
                <w:szCs w:val="22"/>
              </w:rPr>
              <w:t xml:space="preserve">AT LEAST </w:t>
            </w:r>
            <w:r w:rsidR="006D6617">
              <w:rPr>
                <w:rFonts w:ascii="Times New Roman" w:eastAsia="Times New Roman" w:hAnsi="Times New Roman" w:cs="Times New Roman"/>
                <w:i/>
                <w:iCs/>
                <w:color w:val="000000"/>
                <w:sz w:val="22"/>
                <w:szCs w:val="22"/>
              </w:rPr>
              <w:t>ONE</w:t>
            </w:r>
            <w:r w:rsidRPr="00FD7A51">
              <w:rPr>
                <w:rFonts w:ascii="Times New Roman" w:eastAsia="Times New Roman" w:hAnsi="Times New Roman" w:cs="Times New Roman"/>
                <w:i/>
                <w:iCs/>
                <w:color w:val="000000"/>
                <w:sz w:val="22"/>
                <w:szCs w:val="22"/>
              </w:rPr>
              <w:t>SUBSIDIZED</w:t>
            </w:r>
            <w:r w:rsidR="00813EF2">
              <w:rPr>
                <w:rFonts w:ascii="Times New Roman" w:eastAsia="Times New Roman" w:hAnsi="Times New Roman" w:cs="Times New Roman"/>
                <w:i/>
                <w:iCs/>
                <w:color w:val="000000"/>
                <w:sz w:val="22"/>
                <w:szCs w:val="22"/>
              </w:rPr>
              <w:t xml:space="preserve"> LTE </w:t>
            </w:r>
            <w:r w:rsidR="006D6617">
              <w:rPr>
                <w:rFonts w:ascii="Times New Roman" w:eastAsia="Times New Roman" w:hAnsi="Times New Roman" w:cs="Times New Roman"/>
                <w:i/>
                <w:iCs/>
                <w:color w:val="000000"/>
                <w:sz w:val="22"/>
                <w:szCs w:val="22"/>
              </w:rPr>
              <w:t>PROVIDER</w:t>
            </w:r>
          </w:p>
        </w:tc>
        <w:tc>
          <w:tcPr>
            <w:tcW w:w="1445" w:type="dxa"/>
            <w:tcBorders>
              <w:top w:val="single" w:sz="8" w:space="0" w:color="auto"/>
              <w:left w:val="single" w:sz="12" w:space="0" w:color="000000"/>
              <w:bottom w:val="single" w:sz="8" w:space="0" w:color="auto"/>
              <w:right w:val="single" w:sz="4" w:space="0" w:color="auto"/>
            </w:tcBorders>
            <w:shd w:val="clear" w:color="auto" w:fill="auto"/>
            <w:noWrap/>
            <w:vAlign w:val="center"/>
            <w:hideMark/>
          </w:tcPr>
          <w:p w14:paraId="13B71B9B" w14:textId="77777777" w:rsidR="0041725B" w:rsidRPr="00FD7A51" w:rsidRDefault="0041725B" w:rsidP="004054D4">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2,004,183</w:t>
            </w:r>
          </w:p>
        </w:tc>
        <w:tc>
          <w:tcPr>
            <w:tcW w:w="1170" w:type="dxa"/>
            <w:tcBorders>
              <w:top w:val="nil"/>
              <w:left w:val="nil"/>
              <w:bottom w:val="single" w:sz="4" w:space="0" w:color="auto"/>
              <w:right w:val="single" w:sz="4" w:space="0" w:color="auto"/>
            </w:tcBorders>
            <w:shd w:val="clear" w:color="auto" w:fill="auto"/>
            <w:noWrap/>
            <w:vAlign w:val="center"/>
            <w:hideMark/>
          </w:tcPr>
          <w:p w14:paraId="72AAB92F" w14:textId="77777777" w:rsidR="0041725B" w:rsidRPr="00FD7A51" w:rsidRDefault="0041725B" w:rsidP="004054D4">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center"/>
            <w:hideMark/>
          </w:tcPr>
          <w:p w14:paraId="1A8F42E7" w14:textId="77777777" w:rsidR="0041725B" w:rsidRPr="00FD7A51" w:rsidRDefault="0041725B" w:rsidP="004054D4">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132,505</w:t>
            </w:r>
          </w:p>
        </w:tc>
        <w:tc>
          <w:tcPr>
            <w:tcW w:w="1530" w:type="dxa"/>
            <w:tcBorders>
              <w:top w:val="nil"/>
              <w:left w:val="nil"/>
              <w:bottom w:val="single" w:sz="4" w:space="0" w:color="auto"/>
              <w:right w:val="single" w:sz="12" w:space="0" w:color="auto"/>
            </w:tcBorders>
            <w:shd w:val="clear" w:color="auto" w:fill="auto"/>
            <w:noWrap/>
            <w:vAlign w:val="center"/>
            <w:hideMark/>
          </w:tcPr>
          <w:p w14:paraId="05065118" w14:textId="77777777" w:rsidR="0041725B" w:rsidRPr="00FD7A51" w:rsidRDefault="0041725B" w:rsidP="004054D4">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132,505</w:t>
            </w:r>
          </w:p>
        </w:tc>
        <w:tc>
          <w:tcPr>
            <w:tcW w:w="1440" w:type="dxa"/>
            <w:tcBorders>
              <w:top w:val="nil"/>
              <w:left w:val="single" w:sz="12" w:space="0" w:color="auto"/>
              <w:bottom w:val="single" w:sz="4" w:space="0" w:color="auto"/>
              <w:right w:val="single" w:sz="4" w:space="0" w:color="auto"/>
            </w:tcBorders>
            <w:shd w:val="clear" w:color="auto" w:fill="auto"/>
            <w:noWrap/>
            <w:vAlign w:val="center"/>
            <w:hideMark/>
          </w:tcPr>
          <w:p w14:paraId="5E61A988" w14:textId="77777777" w:rsidR="0041725B" w:rsidRPr="00FD7A51" w:rsidRDefault="0041725B" w:rsidP="004054D4">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93,180,223</w:t>
            </w:r>
          </w:p>
        </w:tc>
        <w:tc>
          <w:tcPr>
            <w:tcW w:w="1440" w:type="dxa"/>
            <w:tcBorders>
              <w:top w:val="nil"/>
              <w:left w:val="nil"/>
              <w:bottom w:val="single" w:sz="4" w:space="0" w:color="auto"/>
              <w:right w:val="single" w:sz="4" w:space="0" w:color="auto"/>
            </w:tcBorders>
            <w:shd w:val="clear" w:color="auto" w:fill="auto"/>
            <w:noWrap/>
            <w:vAlign w:val="center"/>
            <w:hideMark/>
          </w:tcPr>
          <w:p w14:paraId="63B1BFDD" w14:textId="77777777" w:rsidR="0041725B" w:rsidRPr="00FD7A51" w:rsidRDefault="0041725B" w:rsidP="004054D4">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14:paraId="351A6BFC" w14:textId="77777777" w:rsidR="0041725B" w:rsidRPr="00FD7A51" w:rsidRDefault="0041725B" w:rsidP="004054D4">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1,369,896</w:t>
            </w:r>
          </w:p>
        </w:tc>
        <w:tc>
          <w:tcPr>
            <w:tcW w:w="1530" w:type="dxa"/>
            <w:tcBorders>
              <w:top w:val="nil"/>
              <w:left w:val="nil"/>
              <w:bottom w:val="single" w:sz="4" w:space="0" w:color="auto"/>
              <w:right w:val="double" w:sz="4" w:space="0" w:color="auto"/>
            </w:tcBorders>
            <w:shd w:val="clear" w:color="auto" w:fill="auto"/>
            <w:noWrap/>
            <w:vAlign w:val="center"/>
            <w:hideMark/>
          </w:tcPr>
          <w:p w14:paraId="51AD6F33" w14:textId="77777777" w:rsidR="0041725B" w:rsidRPr="00FD7A51" w:rsidRDefault="0041725B" w:rsidP="004054D4">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1,369,896</w:t>
            </w:r>
          </w:p>
        </w:tc>
      </w:tr>
      <w:tr w:rsidR="0041725B" w:rsidRPr="00FD7A51" w14:paraId="6FBE1063" w14:textId="77777777" w:rsidTr="00A43FC2">
        <w:trPr>
          <w:trHeight w:val="315"/>
        </w:trPr>
        <w:tc>
          <w:tcPr>
            <w:tcW w:w="585" w:type="dxa"/>
            <w:tcBorders>
              <w:top w:val="nil"/>
              <w:right w:val="double" w:sz="4" w:space="0" w:color="auto"/>
            </w:tcBorders>
            <w:shd w:val="clear" w:color="auto" w:fill="auto"/>
            <w:vAlign w:val="center"/>
            <w:hideMark/>
          </w:tcPr>
          <w:p w14:paraId="785480D8" w14:textId="77777777" w:rsidR="0041725B" w:rsidRPr="00FD7A51" w:rsidRDefault="0041725B" w:rsidP="0070553D">
            <w:pPr>
              <w:spacing w:after="0" w:line="240" w:lineRule="auto"/>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 </w:t>
            </w:r>
          </w:p>
        </w:tc>
        <w:tc>
          <w:tcPr>
            <w:tcW w:w="2010" w:type="dxa"/>
            <w:vMerge/>
            <w:tcBorders>
              <w:top w:val="nil"/>
              <w:left w:val="double" w:sz="4" w:space="0" w:color="auto"/>
              <w:bottom w:val="single" w:sz="8" w:space="0" w:color="000000"/>
              <w:right w:val="single" w:sz="12" w:space="0" w:color="000000"/>
            </w:tcBorders>
            <w:vAlign w:val="center"/>
            <w:hideMark/>
          </w:tcPr>
          <w:p w14:paraId="5CDFDDD8" w14:textId="77777777" w:rsidR="0041725B" w:rsidRPr="00FD7A51" w:rsidRDefault="0041725B" w:rsidP="004054D4">
            <w:pPr>
              <w:spacing w:after="0" w:line="240" w:lineRule="auto"/>
              <w:rPr>
                <w:rFonts w:ascii="Times New Roman" w:eastAsia="Times New Roman" w:hAnsi="Times New Roman" w:cs="Times New Roman"/>
                <w:color w:val="000000"/>
                <w:sz w:val="22"/>
                <w:szCs w:val="22"/>
              </w:rPr>
            </w:pPr>
          </w:p>
        </w:tc>
        <w:tc>
          <w:tcPr>
            <w:tcW w:w="1445" w:type="dxa"/>
            <w:tcBorders>
              <w:top w:val="single" w:sz="8" w:space="0" w:color="auto"/>
              <w:left w:val="single" w:sz="12" w:space="0" w:color="000000"/>
              <w:bottom w:val="double" w:sz="4" w:space="0" w:color="auto"/>
              <w:right w:val="single" w:sz="4" w:space="0" w:color="auto"/>
            </w:tcBorders>
            <w:shd w:val="clear" w:color="auto" w:fill="auto"/>
            <w:noWrap/>
            <w:vAlign w:val="center"/>
            <w:hideMark/>
          </w:tcPr>
          <w:p w14:paraId="4A4CD120" w14:textId="77777777" w:rsidR="0041725B" w:rsidRPr="00FD7A51" w:rsidRDefault="0041725B" w:rsidP="004054D4">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33.8%</w:t>
            </w:r>
          </w:p>
        </w:tc>
        <w:tc>
          <w:tcPr>
            <w:tcW w:w="117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7FFF82BA" w14:textId="77777777" w:rsidR="0041725B" w:rsidRPr="00FD7A51" w:rsidRDefault="0041725B" w:rsidP="004054D4">
            <w:pPr>
              <w:spacing w:after="0" w:line="240" w:lineRule="auto"/>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 </w:t>
            </w:r>
          </w:p>
        </w:tc>
        <w:tc>
          <w:tcPr>
            <w:tcW w:w="1350" w:type="dxa"/>
            <w:tcBorders>
              <w:top w:val="single" w:sz="4" w:space="0" w:color="auto"/>
              <w:left w:val="nil"/>
              <w:bottom w:val="double" w:sz="4" w:space="0" w:color="auto"/>
              <w:right w:val="single" w:sz="4" w:space="0" w:color="auto"/>
            </w:tcBorders>
            <w:shd w:val="clear" w:color="auto" w:fill="auto"/>
            <w:noWrap/>
            <w:vAlign w:val="center"/>
            <w:hideMark/>
          </w:tcPr>
          <w:p w14:paraId="08470C11" w14:textId="60A863C4" w:rsidR="0041725B" w:rsidRPr="00FD7A51" w:rsidRDefault="006A1859" w:rsidP="004054D4">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67.7</w:t>
            </w:r>
            <w:r w:rsidR="0041725B" w:rsidRPr="00FD7A51">
              <w:rPr>
                <w:rFonts w:ascii="Times New Roman" w:eastAsia="Times New Roman" w:hAnsi="Times New Roman" w:cs="Times New Roman"/>
                <w:color w:val="000000"/>
                <w:sz w:val="22"/>
                <w:szCs w:val="22"/>
              </w:rPr>
              <w:t>%</w:t>
            </w:r>
          </w:p>
        </w:tc>
        <w:tc>
          <w:tcPr>
            <w:tcW w:w="1530" w:type="dxa"/>
            <w:tcBorders>
              <w:top w:val="nil"/>
              <w:left w:val="single" w:sz="4" w:space="0" w:color="auto"/>
              <w:bottom w:val="double" w:sz="4" w:space="0" w:color="auto"/>
              <w:right w:val="single" w:sz="12" w:space="0" w:color="auto"/>
            </w:tcBorders>
            <w:shd w:val="clear" w:color="auto" w:fill="auto"/>
            <w:noWrap/>
            <w:vAlign w:val="center"/>
            <w:hideMark/>
          </w:tcPr>
          <w:p w14:paraId="28A68A45" w14:textId="77777777" w:rsidR="0041725B" w:rsidRPr="00FD7A51" w:rsidRDefault="0041725B" w:rsidP="004054D4">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15.4%</w:t>
            </w:r>
          </w:p>
        </w:tc>
        <w:tc>
          <w:tcPr>
            <w:tcW w:w="1440" w:type="dxa"/>
            <w:tcBorders>
              <w:top w:val="nil"/>
              <w:left w:val="single" w:sz="12" w:space="0" w:color="auto"/>
              <w:bottom w:val="double" w:sz="4" w:space="0" w:color="auto"/>
              <w:right w:val="single" w:sz="4" w:space="0" w:color="auto"/>
            </w:tcBorders>
            <w:shd w:val="clear" w:color="auto" w:fill="auto"/>
            <w:noWrap/>
            <w:vAlign w:val="center"/>
            <w:hideMark/>
          </w:tcPr>
          <w:p w14:paraId="18134559" w14:textId="77777777" w:rsidR="0041725B" w:rsidRPr="00FD7A51" w:rsidRDefault="0041725B" w:rsidP="004054D4">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30.2%</w:t>
            </w:r>
          </w:p>
        </w:tc>
        <w:tc>
          <w:tcPr>
            <w:tcW w:w="144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3658175D" w14:textId="77777777" w:rsidR="0041725B" w:rsidRPr="00FD7A51" w:rsidRDefault="0041725B" w:rsidP="004054D4">
            <w:pPr>
              <w:spacing w:after="0" w:line="240" w:lineRule="auto"/>
              <w:jc w:val="right"/>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 </w:t>
            </w:r>
          </w:p>
        </w:tc>
        <w:tc>
          <w:tcPr>
            <w:tcW w:w="1440" w:type="dxa"/>
            <w:tcBorders>
              <w:top w:val="single" w:sz="4" w:space="0" w:color="auto"/>
              <w:left w:val="nil"/>
              <w:bottom w:val="double" w:sz="4" w:space="0" w:color="auto"/>
              <w:right w:val="single" w:sz="4" w:space="0" w:color="auto"/>
            </w:tcBorders>
            <w:shd w:val="clear" w:color="auto" w:fill="auto"/>
            <w:noWrap/>
            <w:vAlign w:val="center"/>
            <w:hideMark/>
          </w:tcPr>
          <w:p w14:paraId="6C850ED1" w14:textId="0AA5858F" w:rsidR="0041725B" w:rsidRPr="00FD7A51" w:rsidRDefault="006A1859" w:rsidP="004054D4">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82.7</w:t>
            </w:r>
            <w:r w:rsidR="0041725B" w:rsidRPr="00FD7A51">
              <w:rPr>
                <w:rFonts w:ascii="Times New Roman" w:eastAsia="Times New Roman" w:hAnsi="Times New Roman" w:cs="Times New Roman"/>
                <w:color w:val="000000"/>
                <w:sz w:val="22"/>
                <w:szCs w:val="22"/>
              </w:rPr>
              <w:t>%</w:t>
            </w:r>
          </w:p>
        </w:tc>
        <w:tc>
          <w:tcPr>
            <w:tcW w:w="1530" w:type="dxa"/>
            <w:tcBorders>
              <w:top w:val="nil"/>
              <w:left w:val="single" w:sz="4" w:space="0" w:color="auto"/>
              <w:bottom w:val="double" w:sz="4" w:space="0" w:color="auto"/>
              <w:right w:val="double" w:sz="4" w:space="0" w:color="auto"/>
            </w:tcBorders>
            <w:shd w:val="clear" w:color="auto" w:fill="auto"/>
            <w:noWrap/>
            <w:vAlign w:val="center"/>
            <w:hideMark/>
          </w:tcPr>
          <w:p w14:paraId="4796656E" w14:textId="3F32588C" w:rsidR="0041725B" w:rsidRPr="00FD7A51" w:rsidRDefault="006A1859" w:rsidP="004054D4">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44</w:t>
            </w:r>
            <w:r w:rsidR="0041725B" w:rsidRPr="00FD7A51">
              <w:rPr>
                <w:rFonts w:ascii="Times New Roman" w:eastAsia="Times New Roman" w:hAnsi="Times New Roman" w:cs="Times New Roman"/>
                <w:color w:val="000000"/>
                <w:sz w:val="22"/>
                <w:szCs w:val="22"/>
              </w:rPr>
              <w:t>.3%</w:t>
            </w:r>
          </w:p>
        </w:tc>
      </w:tr>
    </w:tbl>
    <w:p w14:paraId="68AB51E7" w14:textId="2FC0F488" w:rsidR="00A43FC2" w:rsidRDefault="00F125BE" w:rsidP="00737128">
      <w:pPr>
        <w:spacing w:after="0" w:line="240" w:lineRule="auto"/>
        <w:ind w:right="-86"/>
        <w:rPr>
          <w:rFonts w:ascii="Times New Roman" w:hAnsi="Times New Roman" w:cs="Times New Roman"/>
          <w:sz w:val="22"/>
          <w:szCs w:val="22"/>
        </w:rPr>
        <w:sectPr w:rsidR="00A43FC2" w:rsidSect="00A43FC2">
          <w:headerReference w:type="default" r:id="rId18"/>
          <w:pgSz w:w="15840" w:h="12240" w:orient="landscape"/>
          <w:pgMar w:top="1008" w:right="720" w:bottom="1008" w:left="720" w:header="720" w:footer="720" w:gutter="0"/>
          <w:cols w:space="720"/>
          <w:docGrid w:linePitch="360"/>
        </w:sectPr>
      </w:pPr>
      <w:r w:rsidRPr="009D6679">
        <w:rPr>
          <w:rFonts w:ascii="Times New Roman" w:hAnsi="Times New Roman" w:cs="Times New Roman"/>
          <w:sz w:val="22"/>
          <w:szCs w:val="22"/>
        </w:rPr>
        <w:t>Note: Based on Form 477 December 2015 coverage data. 2010 Census data on population and road</w:t>
      </w:r>
      <w:r w:rsidR="00323E8E">
        <w:rPr>
          <w:rFonts w:ascii="Times New Roman" w:hAnsi="Times New Roman" w:cs="Times New Roman"/>
          <w:sz w:val="22"/>
          <w:szCs w:val="22"/>
        </w:rPr>
        <w:t xml:space="preserve"> </w:t>
      </w:r>
      <w:r w:rsidRPr="009D6679">
        <w:rPr>
          <w:rFonts w:ascii="Times New Roman" w:hAnsi="Times New Roman" w:cs="Times New Roman"/>
          <w:sz w:val="22"/>
          <w:szCs w:val="22"/>
        </w:rPr>
        <w:t xml:space="preserve">miles. </w:t>
      </w:r>
      <w:r>
        <w:rPr>
          <w:rFonts w:ascii="Times New Roman" w:hAnsi="Times New Roman" w:cs="Times New Roman"/>
          <w:sz w:val="22"/>
          <w:szCs w:val="22"/>
        </w:rPr>
        <w:t xml:space="preserve">Subsidy data is from USAC’s December 2015 High-cost database and </w:t>
      </w:r>
      <w:r w:rsidR="00B524E8">
        <w:rPr>
          <w:rFonts w:ascii="Times New Roman" w:hAnsi="Times New Roman" w:cs="Times New Roman"/>
          <w:sz w:val="22"/>
          <w:szCs w:val="22"/>
        </w:rPr>
        <w:t>MF-I</w:t>
      </w:r>
      <w:r>
        <w:rPr>
          <w:rFonts w:ascii="Times New Roman" w:hAnsi="Times New Roman" w:cs="Times New Roman"/>
          <w:sz w:val="22"/>
          <w:szCs w:val="22"/>
        </w:rPr>
        <w:t xml:space="preserve"> auction data. </w:t>
      </w:r>
      <w:r w:rsidRPr="009D6679">
        <w:rPr>
          <w:rFonts w:ascii="Times New Roman" w:hAnsi="Times New Roman" w:cs="Times New Roman"/>
          <w:sz w:val="22"/>
          <w:szCs w:val="22"/>
        </w:rPr>
        <w:t xml:space="preserve">Blocks exclude Alaska and </w:t>
      </w:r>
      <w:r w:rsidR="00904BE8">
        <w:rPr>
          <w:rFonts w:ascii="Times New Roman" w:hAnsi="Times New Roman" w:cs="Times New Roman"/>
          <w:sz w:val="22"/>
          <w:szCs w:val="22"/>
        </w:rPr>
        <w:t>water-</w:t>
      </w:r>
      <w:r w:rsidR="00904BE8" w:rsidRPr="00E4790D">
        <w:rPr>
          <w:rFonts w:ascii="Times New Roman" w:hAnsi="Times New Roman" w:cs="Times New Roman"/>
          <w:sz w:val="22"/>
          <w:szCs w:val="22"/>
        </w:rPr>
        <w:t xml:space="preserve">only </w:t>
      </w:r>
      <w:r w:rsidRPr="009D6679">
        <w:rPr>
          <w:rFonts w:ascii="Times New Roman" w:hAnsi="Times New Roman" w:cs="Times New Roman"/>
          <w:sz w:val="22"/>
          <w:szCs w:val="22"/>
        </w:rPr>
        <w:t xml:space="preserve">blocks. </w:t>
      </w:r>
      <w:r w:rsidR="00E83A0D">
        <w:rPr>
          <w:rFonts w:ascii="Times New Roman" w:hAnsi="Times New Roman" w:cs="Times New Roman"/>
          <w:sz w:val="22"/>
          <w:szCs w:val="22"/>
        </w:rPr>
        <w:t xml:space="preserve">Blocks with 100% unsubsidized LTE are those </w:t>
      </w:r>
      <w:r w:rsidR="00816606">
        <w:rPr>
          <w:rFonts w:ascii="Times New Roman" w:hAnsi="Times New Roman" w:cs="Times New Roman"/>
          <w:sz w:val="22"/>
          <w:szCs w:val="22"/>
        </w:rPr>
        <w:t>with 100% LTE coverage where there is at least one provider of unsubsidized LTE in every part of the block</w:t>
      </w:r>
      <w:r w:rsidR="00E83A0D">
        <w:rPr>
          <w:rFonts w:ascii="Times New Roman" w:hAnsi="Times New Roman" w:cs="Times New Roman"/>
          <w:sz w:val="22"/>
          <w:szCs w:val="22"/>
        </w:rPr>
        <w:t xml:space="preserve">. </w:t>
      </w:r>
      <w:r w:rsidRPr="009D6679">
        <w:rPr>
          <w:rFonts w:ascii="Times New Roman" w:hAnsi="Times New Roman" w:cs="Times New Roman"/>
          <w:sz w:val="22"/>
          <w:szCs w:val="22"/>
        </w:rPr>
        <w:t>100% service is actually calculated as 99.9% service to tak</w:t>
      </w:r>
      <w:r>
        <w:rPr>
          <w:rFonts w:ascii="Times New Roman" w:hAnsi="Times New Roman" w:cs="Times New Roman"/>
          <w:sz w:val="22"/>
          <w:szCs w:val="22"/>
        </w:rPr>
        <w:t xml:space="preserve">e coverage bleed into account. </w:t>
      </w:r>
    </w:p>
    <w:p w14:paraId="01039E98" w14:textId="02B97557" w:rsidR="006D6617" w:rsidRDefault="00C26ECA" w:rsidP="00702196">
      <w:pPr>
        <w:pStyle w:val="ListParagraph"/>
        <w:numPr>
          <w:ilvl w:val="0"/>
          <w:numId w:val="16"/>
        </w:numPr>
        <w:spacing w:after="0" w:line="360" w:lineRule="auto"/>
        <w:ind w:right="-86" w:hanging="450"/>
        <w:contextualSpacing w:val="0"/>
        <w:rPr>
          <w:rFonts w:ascii="Times New Roman" w:hAnsi="Times New Roman" w:cs="Times New Roman"/>
          <w:sz w:val="24"/>
          <w:szCs w:val="24"/>
        </w:rPr>
      </w:pPr>
      <w:r>
        <w:rPr>
          <w:rFonts w:ascii="Times New Roman" w:hAnsi="Times New Roman" w:cs="Times New Roman"/>
          <w:sz w:val="24"/>
          <w:szCs w:val="24"/>
        </w:rPr>
        <w:t>The following provides a</w:t>
      </w:r>
      <w:r w:rsidR="008116CC">
        <w:rPr>
          <w:rFonts w:ascii="Times New Roman" w:hAnsi="Times New Roman" w:cs="Times New Roman"/>
          <w:sz w:val="24"/>
          <w:szCs w:val="24"/>
        </w:rPr>
        <w:t xml:space="preserve"> more detailed description of the contents of these two</w:t>
      </w:r>
      <w:r>
        <w:rPr>
          <w:rFonts w:ascii="Times New Roman" w:hAnsi="Times New Roman" w:cs="Times New Roman"/>
          <w:sz w:val="24"/>
          <w:szCs w:val="24"/>
        </w:rPr>
        <w:t xml:space="preserve"> tables. </w:t>
      </w:r>
      <w:r w:rsidR="008116CC">
        <w:rPr>
          <w:rFonts w:ascii="Times New Roman" w:hAnsi="Times New Roman" w:cs="Times New Roman"/>
          <w:sz w:val="24"/>
          <w:szCs w:val="24"/>
        </w:rPr>
        <w:t xml:space="preserve"> </w:t>
      </w:r>
      <w:r w:rsidR="006D6617" w:rsidRPr="00BE4D8B">
        <w:rPr>
          <w:rFonts w:ascii="Times New Roman" w:hAnsi="Times New Roman" w:cs="Times New Roman"/>
          <w:sz w:val="24"/>
          <w:szCs w:val="24"/>
        </w:rPr>
        <w:t>The first row in these tables indicate the US total for each of the columns. The second row in these tables separate out those census blocks that have complete LTE coverage, with no provider of LTE coverage receiving a subsidy</w:t>
      </w:r>
      <w:r w:rsidR="00327AC5" w:rsidRPr="00BE4D8B">
        <w:rPr>
          <w:rFonts w:ascii="Times New Roman" w:hAnsi="Times New Roman" w:cs="Times New Roman"/>
          <w:sz w:val="24"/>
          <w:szCs w:val="24"/>
        </w:rPr>
        <w:t xml:space="preserve">, </w:t>
      </w:r>
      <w:r w:rsidR="00327AC5" w:rsidRPr="00874AF0">
        <w:rPr>
          <w:rFonts w:ascii="Times New Roman" w:hAnsi="Times New Roman" w:cs="Times New Roman"/>
          <w:i/>
          <w:sz w:val="24"/>
          <w:szCs w:val="24"/>
        </w:rPr>
        <w:t>i.e.</w:t>
      </w:r>
      <w:r w:rsidR="002549DD">
        <w:rPr>
          <w:rFonts w:ascii="Times New Roman" w:hAnsi="Times New Roman" w:cs="Times New Roman"/>
          <w:i/>
          <w:sz w:val="24"/>
          <w:szCs w:val="24"/>
        </w:rPr>
        <w:t>,</w:t>
      </w:r>
      <w:r w:rsidR="00327AC5" w:rsidRPr="00BE4D8B">
        <w:rPr>
          <w:rFonts w:ascii="Times New Roman" w:hAnsi="Times New Roman" w:cs="Times New Roman"/>
          <w:sz w:val="24"/>
          <w:szCs w:val="24"/>
        </w:rPr>
        <w:t xml:space="preserve"> blocks that have 100 percent LTE coverage and receive no subsidies either through CETC support of MF-I support</w:t>
      </w:r>
      <w:r w:rsidR="006D6617" w:rsidRPr="00BE4D8B">
        <w:rPr>
          <w:rFonts w:ascii="Times New Roman" w:hAnsi="Times New Roman" w:cs="Times New Roman"/>
          <w:sz w:val="24"/>
          <w:szCs w:val="24"/>
        </w:rPr>
        <w:t xml:space="preserve">.  The third row (and its subcomponents) include those blocks with no LTE coverage as well as those blocks with partial LTE coverage and those with complete LTE coverage but with at least one provider </w:t>
      </w:r>
      <w:r>
        <w:rPr>
          <w:rFonts w:ascii="Times New Roman" w:hAnsi="Times New Roman" w:cs="Times New Roman"/>
          <w:sz w:val="24"/>
          <w:szCs w:val="24"/>
        </w:rPr>
        <w:t xml:space="preserve">of LTE </w:t>
      </w:r>
      <w:r w:rsidR="006D6617" w:rsidRPr="00BE4D8B">
        <w:rPr>
          <w:rFonts w:ascii="Times New Roman" w:hAnsi="Times New Roman" w:cs="Times New Roman"/>
          <w:sz w:val="24"/>
          <w:szCs w:val="24"/>
        </w:rPr>
        <w:t xml:space="preserve">receiving </w:t>
      </w:r>
      <w:r>
        <w:rPr>
          <w:rFonts w:ascii="Times New Roman" w:hAnsi="Times New Roman" w:cs="Times New Roman"/>
          <w:sz w:val="24"/>
          <w:szCs w:val="24"/>
        </w:rPr>
        <w:t>support</w:t>
      </w:r>
      <w:r w:rsidR="006D6617" w:rsidRPr="00BE4D8B">
        <w:rPr>
          <w:rFonts w:ascii="Times New Roman" w:hAnsi="Times New Roman" w:cs="Times New Roman"/>
          <w:sz w:val="24"/>
          <w:szCs w:val="24"/>
        </w:rPr>
        <w:t xml:space="preserve">.  In our analysis of area in Table </w:t>
      </w:r>
      <w:r w:rsidR="00F42C5F">
        <w:rPr>
          <w:rFonts w:ascii="Times New Roman" w:hAnsi="Times New Roman" w:cs="Times New Roman"/>
          <w:sz w:val="24"/>
          <w:szCs w:val="24"/>
        </w:rPr>
        <w:t>3</w:t>
      </w:r>
      <w:r w:rsidR="00156B8B">
        <w:rPr>
          <w:rFonts w:ascii="Times New Roman" w:hAnsi="Times New Roman" w:cs="Times New Roman"/>
          <w:sz w:val="24"/>
          <w:szCs w:val="24"/>
        </w:rPr>
        <w:t>-i</w:t>
      </w:r>
      <w:r w:rsidR="006D6617" w:rsidRPr="00BE4D8B">
        <w:rPr>
          <w:rFonts w:ascii="Times New Roman" w:hAnsi="Times New Roman" w:cs="Times New Roman"/>
          <w:sz w:val="24"/>
          <w:szCs w:val="24"/>
        </w:rPr>
        <w:t xml:space="preserve">, the column totaling the areas where LTE coverage is provided on an unsubsidized basis represents LTE coverage </w:t>
      </w:r>
      <w:r>
        <w:rPr>
          <w:rFonts w:ascii="Times New Roman" w:hAnsi="Times New Roman" w:cs="Times New Roman"/>
          <w:sz w:val="24"/>
          <w:szCs w:val="24"/>
        </w:rPr>
        <w:t xml:space="preserve">that </w:t>
      </w:r>
      <w:r w:rsidR="006D6617" w:rsidRPr="00BE4D8B">
        <w:rPr>
          <w:rFonts w:ascii="Times New Roman" w:hAnsi="Times New Roman" w:cs="Times New Roman"/>
          <w:sz w:val="24"/>
          <w:szCs w:val="24"/>
        </w:rPr>
        <w:t xml:space="preserve">presumptively </w:t>
      </w:r>
      <w:r>
        <w:rPr>
          <w:rFonts w:ascii="Times New Roman" w:hAnsi="Times New Roman" w:cs="Times New Roman"/>
          <w:sz w:val="24"/>
          <w:szCs w:val="24"/>
        </w:rPr>
        <w:t>ha</w:t>
      </w:r>
      <w:r w:rsidR="00D87F40">
        <w:rPr>
          <w:rFonts w:ascii="Times New Roman" w:hAnsi="Times New Roman" w:cs="Times New Roman"/>
          <w:sz w:val="24"/>
          <w:szCs w:val="24"/>
        </w:rPr>
        <w:t>s</w:t>
      </w:r>
      <w:r w:rsidRPr="00BE4D8B">
        <w:rPr>
          <w:rFonts w:ascii="Times New Roman" w:hAnsi="Times New Roman" w:cs="Times New Roman"/>
          <w:sz w:val="24"/>
          <w:szCs w:val="24"/>
        </w:rPr>
        <w:t xml:space="preserve"> </w:t>
      </w:r>
      <w:r w:rsidR="006D6617" w:rsidRPr="00BE4D8B">
        <w:rPr>
          <w:rFonts w:ascii="Times New Roman" w:hAnsi="Times New Roman" w:cs="Times New Roman"/>
          <w:sz w:val="24"/>
          <w:szCs w:val="24"/>
        </w:rPr>
        <w:t xml:space="preserve">no need for ongoing MF-II support.  The column totaling the areas with no LTE coverage, when combined with the column totaling the areas where the only LTE coverage is </w:t>
      </w:r>
      <w:r>
        <w:rPr>
          <w:rFonts w:ascii="Times New Roman" w:hAnsi="Times New Roman" w:cs="Times New Roman"/>
          <w:sz w:val="24"/>
          <w:szCs w:val="24"/>
        </w:rPr>
        <w:t xml:space="preserve">by a provider(s) receiving support, </w:t>
      </w:r>
      <w:r w:rsidR="006D6617" w:rsidRPr="00BE4D8B">
        <w:rPr>
          <w:rFonts w:ascii="Times New Roman" w:hAnsi="Times New Roman" w:cs="Times New Roman"/>
          <w:sz w:val="24"/>
          <w:szCs w:val="24"/>
        </w:rPr>
        <w:t xml:space="preserve">yield the final column identifying those areas where the provision of ongoing subsidy may be needed – either to expand LTE coverage where it is not available today or potentially to continue provision of LTE coverage provided today only on a subsidized basis.  Table </w:t>
      </w:r>
      <w:r w:rsidR="00390162">
        <w:rPr>
          <w:rFonts w:ascii="Times New Roman" w:hAnsi="Times New Roman" w:cs="Times New Roman"/>
          <w:sz w:val="24"/>
          <w:szCs w:val="24"/>
        </w:rPr>
        <w:t>3</w:t>
      </w:r>
      <w:r w:rsidR="00156B8B">
        <w:rPr>
          <w:rFonts w:ascii="Times New Roman" w:hAnsi="Times New Roman" w:cs="Times New Roman"/>
          <w:sz w:val="24"/>
          <w:szCs w:val="24"/>
        </w:rPr>
        <w:t>-i</w:t>
      </w:r>
      <w:r w:rsidR="006D6617" w:rsidRPr="00BE4D8B">
        <w:rPr>
          <w:rFonts w:ascii="Times New Roman" w:hAnsi="Times New Roman" w:cs="Times New Roman"/>
          <w:sz w:val="24"/>
          <w:szCs w:val="24"/>
        </w:rPr>
        <w:t xml:space="preserve"> provides the same analysis for road miles and pops.  </w:t>
      </w:r>
    </w:p>
    <w:p w14:paraId="630B9DFB" w14:textId="597650D1" w:rsidR="0070553D" w:rsidRPr="003E2224" w:rsidRDefault="0070553D" w:rsidP="00F019CC">
      <w:pPr>
        <w:pStyle w:val="Subtitle"/>
        <w:keepNext/>
        <w:rPr>
          <w:rFonts w:ascii="Times New Roman" w:hAnsi="Times New Roman" w:cs="Times New Roman"/>
          <w:i/>
        </w:rPr>
      </w:pPr>
      <w:r w:rsidRPr="003E2224">
        <w:rPr>
          <w:rFonts w:ascii="Times New Roman" w:hAnsi="Times New Roman" w:cs="Times New Roman"/>
          <w:i/>
        </w:rPr>
        <w:t xml:space="preserve">ii. Tribal Analysis </w:t>
      </w:r>
      <w:r w:rsidR="00D228EC">
        <w:rPr>
          <w:rFonts w:ascii="Times New Roman" w:hAnsi="Times New Roman" w:cs="Times New Roman"/>
          <w:i/>
        </w:rPr>
        <w:t>(</w:t>
      </w:r>
      <w:r w:rsidR="00A5745F">
        <w:rPr>
          <w:rFonts w:ascii="Times New Roman" w:hAnsi="Times New Roman" w:cs="Times New Roman"/>
          <w:i/>
        </w:rPr>
        <w:t>Excluding</w:t>
      </w:r>
      <w:r w:rsidRPr="003E2224">
        <w:rPr>
          <w:rFonts w:ascii="Times New Roman" w:hAnsi="Times New Roman" w:cs="Times New Roman"/>
          <w:i/>
        </w:rPr>
        <w:t xml:space="preserve"> Alaska)</w:t>
      </w:r>
    </w:p>
    <w:p w14:paraId="61BEE2B1" w14:textId="054165C7" w:rsidR="009A28C9" w:rsidRPr="008D3FD0" w:rsidRDefault="00C9383F" w:rsidP="00702196">
      <w:pPr>
        <w:pStyle w:val="ListParagraph"/>
        <w:numPr>
          <w:ilvl w:val="0"/>
          <w:numId w:val="16"/>
        </w:numPr>
        <w:spacing w:line="360" w:lineRule="auto"/>
        <w:ind w:hanging="450"/>
        <w:contextualSpacing w:val="0"/>
        <w:rPr>
          <w:rFonts w:ascii="Times New Roman" w:hAnsi="Times New Roman" w:cs="Times New Roman"/>
          <w:b/>
          <w:sz w:val="24"/>
          <w:szCs w:val="24"/>
        </w:rPr>
      </w:pPr>
      <w:r>
        <w:rPr>
          <w:rFonts w:ascii="Times New Roman" w:hAnsi="Times New Roman" w:cs="Times New Roman"/>
          <w:sz w:val="24"/>
          <w:szCs w:val="24"/>
        </w:rPr>
        <w:t>Table</w:t>
      </w:r>
      <w:r w:rsidR="00AF27B4">
        <w:rPr>
          <w:rFonts w:ascii="Times New Roman" w:hAnsi="Times New Roman" w:cs="Times New Roman"/>
          <w:sz w:val="24"/>
          <w:szCs w:val="24"/>
        </w:rPr>
        <w:t>s</w:t>
      </w:r>
      <w:r w:rsidR="00FA1C5D">
        <w:rPr>
          <w:rFonts w:ascii="Times New Roman" w:hAnsi="Times New Roman" w:cs="Times New Roman"/>
          <w:sz w:val="24"/>
          <w:szCs w:val="24"/>
        </w:rPr>
        <w:t xml:space="preserve"> 4</w:t>
      </w:r>
      <w:r w:rsidR="00156B8B">
        <w:rPr>
          <w:rFonts w:ascii="Times New Roman" w:hAnsi="Times New Roman" w:cs="Times New Roman"/>
          <w:sz w:val="24"/>
          <w:szCs w:val="24"/>
        </w:rPr>
        <w:t>-i</w:t>
      </w:r>
      <w:r>
        <w:rPr>
          <w:rFonts w:ascii="Times New Roman" w:hAnsi="Times New Roman" w:cs="Times New Roman"/>
          <w:sz w:val="24"/>
          <w:szCs w:val="24"/>
        </w:rPr>
        <w:t xml:space="preserve"> and </w:t>
      </w:r>
      <w:r w:rsidR="00FA1C5D">
        <w:rPr>
          <w:rFonts w:ascii="Times New Roman" w:hAnsi="Times New Roman" w:cs="Times New Roman"/>
          <w:sz w:val="24"/>
          <w:szCs w:val="24"/>
        </w:rPr>
        <w:t>4</w:t>
      </w:r>
      <w:r w:rsidR="00156B8B">
        <w:rPr>
          <w:rFonts w:ascii="Times New Roman" w:hAnsi="Times New Roman" w:cs="Times New Roman"/>
          <w:sz w:val="24"/>
          <w:szCs w:val="24"/>
        </w:rPr>
        <w:t>-ii</w:t>
      </w:r>
      <w:r w:rsidR="0070553D">
        <w:rPr>
          <w:rFonts w:ascii="Times New Roman" w:hAnsi="Times New Roman" w:cs="Times New Roman"/>
          <w:sz w:val="24"/>
          <w:szCs w:val="24"/>
        </w:rPr>
        <w:t xml:space="preserve"> </w:t>
      </w:r>
      <w:r>
        <w:rPr>
          <w:rFonts w:ascii="Times New Roman" w:hAnsi="Times New Roman" w:cs="Times New Roman"/>
          <w:sz w:val="24"/>
          <w:szCs w:val="24"/>
        </w:rPr>
        <w:t>mirror Table</w:t>
      </w:r>
      <w:r w:rsidR="00D87F40">
        <w:rPr>
          <w:rFonts w:ascii="Times New Roman" w:hAnsi="Times New Roman" w:cs="Times New Roman"/>
          <w:sz w:val="24"/>
          <w:szCs w:val="24"/>
        </w:rPr>
        <w:t>s</w:t>
      </w:r>
      <w:r>
        <w:rPr>
          <w:rFonts w:ascii="Times New Roman" w:hAnsi="Times New Roman" w:cs="Times New Roman"/>
          <w:sz w:val="24"/>
          <w:szCs w:val="24"/>
        </w:rPr>
        <w:t xml:space="preserve"> </w:t>
      </w:r>
      <w:r w:rsidR="00FA1C5D">
        <w:rPr>
          <w:rFonts w:ascii="Times New Roman" w:hAnsi="Times New Roman" w:cs="Times New Roman"/>
          <w:sz w:val="24"/>
          <w:szCs w:val="24"/>
        </w:rPr>
        <w:t>3</w:t>
      </w:r>
      <w:r w:rsidR="00156B8B">
        <w:rPr>
          <w:rFonts w:ascii="Times New Roman" w:hAnsi="Times New Roman" w:cs="Times New Roman"/>
          <w:sz w:val="24"/>
          <w:szCs w:val="24"/>
        </w:rPr>
        <w:t>-i</w:t>
      </w:r>
      <w:r>
        <w:rPr>
          <w:rFonts w:ascii="Times New Roman" w:hAnsi="Times New Roman" w:cs="Times New Roman"/>
          <w:sz w:val="24"/>
          <w:szCs w:val="24"/>
        </w:rPr>
        <w:t xml:space="preserve"> and </w:t>
      </w:r>
      <w:r w:rsidR="00FA1C5D">
        <w:rPr>
          <w:rFonts w:ascii="Times New Roman" w:hAnsi="Times New Roman" w:cs="Times New Roman"/>
          <w:sz w:val="24"/>
          <w:szCs w:val="24"/>
        </w:rPr>
        <w:t>3</w:t>
      </w:r>
      <w:r w:rsidR="00156B8B">
        <w:rPr>
          <w:rFonts w:ascii="Times New Roman" w:hAnsi="Times New Roman" w:cs="Times New Roman"/>
          <w:sz w:val="24"/>
          <w:szCs w:val="24"/>
        </w:rPr>
        <w:t>-ii</w:t>
      </w:r>
      <w:r>
        <w:rPr>
          <w:rFonts w:ascii="Times New Roman" w:hAnsi="Times New Roman" w:cs="Times New Roman"/>
          <w:sz w:val="24"/>
          <w:szCs w:val="24"/>
        </w:rPr>
        <w:t xml:space="preserve"> and </w:t>
      </w:r>
      <w:r w:rsidR="0070553D">
        <w:rPr>
          <w:rFonts w:ascii="Times New Roman" w:hAnsi="Times New Roman" w:cs="Times New Roman"/>
          <w:sz w:val="24"/>
          <w:szCs w:val="24"/>
        </w:rPr>
        <w:t xml:space="preserve">show data resulting from staff analysis of the LTE coverage information overlaid with </w:t>
      </w:r>
      <w:r w:rsidR="00B736B0">
        <w:rPr>
          <w:rFonts w:ascii="Times New Roman" w:hAnsi="Times New Roman" w:cs="Times New Roman"/>
          <w:sz w:val="24"/>
          <w:szCs w:val="24"/>
        </w:rPr>
        <w:t xml:space="preserve">areas of eligibility for </w:t>
      </w:r>
      <w:r w:rsidR="0070553D">
        <w:rPr>
          <w:rFonts w:ascii="Times New Roman" w:hAnsi="Times New Roman" w:cs="Times New Roman"/>
          <w:sz w:val="24"/>
          <w:szCs w:val="24"/>
        </w:rPr>
        <w:t>current high</w:t>
      </w:r>
      <w:r w:rsidR="007F13A4">
        <w:rPr>
          <w:rFonts w:ascii="Times New Roman" w:hAnsi="Times New Roman" w:cs="Times New Roman"/>
          <w:sz w:val="24"/>
          <w:szCs w:val="24"/>
        </w:rPr>
        <w:t>-</w:t>
      </w:r>
      <w:r w:rsidR="0070553D">
        <w:rPr>
          <w:rFonts w:ascii="Times New Roman" w:hAnsi="Times New Roman" w:cs="Times New Roman"/>
          <w:sz w:val="24"/>
          <w:szCs w:val="24"/>
        </w:rPr>
        <w:t xml:space="preserve">cost </w:t>
      </w:r>
      <w:r w:rsidR="00B736B0">
        <w:rPr>
          <w:rFonts w:ascii="Times New Roman" w:hAnsi="Times New Roman" w:cs="Times New Roman"/>
          <w:sz w:val="24"/>
          <w:szCs w:val="24"/>
        </w:rPr>
        <w:t xml:space="preserve">support </w:t>
      </w:r>
      <w:r>
        <w:rPr>
          <w:rFonts w:ascii="Times New Roman" w:hAnsi="Times New Roman" w:cs="Times New Roman"/>
          <w:sz w:val="24"/>
          <w:szCs w:val="24"/>
        </w:rPr>
        <w:t>for Tribal census blocks</w:t>
      </w:r>
      <w:r w:rsidR="0070553D">
        <w:rPr>
          <w:rFonts w:ascii="Times New Roman" w:hAnsi="Times New Roman" w:cs="Times New Roman"/>
          <w:sz w:val="24"/>
          <w:szCs w:val="24"/>
        </w:rPr>
        <w:t xml:space="preserve">.  </w:t>
      </w:r>
      <w:r w:rsidR="009A28C9" w:rsidRPr="00CF22A0">
        <w:rPr>
          <w:rFonts w:ascii="Times New Roman" w:hAnsi="Times New Roman" w:cs="Times New Roman"/>
          <w:sz w:val="24"/>
          <w:szCs w:val="24"/>
        </w:rPr>
        <w:t xml:space="preserve">As set out in these Tables, the analysis indicates that </w:t>
      </w:r>
      <w:r w:rsidR="009A28C9">
        <w:rPr>
          <w:rFonts w:ascii="Times New Roman" w:hAnsi="Times New Roman" w:cs="Times New Roman"/>
          <w:sz w:val="24"/>
          <w:szCs w:val="24"/>
        </w:rPr>
        <w:t>overall, areas with no LTE or LTE provided only on a subsidized basis cover</w:t>
      </w:r>
      <w:r w:rsidR="00140142">
        <w:rPr>
          <w:rFonts w:ascii="Times New Roman" w:hAnsi="Times New Roman" w:cs="Times New Roman"/>
          <w:sz w:val="24"/>
          <w:szCs w:val="24"/>
        </w:rPr>
        <w:t>:</w:t>
      </w:r>
    </w:p>
    <w:p w14:paraId="730B96D6" w14:textId="77777777" w:rsidR="009A28C9" w:rsidRPr="008D3FD0" w:rsidRDefault="009A28C9" w:rsidP="009A28C9">
      <w:pPr>
        <w:pStyle w:val="ListParagraph"/>
        <w:numPr>
          <w:ilvl w:val="1"/>
          <w:numId w:val="29"/>
        </w:numPr>
        <w:spacing w:line="360" w:lineRule="auto"/>
        <w:contextualSpacing w:val="0"/>
        <w:rPr>
          <w:rFonts w:ascii="Times New Roman" w:hAnsi="Times New Roman" w:cs="Times New Roman"/>
          <w:b/>
          <w:sz w:val="24"/>
          <w:szCs w:val="24"/>
        </w:rPr>
      </w:pPr>
      <w:r>
        <w:rPr>
          <w:rFonts w:ascii="Times New Roman" w:hAnsi="Times New Roman" w:cs="Times New Roman"/>
          <w:sz w:val="24"/>
          <w:szCs w:val="24"/>
        </w:rPr>
        <w:t>A</w:t>
      </w:r>
      <w:r w:rsidRPr="00CF22A0">
        <w:rPr>
          <w:rFonts w:ascii="Times New Roman" w:hAnsi="Times New Roman" w:cs="Times New Roman"/>
          <w:sz w:val="24"/>
          <w:szCs w:val="24"/>
        </w:rPr>
        <w:t xml:space="preserve">pproximately </w:t>
      </w:r>
      <w:r>
        <w:rPr>
          <w:rFonts w:ascii="Times New Roman" w:hAnsi="Times New Roman" w:cs="Times New Roman"/>
          <w:sz w:val="24"/>
          <w:szCs w:val="24"/>
        </w:rPr>
        <w:t>42,000</w:t>
      </w:r>
      <w:r w:rsidRPr="00CF22A0">
        <w:rPr>
          <w:rFonts w:ascii="Times New Roman" w:hAnsi="Times New Roman" w:cs="Times New Roman"/>
          <w:sz w:val="24"/>
          <w:szCs w:val="24"/>
        </w:rPr>
        <w:t xml:space="preserve"> square miles </w:t>
      </w:r>
      <w:r>
        <w:rPr>
          <w:rFonts w:ascii="Times New Roman" w:hAnsi="Times New Roman" w:cs="Times New Roman"/>
          <w:sz w:val="24"/>
          <w:szCs w:val="24"/>
        </w:rPr>
        <w:t>(26</w:t>
      </w:r>
      <w:r w:rsidRPr="00CF22A0">
        <w:rPr>
          <w:rFonts w:ascii="Times New Roman" w:hAnsi="Times New Roman" w:cs="Times New Roman"/>
          <w:sz w:val="24"/>
          <w:szCs w:val="24"/>
        </w:rPr>
        <w:t>%</w:t>
      </w:r>
      <w:r>
        <w:rPr>
          <w:rFonts w:ascii="Times New Roman" w:hAnsi="Times New Roman" w:cs="Times New Roman"/>
          <w:sz w:val="24"/>
          <w:szCs w:val="24"/>
        </w:rPr>
        <w:t xml:space="preserve"> of total Tribal area</w:t>
      </w:r>
      <w:r w:rsidRPr="00CF22A0">
        <w:rPr>
          <w:rFonts w:ascii="Times New Roman" w:hAnsi="Times New Roman" w:cs="Times New Roman"/>
          <w:sz w:val="24"/>
          <w:szCs w:val="24"/>
        </w:rPr>
        <w:t>)</w:t>
      </w:r>
      <w:r>
        <w:rPr>
          <w:rFonts w:ascii="Times New Roman" w:hAnsi="Times New Roman" w:cs="Times New Roman"/>
          <w:sz w:val="24"/>
          <w:szCs w:val="24"/>
        </w:rPr>
        <w:t>;</w:t>
      </w:r>
      <w:r w:rsidRPr="00CF22A0">
        <w:rPr>
          <w:rFonts w:ascii="Times New Roman" w:hAnsi="Times New Roman" w:cs="Times New Roman"/>
          <w:sz w:val="24"/>
          <w:szCs w:val="24"/>
        </w:rPr>
        <w:t xml:space="preserve"> </w:t>
      </w:r>
    </w:p>
    <w:p w14:paraId="1EA67738" w14:textId="77777777" w:rsidR="009A28C9" w:rsidRPr="008D3FD0" w:rsidRDefault="009A28C9" w:rsidP="009A28C9">
      <w:pPr>
        <w:pStyle w:val="ListParagraph"/>
        <w:numPr>
          <w:ilvl w:val="1"/>
          <w:numId w:val="29"/>
        </w:numPr>
        <w:spacing w:line="360" w:lineRule="auto"/>
        <w:contextualSpacing w:val="0"/>
        <w:rPr>
          <w:rFonts w:ascii="Times New Roman" w:hAnsi="Times New Roman" w:cs="Times New Roman"/>
          <w:b/>
          <w:sz w:val="24"/>
          <w:szCs w:val="24"/>
        </w:rPr>
      </w:pPr>
      <w:r>
        <w:rPr>
          <w:rFonts w:ascii="Times New Roman" w:hAnsi="Times New Roman" w:cs="Times New Roman"/>
          <w:sz w:val="24"/>
          <w:szCs w:val="24"/>
        </w:rPr>
        <w:t>Approximately</w:t>
      </w:r>
      <w:r w:rsidRPr="00CF22A0">
        <w:rPr>
          <w:rFonts w:ascii="Times New Roman" w:hAnsi="Times New Roman" w:cs="Times New Roman"/>
          <w:sz w:val="24"/>
          <w:szCs w:val="24"/>
        </w:rPr>
        <w:t xml:space="preserve"> </w:t>
      </w:r>
      <w:r>
        <w:rPr>
          <w:rFonts w:ascii="Times New Roman" w:hAnsi="Times New Roman" w:cs="Times New Roman"/>
          <w:sz w:val="24"/>
          <w:szCs w:val="24"/>
        </w:rPr>
        <w:t>62,000</w:t>
      </w:r>
      <w:r w:rsidRPr="00CF22A0">
        <w:rPr>
          <w:rFonts w:ascii="Times New Roman" w:hAnsi="Times New Roman" w:cs="Times New Roman"/>
          <w:sz w:val="24"/>
          <w:szCs w:val="24"/>
        </w:rPr>
        <w:t xml:space="preserve"> </w:t>
      </w:r>
      <w:r>
        <w:rPr>
          <w:rFonts w:ascii="Times New Roman" w:hAnsi="Times New Roman" w:cs="Times New Roman"/>
          <w:sz w:val="24"/>
          <w:szCs w:val="24"/>
        </w:rPr>
        <w:t xml:space="preserve">road </w:t>
      </w:r>
      <w:r w:rsidRPr="00CF22A0">
        <w:rPr>
          <w:rFonts w:ascii="Times New Roman" w:hAnsi="Times New Roman" w:cs="Times New Roman"/>
          <w:sz w:val="24"/>
          <w:szCs w:val="24"/>
        </w:rPr>
        <w:t>miles (13%</w:t>
      </w:r>
      <w:r>
        <w:rPr>
          <w:rFonts w:ascii="Times New Roman" w:hAnsi="Times New Roman" w:cs="Times New Roman"/>
          <w:sz w:val="24"/>
          <w:szCs w:val="24"/>
        </w:rPr>
        <w:t xml:space="preserve"> of total Tribal road miles</w:t>
      </w:r>
      <w:r w:rsidRPr="00CF22A0">
        <w:rPr>
          <w:rFonts w:ascii="Times New Roman" w:hAnsi="Times New Roman" w:cs="Times New Roman"/>
          <w:sz w:val="24"/>
          <w:szCs w:val="24"/>
        </w:rPr>
        <w:t>)</w:t>
      </w:r>
      <w:r>
        <w:rPr>
          <w:rFonts w:ascii="Times New Roman" w:hAnsi="Times New Roman" w:cs="Times New Roman"/>
          <w:sz w:val="24"/>
          <w:szCs w:val="24"/>
        </w:rPr>
        <w:t>;</w:t>
      </w:r>
      <w:r w:rsidRPr="00CF22A0">
        <w:rPr>
          <w:rFonts w:ascii="Times New Roman" w:hAnsi="Times New Roman" w:cs="Times New Roman"/>
          <w:sz w:val="24"/>
          <w:szCs w:val="24"/>
        </w:rPr>
        <w:t xml:space="preserve"> and </w:t>
      </w:r>
    </w:p>
    <w:p w14:paraId="73387356" w14:textId="77777777" w:rsidR="009A28C9" w:rsidRPr="003E2224" w:rsidRDefault="009A28C9" w:rsidP="009A28C9">
      <w:pPr>
        <w:pStyle w:val="ListParagraph"/>
        <w:numPr>
          <w:ilvl w:val="1"/>
          <w:numId w:val="29"/>
        </w:numPr>
        <w:spacing w:line="360" w:lineRule="auto"/>
        <w:contextualSpacing w:val="0"/>
        <w:rPr>
          <w:rFonts w:ascii="Times New Roman" w:hAnsi="Times New Roman" w:cs="Times New Roman"/>
          <w:b/>
          <w:sz w:val="24"/>
          <w:szCs w:val="24"/>
        </w:rPr>
      </w:pPr>
      <w:r>
        <w:rPr>
          <w:rFonts w:ascii="Times New Roman" w:hAnsi="Times New Roman" w:cs="Times New Roman"/>
          <w:sz w:val="24"/>
          <w:szCs w:val="24"/>
        </w:rPr>
        <w:t>Approximately</w:t>
      </w:r>
      <w:r w:rsidRPr="00CF22A0">
        <w:rPr>
          <w:rFonts w:ascii="Times New Roman" w:hAnsi="Times New Roman" w:cs="Times New Roman"/>
          <w:sz w:val="24"/>
          <w:szCs w:val="24"/>
        </w:rPr>
        <w:t xml:space="preserve"> </w:t>
      </w:r>
      <w:r>
        <w:rPr>
          <w:rFonts w:ascii="Times New Roman" w:hAnsi="Times New Roman" w:cs="Times New Roman"/>
          <w:sz w:val="24"/>
          <w:szCs w:val="24"/>
        </w:rPr>
        <w:t>174,000 people (5</w:t>
      </w:r>
      <w:r w:rsidRPr="00CF22A0">
        <w:rPr>
          <w:rFonts w:ascii="Times New Roman" w:hAnsi="Times New Roman" w:cs="Times New Roman"/>
          <w:sz w:val="24"/>
          <w:szCs w:val="24"/>
        </w:rPr>
        <w:t>%</w:t>
      </w:r>
      <w:r>
        <w:rPr>
          <w:rFonts w:ascii="Times New Roman" w:hAnsi="Times New Roman" w:cs="Times New Roman"/>
          <w:sz w:val="24"/>
          <w:szCs w:val="24"/>
        </w:rPr>
        <w:t xml:space="preserve"> of total Tribal population</w:t>
      </w:r>
      <w:r w:rsidRPr="00CF22A0">
        <w:rPr>
          <w:rFonts w:ascii="Times New Roman" w:hAnsi="Times New Roman" w:cs="Times New Roman"/>
          <w:sz w:val="24"/>
          <w:szCs w:val="24"/>
        </w:rPr>
        <w:t xml:space="preserve">).  </w:t>
      </w:r>
    </w:p>
    <w:p w14:paraId="0021A197" w14:textId="41DC7D68" w:rsidR="006114DE" w:rsidRPr="006114DE" w:rsidRDefault="00140142" w:rsidP="00702196">
      <w:pPr>
        <w:pStyle w:val="ListParagraph"/>
        <w:numPr>
          <w:ilvl w:val="0"/>
          <w:numId w:val="16"/>
        </w:numPr>
        <w:spacing w:line="360" w:lineRule="auto"/>
        <w:ind w:hanging="450"/>
        <w:rPr>
          <w:rFonts w:ascii="Times New Roman" w:hAnsi="Times New Roman" w:cs="Times New Roman"/>
          <w:sz w:val="24"/>
          <w:szCs w:val="24"/>
        </w:rPr>
      </w:pPr>
      <w:r>
        <w:rPr>
          <w:rFonts w:ascii="Times New Roman" w:hAnsi="Times New Roman" w:cs="Times New Roman"/>
          <w:sz w:val="24"/>
          <w:szCs w:val="24"/>
        </w:rPr>
        <w:t>Again, on a more dis</w:t>
      </w:r>
      <w:r w:rsidR="00241FBF">
        <w:rPr>
          <w:rFonts w:ascii="Times New Roman" w:hAnsi="Times New Roman" w:cs="Times New Roman"/>
          <w:sz w:val="24"/>
          <w:szCs w:val="24"/>
        </w:rPr>
        <w:t>aggregat</w:t>
      </w:r>
      <w:r>
        <w:rPr>
          <w:rFonts w:ascii="Times New Roman" w:hAnsi="Times New Roman" w:cs="Times New Roman"/>
          <w:sz w:val="24"/>
          <w:szCs w:val="24"/>
        </w:rPr>
        <w:t>ed basis,</w:t>
      </w:r>
      <w:r w:rsidR="006114DE" w:rsidRPr="006114DE">
        <w:rPr>
          <w:rFonts w:ascii="Times New Roman" w:hAnsi="Times New Roman" w:cs="Times New Roman"/>
          <w:sz w:val="24"/>
          <w:szCs w:val="24"/>
        </w:rPr>
        <w:t xml:space="preserve"> Table </w:t>
      </w:r>
      <w:r w:rsidR="00FA1C5D">
        <w:rPr>
          <w:rFonts w:ascii="Times New Roman" w:hAnsi="Times New Roman" w:cs="Times New Roman"/>
          <w:sz w:val="24"/>
          <w:szCs w:val="24"/>
        </w:rPr>
        <w:t>4</w:t>
      </w:r>
      <w:r w:rsidR="00156B8B">
        <w:rPr>
          <w:rFonts w:ascii="Times New Roman" w:hAnsi="Times New Roman" w:cs="Times New Roman"/>
          <w:sz w:val="24"/>
          <w:szCs w:val="24"/>
        </w:rPr>
        <w:t>-i</w:t>
      </w:r>
      <w:r w:rsidR="006114DE" w:rsidRPr="006114DE">
        <w:rPr>
          <w:rFonts w:ascii="Times New Roman" w:hAnsi="Times New Roman" w:cs="Times New Roman"/>
          <w:sz w:val="24"/>
          <w:szCs w:val="24"/>
        </w:rPr>
        <w:t xml:space="preserve"> shows that of the 174,000 people in areas with no LTE </w:t>
      </w:r>
      <w:r>
        <w:rPr>
          <w:rFonts w:ascii="Times New Roman" w:hAnsi="Times New Roman" w:cs="Times New Roman"/>
          <w:sz w:val="24"/>
          <w:szCs w:val="24"/>
        </w:rPr>
        <w:t xml:space="preserve">coverage </w:t>
      </w:r>
      <w:r w:rsidR="006114DE" w:rsidRPr="006114DE">
        <w:rPr>
          <w:rFonts w:ascii="Times New Roman" w:hAnsi="Times New Roman" w:cs="Times New Roman"/>
          <w:sz w:val="24"/>
          <w:szCs w:val="24"/>
        </w:rPr>
        <w:t>or only subsidized LTE</w:t>
      </w:r>
      <w:r>
        <w:rPr>
          <w:rFonts w:ascii="Times New Roman" w:hAnsi="Times New Roman" w:cs="Times New Roman"/>
          <w:sz w:val="24"/>
          <w:szCs w:val="24"/>
        </w:rPr>
        <w:t xml:space="preserve"> coverage</w:t>
      </w:r>
      <w:r w:rsidR="006114DE" w:rsidRPr="006114DE">
        <w:rPr>
          <w:rFonts w:ascii="Times New Roman" w:hAnsi="Times New Roman" w:cs="Times New Roman"/>
          <w:sz w:val="24"/>
          <w:szCs w:val="24"/>
        </w:rPr>
        <w:t>, 122,000 have no LTE</w:t>
      </w:r>
      <w:r>
        <w:rPr>
          <w:rFonts w:ascii="Times New Roman" w:hAnsi="Times New Roman" w:cs="Times New Roman"/>
          <w:sz w:val="24"/>
          <w:szCs w:val="24"/>
        </w:rPr>
        <w:t xml:space="preserve"> coverage</w:t>
      </w:r>
      <w:r w:rsidR="006114DE" w:rsidRPr="006114DE">
        <w:rPr>
          <w:rFonts w:ascii="Times New Roman" w:hAnsi="Times New Roman" w:cs="Times New Roman"/>
          <w:sz w:val="24"/>
          <w:szCs w:val="24"/>
        </w:rPr>
        <w:t xml:space="preserve">, while another 52,000 live in areas where LTE </w:t>
      </w:r>
      <w:r>
        <w:rPr>
          <w:rFonts w:ascii="Times New Roman" w:hAnsi="Times New Roman" w:cs="Times New Roman"/>
          <w:sz w:val="24"/>
          <w:szCs w:val="24"/>
        </w:rPr>
        <w:t xml:space="preserve">coverage </w:t>
      </w:r>
      <w:r w:rsidR="006114DE" w:rsidRPr="006114DE">
        <w:rPr>
          <w:rFonts w:ascii="Times New Roman" w:hAnsi="Times New Roman" w:cs="Times New Roman"/>
          <w:sz w:val="24"/>
          <w:szCs w:val="24"/>
        </w:rPr>
        <w:t xml:space="preserve">is provided only on a subsidized basis.  </w:t>
      </w:r>
      <w:r>
        <w:rPr>
          <w:rFonts w:ascii="Times New Roman" w:hAnsi="Times New Roman" w:cs="Times New Roman"/>
          <w:sz w:val="24"/>
          <w:szCs w:val="24"/>
        </w:rPr>
        <w:t xml:space="preserve">And </w:t>
      </w:r>
      <w:r w:rsidR="006114DE" w:rsidRPr="006114DE">
        <w:rPr>
          <w:rFonts w:ascii="Times New Roman" w:hAnsi="Times New Roman" w:cs="Times New Roman"/>
          <w:sz w:val="24"/>
          <w:szCs w:val="24"/>
        </w:rPr>
        <w:t xml:space="preserve">Tables </w:t>
      </w:r>
      <w:r w:rsidR="00FA1C5D">
        <w:rPr>
          <w:rFonts w:ascii="Times New Roman" w:hAnsi="Times New Roman" w:cs="Times New Roman"/>
          <w:sz w:val="24"/>
          <w:szCs w:val="24"/>
        </w:rPr>
        <w:t>4</w:t>
      </w:r>
      <w:r w:rsidR="00156B8B">
        <w:rPr>
          <w:rFonts w:ascii="Times New Roman" w:hAnsi="Times New Roman" w:cs="Times New Roman"/>
          <w:sz w:val="24"/>
          <w:szCs w:val="24"/>
        </w:rPr>
        <w:t>-i</w:t>
      </w:r>
      <w:r w:rsidR="006114DE" w:rsidRPr="006114DE">
        <w:rPr>
          <w:rFonts w:ascii="Times New Roman" w:hAnsi="Times New Roman" w:cs="Times New Roman"/>
          <w:sz w:val="24"/>
          <w:szCs w:val="24"/>
        </w:rPr>
        <w:t xml:space="preserve"> and </w:t>
      </w:r>
      <w:r w:rsidR="00FA1C5D">
        <w:rPr>
          <w:rFonts w:ascii="Times New Roman" w:hAnsi="Times New Roman" w:cs="Times New Roman"/>
          <w:sz w:val="24"/>
          <w:szCs w:val="24"/>
        </w:rPr>
        <w:t>4</w:t>
      </w:r>
      <w:r w:rsidR="00156B8B">
        <w:rPr>
          <w:rFonts w:ascii="Times New Roman" w:hAnsi="Times New Roman" w:cs="Times New Roman"/>
          <w:sz w:val="24"/>
          <w:szCs w:val="24"/>
        </w:rPr>
        <w:t>-ii</w:t>
      </w:r>
      <w:r w:rsidR="006114DE" w:rsidRPr="006114DE">
        <w:rPr>
          <w:rFonts w:ascii="Times New Roman" w:hAnsi="Times New Roman" w:cs="Times New Roman"/>
          <w:sz w:val="24"/>
          <w:szCs w:val="24"/>
        </w:rPr>
        <w:t xml:space="preserve"> show that such coverage is provided only </w:t>
      </w:r>
      <w:r>
        <w:rPr>
          <w:rFonts w:ascii="Times New Roman" w:hAnsi="Times New Roman" w:cs="Times New Roman"/>
          <w:sz w:val="24"/>
          <w:szCs w:val="24"/>
        </w:rPr>
        <w:t>on a</w:t>
      </w:r>
      <w:r w:rsidRPr="006114DE">
        <w:rPr>
          <w:rFonts w:ascii="Times New Roman" w:hAnsi="Times New Roman" w:cs="Times New Roman"/>
          <w:sz w:val="24"/>
          <w:szCs w:val="24"/>
        </w:rPr>
        <w:t xml:space="preserve"> </w:t>
      </w:r>
      <w:r w:rsidR="006114DE" w:rsidRPr="006114DE">
        <w:rPr>
          <w:rFonts w:ascii="Times New Roman" w:hAnsi="Times New Roman" w:cs="Times New Roman"/>
          <w:sz w:val="24"/>
          <w:szCs w:val="24"/>
        </w:rPr>
        <w:t xml:space="preserve">subsidized </w:t>
      </w:r>
      <w:r>
        <w:rPr>
          <w:rFonts w:ascii="Times New Roman" w:hAnsi="Times New Roman" w:cs="Times New Roman"/>
          <w:sz w:val="24"/>
          <w:szCs w:val="24"/>
        </w:rPr>
        <w:t xml:space="preserve">basis </w:t>
      </w:r>
      <w:r w:rsidR="006114DE" w:rsidRPr="006114DE">
        <w:rPr>
          <w:rFonts w:ascii="Times New Roman" w:hAnsi="Times New Roman" w:cs="Times New Roman"/>
          <w:sz w:val="24"/>
          <w:szCs w:val="24"/>
        </w:rPr>
        <w:t xml:space="preserve">in </w:t>
      </w:r>
      <w:r>
        <w:rPr>
          <w:rFonts w:ascii="Times New Roman" w:hAnsi="Times New Roman" w:cs="Times New Roman"/>
          <w:sz w:val="24"/>
          <w:szCs w:val="24"/>
        </w:rPr>
        <w:t>5</w:t>
      </w:r>
      <w:r w:rsidR="006114DE" w:rsidRPr="006114DE">
        <w:rPr>
          <w:rFonts w:ascii="Times New Roman" w:hAnsi="Times New Roman" w:cs="Times New Roman"/>
          <w:sz w:val="24"/>
          <w:szCs w:val="24"/>
        </w:rPr>
        <w:t>,</w:t>
      </w:r>
      <w:r>
        <w:rPr>
          <w:rFonts w:ascii="Times New Roman" w:hAnsi="Times New Roman" w:cs="Times New Roman"/>
          <w:sz w:val="24"/>
          <w:szCs w:val="24"/>
        </w:rPr>
        <w:t>8</w:t>
      </w:r>
      <w:r w:rsidR="006114DE" w:rsidRPr="006114DE">
        <w:rPr>
          <w:rFonts w:ascii="Times New Roman" w:hAnsi="Times New Roman" w:cs="Times New Roman"/>
          <w:sz w:val="24"/>
          <w:szCs w:val="24"/>
        </w:rPr>
        <w:t xml:space="preserve">00 square miles, covering </w:t>
      </w:r>
      <w:r>
        <w:rPr>
          <w:rFonts w:ascii="Times New Roman" w:hAnsi="Times New Roman" w:cs="Times New Roman"/>
          <w:sz w:val="24"/>
          <w:szCs w:val="24"/>
        </w:rPr>
        <w:t>10</w:t>
      </w:r>
      <w:r w:rsidR="006114DE" w:rsidRPr="006114DE">
        <w:rPr>
          <w:rFonts w:ascii="Times New Roman" w:hAnsi="Times New Roman" w:cs="Times New Roman"/>
          <w:sz w:val="24"/>
          <w:szCs w:val="24"/>
        </w:rPr>
        <w:t>,</w:t>
      </w:r>
      <w:r>
        <w:rPr>
          <w:rFonts w:ascii="Times New Roman" w:hAnsi="Times New Roman" w:cs="Times New Roman"/>
          <w:sz w:val="24"/>
          <w:szCs w:val="24"/>
        </w:rPr>
        <w:t>4</w:t>
      </w:r>
      <w:r w:rsidR="006114DE" w:rsidRPr="006114DE">
        <w:rPr>
          <w:rFonts w:ascii="Times New Roman" w:hAnsi="Times New Roman" w:cs="Times New Roman"/>
          <w:sz w:val="24"/>
          <w:szCs w:val="24"/>
        </w:rPr>
        <w:t>00 road miles</w:t>
      </w:r>
      <w:r>
        <w:rPr>
          <w:rFonts w:ascii="Times New Roman" w:hAnsi="Times New Roman" w:cs="Times New Roman"/>
          <w:sz w:val="24"/>
          <w:szCs w:val="24"/>
        </w:rPr>
        <w:t>, with the remainder falling in areas with no LTE coverage</w:t>
      </w:r>
      <w:r w:rsidR="006114DE" w:rsidRPr="006114DE">
        <w:rPr>
          <w:rFonts w:ascii="Times New Roman" w:hAnsi="Times New Roman" w:cs="Times New Roman"/>
          <w:sz w:val="24"/>
          <w:szCs w:val="24"/>
        </w:rPr>
        <w:t>.</w:t>
      </w:r>
    </w:p>
    <w:p w14:paraId="78E42FF8" w14:textId="0696DCFB" w:rsidR="006114DE" w:rsidRDefault="006114DE">
      <w:pPr>
        <w:spacing w:after="200" w:line="276" w:lineRule="auto"/>
        <w:rPr>
          <w:rFonts w:ascii="Times New Roman" w:hAnsi="Times New Roman" w:cs="Times New Roman"/>
          <w:b/>
          <w:sz w:val="24"/>
          <w:szCs w:val="24"/>
          <w:u w:val="single"/>
        </w:rPr>
      </w:pPr>
    </w:p>
    <w:p w14:paraId="75BC4B5D" w14:textId="77777777" w:rsidR="006114DE" w:rsidRDefault="006114DE" w:rsidP="0025717A">
      <w:pPr>
        <w:spacing w:after="0" w:line="240" w:lineRule="auto"/>
        <w:jc w:val="center"/>
        <w:rPr>
          <w:rFonts w:ascii="Times New Roman" w:hAnsi="Times New Roman" w:cs="Times New Roman"/>
          <w:b/>
          <w:sz w:val="24"/>
          <w:szCs w:val="24"/>
          <w:u w:val="single"/>
        </w:rPr>
        <w:sectPr w:rsidR="006114DE" w:rsidSect="006114DE">
          <w:headerReference w:type="default" r:id="rId19"/>
          <w:pgSz w:w="12240" w:h="15840"/>
          <w:pgMar w:top="720" w:right="1008" w:bottom="720" w:left="1008" w:header="720" w:footer="720" w:gutter="0"/>
          <w:cols w:space="720"/>
          <w:docGrid w:linePitch="360"/>
        </w:sectPr>
      </w:pPr>
    </w:p>
    <w:p w14:paraId="7426F408" w14:textId="42C3D506" w:rsidR="0025717A" w:rsidRPr="00C374CC" w:rsidRDefault="0025717A" w:rsidP="00744C36">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Table </w:t>
      </w:r>
      <w:r w:rsidR="00FA1C5D">
        <w:rPr>
          <w:rFonts w:ascii="Times New Roman" w:hAnsi="Times New Roman" w:cs="Times New Roman"/>
          <w:b/>
          <w:sz w:val="24"/>
          <w:szCs w:val="24"/>
          <w:u w:val="single"/>
        </w:rPr>
        <w:t>4</w:t>
      </w:r>
      <w:r w:rsidR="00156B8B">
        <w:rPr>
          <w:rFonts w:ascii="Times New Roman" w:hAnsi="Times New Roman" w:cs="Times New Roman"/>
          <w:b/>
          <w:sz w:val="24"/>
          <w:szCs w:val="24"/>
          <w:u w:val="single"/>
        </w:rPr>
        <w:t>-i</w:t>
      </w:r>
    </w:p>
    <w:p w14:paraId="156CC1FB" w14:textId="703A42F1" w:rsidR="0025717A" w:rsidRDefault="0025717A" w:rsidP="0025717A">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Tribal</w:t>
      </w:r>
      <w:r w:rsidRPr="002A4C8F">
        <w:rPr>
          <w:rFonts w:ascii="Times New Roman" w:hAnsi="Times New Roman" w:cs="Times New Roman"/>
          <w:b/>
          <w:sz w:val="24"/>
          <w:szCs w:val="24"/>
          <w:u w:val="single"/>
        </w:rPr>
        <w:t xml:space="preserve"> Coverage Analysis (</w:t>
      </w:r>
      <w:r w:rsidR="00241FBF">
        <w:rPr>
          <w:rFonts w:ascii="Times New Roman" w:hAnsi="Times New Roman" w:cs="Times New Roman"/>
          <w:b/>
          <w:sz w:val="24"/>
          <w:szCs w:val="24"/>
          <w:u w:val="single"/>
        </w:rPr>
        <w:t>Excluding</w:t>
      </w:r>
      <w:r w:rsidR="00241FBF" w:rsidRPr="002A4C8F">
        <w:rPr>
          <w:rFonts w:ascii="Times New Roman" w:hAnsi="Times New Roman" w:cs="Times New Roman"/>
          <w:b/>
          <w:sz w:val="24"/>
          <w:szCs w:val="24"/>
          <w:u w:val="single"/>
        </w:rPr>
        <w:t xml:space="preserve"> </w:t>
      </w:r>
      <w:r w:rsidRPr="002A4C8F">
        <w:rPr>
          <w:rFonts w:ascii="Times New Roman" w:hAnsi="Times New Roman" w:cs="Times New Roman"/>
          <w:b/>
          <w:sz w:val="24"/>
          <w:szCs w:val="24"/>
          <w:u w:val="single"/>
        </w:rPr>
        <w:t>Alaska)</w:t>
      </w:r>
      <w:r>
        <w:rPr>
          <w:rFonts w:ascii="Times New Roman" w:hAnsi="Times New Roman" w:cs="Times New Roman"/>
          <w:b/>
          <w:sz w:val="24"/>
          <w:szCs w:val="24"/>
          <w:u w:val="single"/>
        </w:rPr>
        <w:t>:  Analysis of LTE Network Coverage and Current Universal Service Support</w:t>
      </w:r>
    </w:p>
    <w:p w14:paraId="136F5891" w14:textId="115B78FC" w:rsidR="0025717A" w:rsidRDefault="0025717A" w:rsidP="00744C36">
      <w:pPr>
        <w:spacing w:after="24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Area Coverage</w:t>
      </w:r>
    </w:p>
    <w:tbl>
      <w:tblPr>
        <w:tblW w:w="14300" w:type="dxa"/>
        <w:tblLayout w:type="fixed"/>
        <w:tblLook w:val="04A0" w:firstRow="1" w:lastRow="0" w:firstColumn="1" w:lastColumn="0" w:noHBand="0" w:noVBand="1"/>
      </w:tblPr>
      <w:tblGrid>
        <w:gridCol w:w="480"/>
        <w:gridCol w:w="2840"/>
        <w:gridCol w:w="1260"/>
        <w:gridCol w:w="810"/>
        <w:gridCol w:w="1170"/>
        <w:gridCol w:w="1170"/>
        <w:gridCol w:w="1350"/>
        <w:gridCol w:w="1422"/>
        <w:gridCol w:w="1188"/>
        <w:gridCol w:w="1260"/>
        <w:gridCol w:w="1350"/>
      </w:tblGrid>
      <w:tr w:rsidR="0025717A" w:rsidRPr="003A2898" w14:paraId="3016FD5D" w14:textId="77777777" w:rsidTr="004054D4">
        <w:trPr>
          <w:trHeight w:val="885"/>
        </w:trPr>
        <w:tc>
          <w:tcPr>
            <w:tcW w:w="480" w:type="dxa"/>
            <w:tcBorders>
              <w:top w:val="double" w:sz="4" w:space="0" w:color="auto"/>
              <w:left w:val="double" w:sz="4" w:space="0" w:color="auto"/>
              <w:bottom w:val="nil"/>
            </w:tcBorders>
            <w:shd w:val="clear" w:color="auto" w:fill="auto"/>
            <w:vAlign w:val="center"/>
            <w:hideMark/>
          </w:tcPr>
          <w:p w14:paraId="31A55FDC" w14:textId="77777777" w:rsidR="0025717A" w:rsidRPr="003A2898" w:rsidRDefault="0025717A" w:rsidP="00176559">
            <w:pPr>
              <w:spacing w:after="0" w:line="240" w:lineRule="auto"/>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 </w:t>
            </w:r>
          </w:p>
        </w:tc>
        <w:tc>
          <w:tcPr>
            <w:tcW w:w="2840" w:type="dxa"/>
            <w:tcBorders>
              <w:top w:val="double" w:sz="4" w:space="0" w:color="auto"/>
              <w:bottom w:val="nil"/>
              <w:right w:val="single" w:sz="12" w:space="0" w:color="auto"/>
            </w:tcBorders>
            <w:shd w:val="clear" w:color="auto" w:fill="auto"/>
            <w:vAlign w:val="center"/>
            <w:hideMark/>
          </w:tcPr>
          <w:p w14:paraId="305B42B4" w14:textId="77777777" w:rsidR="0025717A" w:rsidRPr="003A2898" w:rsidRDefault="0025717A" w:rsidP="00176559">
            <w:pPr>
              <w:spacing w:after="0" w:line="240" w:lineRule="auto"/>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 </w:t>
            </w:r>
          </w:p>
        </w:tc>
        <w:tc>
          <w:tcPr>
            <w:tcW w:w="1260" w:type="dxa"/>
            <w:vMerge w:val="restart"/>
            <w:tcBorders>
              <w:top w:val="double" w:sz="4" w:space="0" w:color="auto"/>
              <w:left w:val="single" w:sz="12" w:space="0" w:color="auto"/>
              <w:bottom w:val="single" w:sz="4" w:space="0" w:color="auto"/>
              <w:right w:val="single" w:sz="4" w:space="0" w:color="auto"/>
            </w:tcBorders>
            <w:shd w:val="clear" w:color="000000" w:fill="E2EFDA"/>
            <w:vAlign w:val="center"/>
            <w:hideMark/>
          </w:tcPr>
          <w:p w14:paraId="381ACDAE" w14:textId="77777777" w:rsidR="0025717A" w:rsidRPr="003A2898" w:rsidRDefault="0025717A" w:rsidP="00176559">
            <w:pPr>
              <w:spacing w:after="0" w:line="240" w:lineRule="auto"/>
              <w:jc w:val="center"/>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Blocks</w:t>
            </w:r>
          </w:p>
        </w:tc>
        <w:tc>
          <w:tcPr>
            <w:tcW w:w="810" w:type="dxa"/>
            <w:vMerge w:val="restart"/>
            <w:tcBorders>
              <w:top w:val="double" w:sz="4" w:space="0" w:color="auto"/>
              <w:left w:val="single" w:sz="4" w:space="0" w:color="auto"/>
              <w:bottom w:val="single" w:sz="4" w:space="0" w:color="auto"/>
              <w:right w:val="single" w:sz="4" w:space="0" w:color="auto"/>
            </w:tcBorders>
            <w:shd w:val="clear" w:color="000000" w:fill="E2EFDA"/>
            <w:vAlign w:val="center"/>
            <w:hideMark/>
          </w:tcPr>
          <w:p w14:paraId="77516154" w14:textId="77777777" w:rsidR="0025717A" w:rsidRPr="003A2898" w:rsidRDefault="0025717A" w:rsidP="00176559">
            <w:pPr>
              <w:spacing w:after="0" w:line="240" w:lineRule="auto"/>
              <w:jc w:val="center"/>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Pop. Den.</w:t>
            </w:r>
          </w:p>
        </w:tc>
        <w:tc>
          <w:tcPr>
            <w:tcW w:w="1170" w:type="dxa"/>
            <w:vMerge w:val="restart"/>
            <w:tcBorders>
              <w:top w:val="double" w:sz="4" w:space="0" w:color="auto"/>
              <w:left w:val="single" w:sz="4" w:space="0" w:color="auto"/>
              <w:bottom w:val="single" w:sz="4" w:space="0" w:color="auto"/>
              <w:right w:val="single" w:sz="4" w:space="0" w:color="auto"/>
            </w:tcBorders>
            <w:shd w:val="clear" w:color="000000" w:fill="E2EFDA"/>
            <w:vAlign w:val="center"/>
            <w:hideMark/>
          </w:tcPr>
          <w:p w14:paraId="080FBA8C" w14:textId="6B512F12" w:rsidR="0025717A" w:rsidRPr="003A2898" w:rsidRDefault="0025717A" w:rsidP="00D42D11">
            <w:pPr>
              <w:spacing w:after="0" w:line="240" w:lineRule="auto"/>
              <w:jc w:val="center"/>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Area</w:t>
            </w:r>
            <w:r w:rsidR="00D42D11">
              <w:rPr>
                <w:rFonts w:ascii="Times New Roman" w:eastAsia="Times New Roman" w:hAnsi="Times New Roman" w:cs="Times New Roman"/>
                <w:color w:val="000000"/>
                <w:sz w:val="22"/>
                <w:szCs w:val="22"/>
              </w:rPr>
              <w:br/>
            </w:r>
            <w:r w:rsidRPr="003A2898">
              <w:rPr>
                <w:rFonts w:ascii="Times New Roman" w:eastAsia="Times New Roman" w:hAnsi="Times New Roman" w:cs="Times New Roman"/>
                <w:color w:val="000000"/>
                <w:sz w:val="22"/>
                <w:szCs w:val="22"/>
              </w:rPr>
              <w:t>(sq mi)</w:t>
            </w:r>
          </w:p>
        </w:tc>
        <w:tc>
          <w:tcPr>
            <w:tcW w:w="1170" w:type="dxa"/>
            <w:vMerge w:val="restart"/>
            <w:tcBorders>
              <w:top w:val="double" w:sz="4" w:space="0" w:color="auto"/>
              <w:left w:val="single" w:sz="4" w:space="0" w:color="auto"/>
              <w:bottom w:val="single" w:sz="4" w:space="0" w:color="auto"/>
              <w:right w:val="single" w:sz="4" w:space="0" w:color="auto"/>
            </w:tcBorders>
            <w:shd w:val="clear" w:color="000000" w:fill="E2EFDA"/>
            <w:vAlign w:val="center"/>
            <w:hideMark/>
          </w:tcPr>
          <w:p w14:paraId="5E74370B" w14:textId="26928ACA" w:rsidR="0025717A" w:rsidRPr="003A2898" w:rsidRDefault="0025717A" w:rsidP="007F13A4">
            <w:pPr>
              <w:spacing w:after="0" w:line="240" w:lineRule="auto"/>
              <w:jc w:val="center"/>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Road</w:t>
            </w:r>
            <w:r w:rsidR="007F13A4">
              <w:rPr>
                <w:rFonts w:ascii="Times New Roman" w:eastAsia="Times New Roman" w:hAnsi="Times New Roman" w:cs="Times New Roman"/>
                <w:color w:val="000000"/>
                <w:sz w:val="22"/>
                <w:szCs w:val="22"/>
              </w:rPr>
              <w:t xml:space="preserve"> M</w:t>
            </w:r>
            <w:r w:rsidRPr="003A2898">
              <w:rPr>
                <w:rFonts w:ascii="Times New Roman" w:eastAsia="Times New Roman" w:hAnsi="Times New Roman" w:cs="Times New Roman"/>
                <w:color w:val="000000"/>
                <w:sz w:val="22"/>
                <w:szCs w:val="22"/>
              </w:rPr>
              <w:t>iles</w:t>
            </w:r>
          </w:p>
        </w:tc>
        <w:tc>
          <w:tcPr>
            <w:tcW w:w="1350" w:type="dxa"/>
            <w:vMerge w:val="restart"/>
            <w:tcBorders>
              <w:top w:val="double" w:sz="4" w:space="0" w:color="auto"/>
              <w:left w:val="single" w:sz="4" w:space="0" w:color="auto"/>
              <w:bottom w:val="single" w:sz="4" w:space="0" w:color="auto"/>
              <w:right w:val="single" w:sz="12" w:space="0" w:color="auto"/>
            </w:tcBorders>
            <w:shd w:val="clear" w:color="000000" w:fill="E2EFDA"/>
            <w:vAlign w:val="center"/>
            <w:hideMark/>
          </w:tcPr>
          <w:p w14:paraId="2B7084F4" w14:textId="77777777" w:rsidR="0025717A" w:rsidRPr="003A2898" w:rsidRDefault="0025717A" w:rsidP="00176559">
            <w:pPr>
              <w:spacing w:after="0" w:line="240" w:lineRule="auto"/>
              <w:jc w:val="center"/>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Population</w:t>
            </w:r>
          </w:p>
        </w:tc>
        <w:tc>
          <w:tcPr>
            <w:tcW w:w="1422" w:type="dxa"/>
            <w:vMerge w:val="restart"/>
            <w:tcBorders>
              <w:top w:val="double" w:sz="4" w:space="0" w:color="auto"/>
              <w:left w:val="single" w:sz="12" w:space="0" w:color="auto"/>
              <w:bottom w:val="single" w:sz="4" w:space="0" w:color="auto"/>
              <w:right w:val="single" w:sz="4" w:space="0" w:color="auto"/>
            </w:tcBorders>
            <w:shd w:val="clear" w:color="000000" w:fill="E2EFDA"/>
            <w:vAlign w:val="center"/>
            <w:hideMark/>
          </w:tcPr>
          <w:p w14:paraId="16A943F5" w14:textId="77777777" w:rsidR="0025717A" w:rsidRPr="003A2898" w:rsidRDefault="0025717A" w:rsidP="00176559">
            <w:pPr>
              <w:spacing w:after="0" w:line="240" w:lineRule="auto"/>
              <w:jc w:val="center"/>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Area with Unsubsi-dized LTE Coverage</w:t>
            </w:r>
          </w:p>
        </w:tc>
        <w:tc>
          <w:tcPr>
            <w:tcW w:w="1188" w:type="dxa"/>
            <w:vMerge w:val="restart"/>
            <w:tcBorders>
              <w:top w:val="double" w:sz="4" w:space="0" w:color="auto"/>
              <w:left w:val="single" w:sz="4" w:space="0" w:color="auto"/>
              <w:bottom w:val="single" w:sz="4" w:space="0" w:color="auto"/>
              <w:right w:val="single" w:sz="4" w:space="0" w:color="auto"/>
            </w:tcBorders>
            <w:shd w:val="clear" w:color="000000" w:fill="E2EFDA"/>
            <w:vAlign w:val="center"/>
            <w:hideMark/>
          </w:tcPr>
          <w:p w14:paraId="76A0D422" w14:textId="77777777" w:rsidR="0025717A" w:rsidRPr="003A2898" w:rsidRDefault="0025717A" w:rsidP="00176559">
            <w:pPr>
              <w:spacing w:after="0" w:line="240" w:lineRule="auto"/>
              <w:jc w:val="center"/>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Area with No LTE Coverage</w:t>
            </w:r>
          </w:p>
        </w:tc>
        <w:tc>
          <w:tcPr>
            <w:tcW w:w="1260" w:type="dxa"/>
            <w:vMerge w:val="restart"/>
            <w:tcBorders>
              <w:top w:val="double" w:sz="4" w:space="0" w:color="auto"/>
              <w:left w:val="single" w:sz="4" w:space="0" w:color="auto"/>
              <w:bottom w:val="single" w:sz="4" w:space="0" w:color="auto"/>
              <w:right w:val="single" w:sz="4" w:space="0" w:color="auto"/>
            </w:tcBorders>
            <w:shd w:val="clear" w:color="000000" w:fill="E2EFDA"/>
            <w:vAlign w:val="center"/>
            <w:hideMark/>
          </w:tcPr>
          <w:p w14:paraId="12F71D28" w14:textId="77777777" w:rsidR="0025717A" w:rsidRPr="003A2898" w:rsidRDefault="0025717A" w:rsidP="00176559">
            <w:pPr>
              <w:spacing w:after="0" w:line="240" w:lineRule="auto"/>
              <w:jc w:val="center"/>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Area with Only Subsidized LTE</w:t>
            </w:r>
          </w:p>
        </w:tc>
        <w:tc>
          <w:tcPr>
            <w:tcW w:w="1350" w:type="dxa"/>
            <w:vMerge w:val="restart"/>
            <w:tcBorders>
              <w:top w:val="double" w:sz="4" w:space="0" w:color="auto"/>
              <w:left w:val="single" w:sz="4" w:space="0" w:color="auto"/>
              <w:bottom w:val="single" w:sz="4" w:space="0" w:color="auto"/>
              <w:right w:val="double" w:sz="4" w:space="0" w:color="auto"/>
            </w:tcBorders>
            <w:shd w:val="clear" w:color="000000" w:fill="E2EFDA"/>
            <w:vAlign w:val="center"/>
            <w:hideMark/>
          </w:tcPr>
          <w:p w14:paraId="2D26444D" w14:textId="77777777" w:rsidR="0025717A" w:rsidRPr="003A2898" w:rsidRDefault="0025717A" w:rsidP="00176559">
            <w:pPr>
              <w:spacing w:after="0" w:line="240" w:lineRule="auto"/>
              <w:jc w:val="center"/>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Totals - Areas with No LTE or Only Subsidized LTE Coverage</w:t>
            </w:r>
          </w:p>
        </w:tc>
      </w:tr>
      <w:tr w:rsidR="0025717A" w:rsidRPr="003A2898" w14:paraId="75C3AF2C" w14:textId="77777777" w:rsidTr="004054D4">
        <w:trPr>
          <w:trHeight w:val="601"/>
        </w:trPr>
        <w:tc>
          <w:tcPr>
            <w:tcW w:w="480" w:type="dxa"/>
            <w:tcBorders>
              <w:top w:val="nil"/>
              <w:left w:val="double" w:sz="4" w:space="0" w:color="auto"/>
              <w:bottom w:val="single" w:sz="12" w:space="0" w:color="auto"/>
            </w:tcBorders>
            <w:shd w:val="clear" w:color="auto" w:fill="auto"/>
            <w:vAlign w:val="center"/>
            <w:hideMark/>
          </w:tcPr>
          <w:p w14:paraId="7D02A5E2" w14:textId="77777777" w:rsidR="0025717A" w:rsidRPr="003A2898" w:rsidRDefault="0025717A" w:rsidP="00176559">
            <w:pPr>
              <w:spacing w:after="0" w:line="240" w:lineRule="auto"/>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 </w:t>
            </w:r>
          </w:p>
        </w:tc>
        <w:tc>
          <w:tcPr>
            <w:tcW w:w="2840" w:type="dxa"/>
            <w:tcBorders>
              <w:top w:val="nil"/>
              <w:bottom w:val="single" w:sz="12" w:space="0" w:color="auto"/>
              <w:right w:val="single" w:sz="12" w:space="0" w:color="auto"/>
            </w:tcBorders>
            <w:shd w:val="clear" w:color="auto" w:fill="auto"/>
            <w:vAlign w:val="center"/>
            <w:hideMark/>
          </w:tcPr>
          <w:p w14:paraId="69A2CBC8" w14:textId="77777777" w:rsidR="0025717A" w:rsidRPr="003A2898" w:rsidRDefault="0025717A" w:rsidP="00176559">
            <w:pPr>
              <w:spacing w:after="0" w:line="240" w:lineRule="auto"/>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 </w:t>
            </w:r>
          </w:p>
        </w:tc>
        <w:tc>
          <w:tcPr>
            <w:tcW w:w="1260" w:type="dxa"/>
            <w:vMerge/>
            <w:tcBorders>
              <w:top w:val="single" w:sz="8" w:space="0" w:color="auto"/>
              <w:left w:val="single" w:sz="12" w:space="0" w:color="auto"/>
              <w:bottom w:val="single" w:sz="12" w:space="0" w:color="auto"/>
              <w:right w:val="single" w:sz="4" w:space="0" w:color="auto"/>
            </w:tcBorders>
            <w:vAlign w:val="center"/>
            <w:hideMark/>
          </w:tcPr>
          <w:p w14:paraId="25709B17" w14:textId="77777777" w:rsidR="0025717A" w:rsidRPr="003A2898" w:rsidRDefault="0025717A" w:rsidP="00176559">
            <w:pPr>
              <w:spacing w:after="0" w:line="240" w:lineRule="auto"/>
              <w:rPr>
                <w:rFonts w:ascii="Times New Roman" w:eastAsia="Times New Roman" w:hAnsi="Times New Roman" w:cs="Times New Roman"/>
                <w:color w:val="000000"/>
                <w:sz w:val="22"/>
                <w:szCs w:val="22"/>
              </w:rPr>
            </w:pPr>
          </w:p>
        </w:tc>
        <w:tc>
          <w:tcPr>
            <w:tcW w:w="810" w:type="dxa"/>
            <w:vMerge/>
            <w:tcBorders>
              <w:top w:val="single" w:sz="8" w:space="0" w:color="auto"/>
              <w:left w:val="single" w:sz="4" w:space="0" w:color="auto"/>
              <w:bottom w:val="single" w:sz="12" w:space="0" w:color="auto"/>
              <w:right w:val="single" w:sz="4" w:space="0" w:color="auto"/>
            </w:tcBorders>
            <w:vAlign w:val="center"/>
            <w:hideMark/>
          </w:tcPr>
          <w:p w14:paraId="6BFA7641" w14:textId="77777777" w:rsidR="0025717A" w:rsidRPr="003A2898" w:rsidRDefault="0025717A" w:rsidP="00176559">
            <w:pPr>
              <w:spacing w:after="0" w:line="240" w:lineRule="auto"/>
              <w:rPr>
                <w:rFonts w:ascii="Times New Roman" w:eastAsia="Times New Roman" w:hAnsi="Times New Roman" w:cs="Times New Roman"/>
                <w:color w:val="000000"/>
                <w:sz w:val="22"/>
                <w:szCs w:val="22"/>
              </w:rPr>
            </w:pPr>
          </w:p>
        </w:tc>
        <w:tc>
          <w:tcPr>
            <w:tcW w:w="1170" w:type="dxa"/>
            <w:vMerge/>
            <w:tcBorders>
              <w:top w:val="single" w:sz="8" w:space="0" w:color="auto"/>
              <w:left w:val="single" w:sz="4" w:space="0" w:color="auto"/>
              <w:bottom w:val="single" w:sz="12" w:space="0" w:color="auto"/>
              <w:right w:val="single" w:sz="4" w:space="0" w:color="auto"/>
            </w:tcBorders>
            <w:vAlign w:val="center"/>
            <w:hideMark/>
          </w:tcPr>
          <w:p w14:paraId="02977E99" w14:textId="77777777" w:rsidR="0025717A" w:rsidRPr="003A2898" w:rsidRDefault="0025717A" w:rsidP="00176559">
            <w:pPr>
              <w:spacing w:after="0" w:line="240" w:lineRule="auto"/>
              <w:rPr>
                <w:rFonts w:ascii="Times New Roman" w:eastAsia="Times New Roman" w:hAnsi="Times New Roman" w:cs="Times New Roman"/>
                <w:color w:val="000000"/>
                <w:sz w:val="22"/>
                <w:szCs w:val="22"/>
              </w:rPr>
            </w:pPr>
          </w:p>
        </w:tc>
        <w:tc>
          <w:tcPr>
            <w:tcW w:w="1170" w:type="dxa"/>
            <w:vMerge/>
            <w:tcBorders>
              <w:top w:val="single" w:sz="8" w:space="0" w:color="auto"/>
              <w:left w:val="single" w:sz="4" w:space="0" w:color="auto"/>
              <w:bottom w:val="single" w:sz="12" w:space="0" w:color="auto"/>
              <w:right w:val="single" w:sz="4" w:space="0" w:color="auto"/>
            </w:tcBorders>
            <w:vAlign w:val="center"/>
            <w:hideMark/>
          </w:tcPr>
          <w:p w14:paraId="08E0651D" w14:textId="77777777" w:rsidR="0025717A" w:rsidRPr="003A2898" w:rsidRDefault="0025717A" w:rsidP="00176559">
            <w:pPr>
              <w:spacing w:after="0" w:line="240" w:lineRule="auto"/>
              <w:rPr>
                <w:rFonts w:ascii="Times New Roman" w:eastAsia="Times New Roman" w:hAnsi="Times New Roman" w:cs="Times New Roman"/>
                <w:color w:val="000000"/>
                <w:sz w:val="22"/>
                <w:szCs w:val="22"/>
              </w:rPr>
            </w:pPr>
          </w:p>
        </w:tc>
        <w:tc>
          <w:tcPr>
            <w:tcW w:w="1350" w:type="dxa"/>
            <w:vMerge/>
            <w:tcBorders>
              <w:top w:val="single" w:sz="8" w:space="0" w:color="auto"/>
              <w:left w:val="single" w:sz="4" w:space="0" w:color="auto"/>
              <w:bottom w:val="single" w:sz="12" w:space="0" w:color="auto"/>
              <w:right w:val="single" w:sz="12" w:space="0" w:color="auto"/>
            </w:tcBorders>
            <w:vAlign w:val="center"/>
            <w:hideMark/>
          </w:tcPr>
          <w:p w14:paraId="2393BF7D" w14:textId="77777777" w:rsidR="0025717A" w:rsidRPr="003A2898" w:rsidRDefault="0025717A" w:rsidP="00176559">
            <w:pPr>
              <w:spacing w:after="0" w:line="240" w:lineRule="auto"/>
              <w:rPr>
                <w:rFonts w:ascii="Times New Roman" w:eastAsia="Times New Roman" w:hAnsi="Times New Roman" w:cs="Times New Roman"/>
                <w:color w:val="000000"/>
                <w:sz w:val="22"/>
                <w:szCs w:val="22"/>
              </w:rPr>
            </w:pPr>
          </w:p>
        </w:tc>
        <w:tc>
          <w:tcPr>
            <w:tcW w:w="1422" w:type="dxa"/>
            <w:vMerge/>
            <w:tcBorders>
              <w:top w:val="single" w:sz="8" w:space="0" w:color="auto"/>
              <w:left w:val="single" w:sz="12" w:space="0" w:color="auto"/>
              <w:bottom w:val="single" w:sz="12" w:space="0" w:color="auto"/>
              <w:right w:val="single" w:sz="4" w:space="0" w:color="auto"/>
            </w:tcBorders>
            <w:vAlign w:val="center"/>
            <w:hideMark/>
          </w:tcPr>
          <w:p w14:paraId="7625E07C" w14:textId="77777777" w:rsidR="0025717A" w:rsidRPr="003A2898" w:rsidRDefault="0025717A" w:rsidP="00176559">
            <w:pPr>
              <w:spacing w:after="0" w:line="240" w:lineRule="auto"/>
              <w:rPr>
                <w:rFonts w:ascii="Times New Roman" w:eastAsia="Times New Roman" w:hAnsi="Times New Roman" w:cs="Times New Roman"/>
                <w:color w:val="000000"/>
                <w:sz w:val="22"/>
                <w:szCs w:val="22"/>
              </w:rPr>
            </w:pPr>
          </w:p>
        </w:tc>
        <w:tc>
          <w:tcPr>
            <w:tcW w:w="1188" w:type="dxa"/>
            <w:vMerge/>
            <w:tcBorders>
              <w:top w:val="single" w:sz="8" w:space="0" w:color="auto"/>
              <w:left w:val="single" w:sz="4" w:space="0" w:color="auto"/>
              <w:bottom w:val="single" w:sz="12" w:space="0" w:color="auto"/>
              <w:right w:val="single" w:sz="4" w:space="0" w:color="auto"/>
            </w:tcBorders>
            <w:vAlign w:val="center"/>
            <w:hideMark/>
          </w:tcPr>
          <w:p w14:paraId="2621EDF2" w14:textId="77777777" w:rsidR="0025717A" w:rsidRPr="003A2898" w:rsidRDefault="0025717A" w:rsidP="00176559">
            <w:pPr>
              <w:spacing w:after="0" w:line="240" w:lineRule="auto"/>
              <w:rPr>
                <w:rFonts w:ascii="Times New Roman" w:eastAsia="Times New Roman" w:hAnsi="Times New Roman" w:cs="Times New Roman"/>
                <w:color w:val="000000"/>
                <w:sz w:val="22"/>
                <w:szCs w:val="22"/>
              </w:rPr>
            </w:pPr>
          </w:p>
        </w:tc>
        <w:tc>
          <w:tcPr>
            <w:tcW w:w="1260" w:type="dxa"/>
            <w:vMerge/>
            <w:tcBorders>
              <w:top w:val="single" w:sz="8" w:space="0" w:color="auto"/>
              <w:left w:val="single" w:sz="4" w:space="0" w:color="auto"/>
              <w:bottom w:val="single" w:sz="12" w:space="0" w:color="auto"/>
              <w:right w:val="single" w:sz="4" w:space="0" w:color="auto"/>
            </w:tcBorders>
            <w:vAlign w:val="center"/>
            <w:hideMark/>
          </w:tcPr>
          <w:p w14:paraId="7EB22691" w14:textId="77777777" w:rsidR="0025717A" w:rsidRPr="003A2898" w:rsidRDefault="0025717A" w:rsidP="00176559">
            <w:pPr>
              <w:spacing w:after="0" w:line="240" w:lineRule="auto"/>
              <w:rPr>
                <w:rFonts w:ascii="Times New Roman" w:eastAsia="Times New Roman" w:hAnsi="Times New Roman" w:cs="Times New Roman"/>
                <w:color w:val="000000"/>
                <w:sz w:val="22"/>
                <w:szCs w:val="22"/>
              </w:rPr>
            </w:pPr>
          </w:p>
        </w:tc>
        <w:tc>
          <w:tcPr>
            <w:tcW w:w="1350" w:type="dxa"/>
            <w:vMerge/>
            <w:tcBorders>
              <w:top w:val="single" w:sz="8" w:space="0" w:color="auto"/>
              <w:left w:val="single" w:sz="4" w:space="0" w:color="auto"/>
              <w:bottom w:val="single" w:sz="12" w:space="0" w:color="auto"/>
              <w:right w:val="double" w:sz="4" w:space="0" w:color="auto"/>
            </w:tcBorders>
            <w:vAlign w:val="center"/>
            <w:hideMark/>
          </w:tcPr>
          <w:p w14:paraId="137E77B9" w14:textId="77777777" w:rsidR="0025717A" w:rsidRPr="003A2898" w:rsidRDefault="0025717A" w:rsidP="00176559">
            <w:pPr>
              <w:spacing w:after="0" w:line="240" w:lineRule="auto"/>
              <w:rPr>
                <w:rFonts w:ascii="Times New Roman" w:eastAsia="Times New Roman" w:hAnsi="Times New Roman" w:cs="Times New Roman"/>
                <w:color w:val="000000"/>
                <w:sz w:val="22"/>
                <w:szCs w:val="22"/>
              </w:rPr>
            </w:pPr>
          </w:p>
        </w:tc>
      </w:tr>
      <w:tr w:rsidR="0041725B" w:rsidRPr="003A2898" w14:paraId="48085F1E" w14:textId="77777777" w:rsidTr="004054D4">
        <w:trPr>
          <w:trHeight w:val="411"/>
        </w:trPr>
        <w:tc>
          <w:tcPr>
            <w:tcW w:w="3320" w:type="dxa"/>
            <w:gridSpan w:val="2"/>
            <w:tcBorders>
              <w:top w:val="single" w:sz="12" w:space="0" w:color="auto"/>
              <w:left w:val="double" w:sz="4" w:space="0" w:color="auto"/>
              <w:bottom w:val="single" w:sz="12" w:space="0" w:color="auto"/>
              <w:right w:val="single" w:sz="12" w:space="0" w:color="auto"/>
            </w:tcBorders>
            <w:shd w:val="clear" w:color="000000" w:fill="C6E0B4"/>
            <w:vAlign w:val="center"/>
            <w:hideMark/>
          </w:tcPr>
          <w:p w14:paraId="6F242950" w14:textId="62BFD069" w:rsidR="0041725B" w:rsidRPr="003A2898" w:rsidRDefault="0041725B" w:rsidP="0041725B">
            <w:pPr>
              <w:spacing w:after="0" w:line="240" w:lineRule="auto"/>
              <w:rPr>
                <w:rFonts w:ascii="Times New Roman" w:eastAsia="Times New Roman" w:hAnsi="Times New Roman" w:cs="Times New Roman"/>
                <w:color w:val="000000"/>
                <w:sz w:val="22"/>
                <w:szCs w:val="22"/>
              </w:rPr>
            </w:pPr>
          </w:p>
        </w:tc>
        <w:tc>
          <w:tcPr>
            <w:tcW w:w="1260"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5951C57E" w14:textId="09BEA41C"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359,605</w:t>
            </w: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center"/>
          </w:tcPr>
          <w:p w14:paraId="31124E1D" w14:textId="71AA8A6E"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22</w:t>
            </w:r>
          </w:p>
        </w:tc>
        <w:tc>
          <w:tcPr>
            <w:tcW w:w="1170" w:type="dxa"/>
            <w:tcBorders>
              <w:top w:val="single" w:sz="12" w:space="0" w:color="auto"/>
              <w:left w:val="nil"/>
              <w:bottom w:val="single" w:sz="12" w:space="0" w:color="auto"/>
              <w:right w:val="single" w:sz="4" w:space="0" w:color="auto"/>
            </w:tcBorders>
            <w:shd w:val="clear" w:color="auto" w:fill="auto"/>
            <w:noWrap/>
            <w:vAlign w:val="center"/>
          </w:tcPr>
          <w:p w14:paraId="264B721F" w14:textId="368D8A02"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163,924</w:t>
            </w:r>
          </w:p>
        </w:tc>
        <w:tc>
          <w:tcPr>
            <w:tcW w:w="1170" w:type="dxa"/>
            <w:tcBorders>
              <w:top w:val="single" w:sz="12" w:space="0" w:color="auto"/>
              <w:left w:val="nil"/>
              <w:bottom w:val="single" w:sz="12" w:space="0" w:color="auto"/>
              <w:right w:val="single" w:sz="4" w:space="0" w:color="auto"/>
            </w:tcBorders>
            <w:shd w:val="clear" w:color="auto" w:fill="auto"/>
            <w:noWrap/>
            <w:vAlign w:val="center"/>
          </w:tcPr>
          <w:p w14:paraId="3765E2F5" w14:textId="6EF445DE"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303,081</w:t>
            </w:r>
          </w:p>
        </w:tc>
        <w:tc>
          <w:tcPr>
            <w:tcW w:w="1350" w:type="dxa"/>
            <w:tcBorders>
              <w:top w:val="single" w:sz="12" w:space="0" w:color="auto"/>
              <w:left w:val="nil"/>
              <w:bottom w:val="single" w:sz="12" w:space="0" w:color="auto"/>
              <w:right w:val="single" w:sz="12" w:space="0" w:color="auto"/>
            </w:tcBorders>
            <w:shd w:val="clear" w:color="auto" w:fill="auto"/>
            <w:noWrap/>
            <w:vAlign w:val="center"/>
          </w:tcPr>
          <w:p w14:paraId="5AC0A6B8" w14:textId="2C293901"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3,582,934</w:t>
            </w:r>
          </w:p>
        </w:tc>
        <w:tc>
          <w:tcPr>
            <w:tcW w:w="1422"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2BC8D941" w14:textId="447CAFCF"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82,276</w:t>
            </w:r>
          </w:p>
        </w:tc>
        <w:tc>
          <w:tcPr>
            <w:tcW w:w="1188" w:type="dxa"/>
            <w:tcBorders>
              <w:top w:val="single" w:sz="12" w:space="0" w:color="auto"/>
              <w:left w:val="nil"/>
              <w:bottom w:val="single" w:sz="12" w:space="0" w:color="auto"/>
              <w:right w:val="single" w:sz="4" w:space="0" w:color="auto"/>
            </w:tcBorders>
            <w:shd w:val="clear" w:color="auto" w:fill="auto"/>
            <w:noWrap/>
            <w:vAlign w:val="center"/>
          </w:tcPr>
          <w:p w14:paraId="5343687B" w14:textId="7E7166DF"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36,088</w:t>
            </w:r>
          </w:p>
        </w:tc>
        <w:tc>
          <w:tcPr>
            <w:tcW w:w="1260" w:type="dxa"/>
            <w:tcBorders>
              <w:top w:val="single" w:sz="12" w:space="0" w:color="auto"/>
              <w:left w:val="nil"/>
              <w:bottom w:val="single" w:sz="12" w:space="0" w:color="auto"/>
              <w:right w:val="single" w:sz="4" w:space="0" w:color="auto"/>
            </w:tcBorders>
            <w:shd w:val="clear" w:color="auto" w:fill="auto"/>
            <w:noWrap/>
            <w:vAlign w:val="center"/>
          </w:tcPr>
          <w:p w14:paraId="5C0C16AA" w14:textId="267892F7"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5,844</w:t>
            </w:r>
          </w:p>
        </w:tc>
        <w:tc>
          <w:tcPr>
            <w:tcW w:w="1350" w:type="dxa"/>
            <w:tcBorders>
              <w:top w:val="single" w:sz="12" w:space="0" w:color="auto"/>
              <w:left w:val="nil"/>
              <w:bottom w:val="single" w:sz="12" w:space="0" w:color="auto"/>
              <w:right w:val="double" w:sz="4" w:space="0" w:color="auto"/>
            </w:tcBorders>
            <w:shd w:val="clear" w:color="000000" w:fill="DDEBF7"/>
            <w:noWrap/>
            <w:vAlign w:val="center"/>
          </w:tcPr>
          <w:p w14:paraId="56CE6BBF" w14:textId="096B9EC0"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41,932</w:t>
            </w:r>
          </w:p>
        </w:tc>
      </w:tr>
      <w:tr w:rsidR="0041725B" w:rsidRPr="003A2898" w14:paraId="55AC7AEC" w14:textId="77777777" w:rsidTr="004054D4">
        <w:trPr>
          <w:trHeight w:val="430"/>
        </w:trPr>
        <w:tc>
          <w:tcPr>
            <w:tcW w:w="3320" w:type="dxa"/>
            <w:gridSpan w:val="2"/>
            <w:vMerge w:val="restart"/>
            <w:tcBorders>
              <w:top w:val="single" w:sz="12" w:space="0" w:color="auto"/>
              <w:left w:val="double" w:sz="4" w:space="0" w:color="auto"/>
              <w:bottom w:val="single" w:sz="8" w:space="0" w:color="000000"/>
              <w:right w:val="single" w:sz="12" w:space="0" w:color="auto"/>
            </w:tcBorders>
            <w:shd w:val="clear" w:color="000000" w:fill="E2EFDA"/>
            <w:vAlign w:val="center"/>
            <w:hideMark/>
          </w:tcPr>
          <w:p w14:paraId="0435EED9" w14:textId="0E762B8E" w:rsidR="0041725B" w:rsidRPr="003A2898" w:rsidRDefault="0041725B" w:rsidP="00AC0135">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Tribal </w:t>
            </w:r>
            <w:r w:rsidRPr="003A2898">
              <w:rPr>
                <w:rFonts w:ascii="Times New Roman" w:eastAsia="Times New Roman" w:hAnsi="Times New Roman" w:cs="Times New Roman"/>
                <w:color w:val="000000"/>
                <w:sz w:val="22"/>
                <w:szCs w:val="22"/>
              </w:rPr>
              <w:t xml:space="preserve">Blocks WITH </w:t>
            </w:r>
            <w:r w:rsidR="00BA2736">
              <w:rPr>
                <w:rFonts w:ascii="Times New Roman" w:eastAsia="Times New Roman" w:hAnsi="Times New Roman" w:cs="Times New Roman"/>
                <w:color w:val="000000"/>
                <w:sz w:val="22"/>
                <w:szCs w:val="22"/>
              </w:rPr>
              <w:t>Complete LTE and No Subsidized</w:t>
            </w:r>
            <w:r w:rsidRPr="003A2898">
              <w:rPr>
                <w:rFonts w:ascii="Times New Roman" w:eastAsia="Times New Roman" w:hAnsi="Times New Roman" w:cs="Times New Roman"/>
                <w:color w:val="000000"/>
                <w:sz w:val="22"/>
                <w:szCs w:val="22"/>
              </w:rPr>
              <w:t xml:space="preserve">  </w:t>
            </w:r>
            <w:r w:rsidR="00BA2736">
              <w:rPr>
                <w:rFonts w:ascii="Times New Roman" w:eastAsia="Times New Roman" w:hAnsi="Times New Roman" w:cs="Times New Roman"/>
                <w:color w:val="000000"/>
                <w:sz w:val="22"/>
                <w:szCs w:val="22"/>
              </w:rPr>
              <w:t>Provider</w:t>
            </w:r>
          </w:p>
        </w:tc>
        <w:tc>
          <w:tcPr>
            <w:tcW w:w="1260" w:type="dxa"/>
            <w:tcBorders>
              <w:top w:val="single" w:sz="12" w:space="0" w:color="auto"/>
              <w:left w:val="single" w:sz="12" w:space="0" w:color="auto"/>
              <w:bottom w:val="dashed" w:sz="4" w:space="0" w:color="auto"/>
              <w:right w:val="single" w:sz="4" w:space="0" w:color="auto"/>
            </w:tcBorders>
            <w:shd w:val="clear" w:color="auto" w:fill="auto"/>
            <w:noWrap/>
            <w:vAlign w:val="center"/>
          </w:tcPr>
          <w:p w14:paraId="2418B25B" w14:textId="5B670F92"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125,636</w:t>
            </w:r>
          </w:p>
        </w:tc>
        <w:tc>
          <w:tcPr>
            <w:tcW w:w="810" w:type="dxa"/>
            <w:tcBorders>
              <w:top w:val="single" w:sz="12" w:space="0" w:color="auto"/>
              <w:left w:val="single" w:sz="4" w:space="0" w:color="auto"/>
              <w:bottom w:val="dashed" w:sz="4" w:space="0" w:color="auto"/>
              <w:right w:val="single" w:sz="4" w:space="0" w:color="auto"/>
            </w:tcBorders>
            <w:shd w:val="clear" w:color="auto" w:fill="auto"/>
            <w:noWrap/>
            <w:vAlign w:val="center"/>
          </w:tcPr>
          <w:p w14:paraId="627F1763" w14:textId="48BD7EC6"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20</w:t>
            </w:r>
          </w:p>
        </w:tc>
        <w:tc>
          <w:tcPr>
            <w:tcW w:w="1170" w:type="dxa"/>
            <w:tcBorders>
              <w:top w:val="single" w:sz="12" w:space="0" w:color="auto"/>
              <w:left w:val="nil"/>
              <w:bottom w:val="dashed" w:sz="4" w:space="0" w:color="auto"/>
              <w:right w:val="single" w:sz="4" w:space="0" w:color="auto"/>
            </w:tcBorders>
            <w:shd w:val="clear" w:color="auto" w:fill="auto"/>
            <w:noWrap/>
            <w:vAlign w:val="center"/>
          </w:tcPr>
          <w:p w14:paraId="40B111FF" w14:textId="2A4623CA"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41,362</w:t>
            </w:r>
          </w:p>
        </w:tc>
        <w:tc>
          <w:tcPr>
            <w:tcW w:w="1170" w:type="dxa"/>
            <w:tcBorders>
              <w:top w:val="single" w:sz="12" w:space="0" w:color="auto"/>
              <w:left w:val="nil"/>
              <w:bottom w:val="dashed" w:sz="4" w:space="0" w:color="auto"/>
              <w:right w:val="single" w:sz="4" w:space="0" w:color="auto"/>
            </w:tcBorders>
            <w:shd w:val="clear" w:color="auto" w:fill="auto"/>
            <w:noWrap/>
            <w:vAlign w:val="center"/>
          </w:tcPr>
          <w:p w14:paraId="640C4617" w14:textId="72CFA214"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92,429</w:t>
            </w:r>
          </w:p>
        </w:tc>
        <w:tc>
          <w:tcPr>
            <w:tcW w:w="1350" w:type="dxa"/>
            <w:tcBorders>
              <w:top w:val="single" w:sz="12" w:space="0" w:color="auto"/>
              <w:left w:val="nil"/>
              <w:bottom w:val="dashed" w:sz="4" w:space="0" w:color="auto"/>
              <w:right w:val="single" w:sz="12" w:space="0" w:color="auto"/>
            </w:tcBorders>
            <w:shd w:val="clear" w:color="auto" w:fill="auto"/>
            <w:noWrap/>
            <w:vAlign w:val="center"/>
          </w:tcPr>
          <w:p w14:paraId="45E9D41F" w14:textId="1D37C49E"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811,460</w:t>
            </w:r>
          </w:p>
        </w:tc>
        <w:tc>
          <w:tcPr>
            <w:tcW w:w="1422" w:type="dxa"/>
            <w:tcBorders>
              <w:top w:val="single" w:sz="12" w:space="0" w:color="auto"/>
              <w:left w:val="single" w:sz="12" w:space="0" w:color="auto"/>
              <w:bottom w:val="dashed" w:sz="4" w:space="0" w:color="auto"/>
              <w:right w:val="single" w:sz="4" w:space="0" w:color="auto"/>
            </w:tcBorders>
            <w:shd w:val="clear" w:color="auto" w:fill="auto"/>
            <w:noWrap/>
            <w:vAlign w:val="center"/>
          </w:tcPr>
          <w:p w14:paraId="367B7517" w14:textId="3727BB47"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41,362</w:t>
            </w:r>
          </w:p>
        </w:tc>
        <w:tc>
          <w:tcPr>
            <w:tcW w:w="1188" w:type="dxa"/>
            <w:tcBorders>
              <w:top w:val="single" w:sz="12" w:space="0" w:color="auto"/>
              <w:left w:val="nil"/>
              <w:bottom w:val="dashed" w:sz="4" w:space="0" w:color="auto"/>
              <w:right w:val="single" w:sz="4" w:space="0" w:color="auto"/>
            </w:tcBorders>
            <w:shd w:val="clear" w:color="auto" w:fill="auto"/>
            <w:noWrap/>
            <w:vAlign w:val="center"/>
          </w:tcPr>
          <w:p w14:paraId="3947C64D" w14:textId="4F6C79E1"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p>
        </w:tc>
        <w:tc>
          <w:tcPr>
            <w:tcW w:w="1260" w:type="dxa"/>
            <w:tcBorders>
              <w:top w:val="single" w:sz="12" w:space="0" w:color="auto"/>
              <w:left w:val="nil"/>
              <w:bottom w:val="dashed" w:sz="4" w:space="0" w:color="auto"/>
              <w:right w:val="single" w:sz="4" w:space="0" w:color="auto"/>
            </w:tcBorders>
            <w:shd w:val="clear" w:color="auto" w:fill="auto"/>
            <w:noWrap/>
            <w:vAlign w:val="center"/>
          </w:tcPr>
          <w:p w14:paraId="118F54BD" w14:textId="772B33BB"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p>
        </w:tc>
        <w:tc>
          <w:tcPr>
            <w:tcW w:w="1350" w:type="dxa"/>
            <w:tcBorders>
              <w:top w:val="single" w:sz="12" w:space="0" w:color="auto"/>
              <w:left w:val="nil"/>
              <w:bottom w:val="dashed" w:sz="4" w:space="0" w:color="auto"/>
              <w:right w:val="double" w:sz="4" w:space="0" w:color="auto"/>
            </w:tcBorders>
            <w:shd w:val="clear" w:color="auto" w:fill="auto"/>
            <w:noWrap/>
            <w:vAlign w:val="center"/>
          </w:tcPr>
          <w:p w14:paraId="42B28531" w14:textId="49AC6F00"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p>
        </w:tc>
      </w:tr>
      <w:tr w:rsidR="0041725B" w:rsidRPr="003A2898" w14:paraId="39DF51D7" w14:textId="77777777" w:rsidTr="004054D4">
        <w:trPr>
          <w:trHeight w:val="475"/>
        </w:trPr>
        <w:tc>
          <w:tcPr>
            <w:tcW w:w="3320" w:type="dxa"/>
            <w:gridSpan w:val="2"/>
            <w:vMerge/>
            <w:tcBorders>
              <w:top w:val="single" w:sz="8" w:space="0" w:color="auto"/>
              <w:left w:val="double" w:sz="4" w:space="0" w:color="auto"/>
              <w:bottom w:val="single" w:sz="12" w:space="0" w:color="auto"/>
              <w:right w:val="single" w:sz="12" w:space="0" w:color="auto"/>
            </w:tcBorders>
            <w:vAlign w:val="center"/>
            <w:hideMark/>
          </w:tcPr>
          <w:p w14:paraId="54F48C92" w14:textId="77777777" w:rsidR="0041725B" w:rsidRPr="003A2898" w:rsidRDefault="0041725B" w:rsidP="0041725B">
            <w:pPr>
              <w:spacing w:after="0" w:line="240" w:lineRule="auto"/>
              <w:rPr>
                <w:rFonts w:ascii="Times New Roman" w:eastAsia="Times New Roman" w:hAnsi="Times New Roman" w:cs="Times New Roman"/>
                <w:color w:val="000000"/>
                <w:sz w:val="22"/>
                <w:szCs w:val="22"/>
              </w:rPr>
            </w:pPr>
          </w:p>
        </w:tc>
        <w:tc>
          <w:tcPr>
            <w:tcW w:w="1260" w:type="dxa"/>
            <w:tcBorders>
              <w:top w:val="dashed" w:sz="4" w:space="0" w:color="auto"/>
              <w:left w:val="single" w:sz="12" w:space="0" w:color="auto"/>
              <w:bottom w:val="single" w:sz="12" w:space="0" w:color="auto"/>
              <w:right w:val="single" w:sz="4" w:space="0" w:color="auto"/>
            </w:tcBorders>
            <w:shd w:val="clear" w:color="auto" w:fill="auto"/>
            <w:noWrap/>
            <w:vAlign w:val="center"/>
          </w:tcPr>
          <w:p w14:paraId="44C198E7" w14:textId="61E97503"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34.94%</w:t>
            </w:r>
          </w:p>
        </w:tc>
        <w:tc>
          <w:tcPr>
            <w:tcW w:w="810" w:type="dxa"/>
            <w:tcBorders>
              <w:top w:val="dashed" w:sz="4" w:space="0" w:color="auto"/>
              <w:left w:val="single" w:sz="4" w:space="0" w:color="auto"/>
              <w:bottom w:val="single" w:sz="12" w:space="0" w:color="auto"/>
              <w:right w:val="single" w:sz="4" w:space="0" w:color="auto"/>
            </w:tcBorders>
            <w:shd w:val="clear" w:color="auto" w:fill="auto"/>
            <w:noWrap/>
            <w:vAlign w:val="center"/>
          </w:tcPr>
          <w:p w14:paraId="5213A3EB" w14:textId="33DEF02F"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p>
        </w:tc>
        <w:tc>
          <w:tcPr>
            <w:tcW w:w="1170" w:type="dxa"/>
            <w:tcBorders>
              <w:top w:val="dashed" w:sz="4" w:space="0" w:color="auto"/>
              <w:left w:val="nil"/>
              <w:bottom w:val="single" w:sz="12" w:space="0" w:color="auto"/>
              <w:right w:val="single" w:sz="4" w:space="0" w:color="auto"/>
            </w:tcBorders>
            <w:shd w:val="clear" w:color="auto" w:fill="auto"/>
            <w:noWrap/>
            <w:vAlign w:val="center"/>
          </w:tcPr>
          <w:p w14:paraId="56844B95" w14:textId="543AE9BA"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25.23%</w:t>
            </w:r>
          </w:p>
        </w:tc>
        <w:tc>
          <w:tcPr>
            <w:tcW w:w="1170" w:type="dxa"/>
            <w:tcBorders>
              <w:top w:val="dashed" w:sz="4" w:space="0" w:color="auto"/>
              <w:left w:val="nil"/>
              <w:bottom w:val="single" w:sz="12" w:space="0" w:color="auto"/>
              <w:right w:val="single" w:sz="4" w:space="0" w:color="auto"/>
            </w:tcBorders>
            <w:shd w:val="clear" w:color="auto" w:fill="auto"/>
            <w:noWrap/>
            <w:vAlign w:val="center"/>
          </w:tcPr>
          <w:p w14:paraId="2C546B79" w14:textId="73256526"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30.50%</w:t>
            </w:r>
          </w:p>
        </w:tc>
        <w:tc>
          <w:tcPr>
            <w:tcW w:w="1350" w:type="dxa"/>
            <w:tcBorders>
              <w:top w:val="dashed" w:sz="4" w:space="0" w:color="auto"/>
              <w:left w:val="single" w:sz="4" w:space="0" w:color="auto"/>
              <w:bottom w:val="single" w:sz="12" w:space="0" w:color="auto"/>
              <w:right w:val="single" w:sz="12" w:space="0" w:color="auto"/>
            </w:tcBorders>
            <w:shd w:val="clear" w:color="auto" w:fill="auto"/>
            <w:noWrap/>
            <w:vAlign w:val="center"/>
          </w:tcPr>
          <w:p w14:paraId="3DABBA5A" w14:textId="7CA6682C"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22.65%</w:t>
            </w:r>
          </w:p>
        </w:tc>
        <w:tc>
          <w:tcPr>
            <w:tcW w:w="1422" w:type="dxa"/>
            <w:tcBorders>
              <w:top w:val="dashed" w:sz="4" w:space="0" w:color="auto"/>
              <w:left w:val="single" w:sz="12" w:space="0" w:color="auto"/>
              <w:bottom w:val="single" w:sz="12" w:space="0" w:color="auto"/>
              <w:right w:val="single" w:sz="4" w:space="0" w:color="auto"/>
            </w:tcBorders>
            <w:shd w:val="clear" w:color="auto" w:fill="auto"/>
            <w:noWrap/>
            <w:vAlign w:val="center"/>
          </w:tcPr>
          <w:p w14:paraId="0018EDC9" w14:textId="16F76C7A"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50.27%</w:t>
            </w:r>
          </w:p>
        </w:tc>
        <w:tc>
          <w:tcPr>
            <w:tcW w:w="1188" w:type="dxa"/>
            <w:tcBorders>
              <w:top w:val="dashed" w:sz="4" w:space="0" w:color="auto"/>
              <w:left w:val="nil"/>
              <w:bottom w:val="single" w:sz="12" w:space="0" w:color="auto"/>
              <w:right w:val="single" w:sz="4" w:space="0" w:color="auto"/>
            </w:tcBorders>
            <w:shd w:val="clear" w:color="auto" w:fill="auto"/>
            <w:noWrap/>
            <w:vAlign w:val="center"/>
          </w:tcPr>
          <w:p w14:paraId="5766D863" w14:textId="0F2F889E"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p>
        </w:tc>
        <w:tc>
          <w:tcPr>
            <w:tcW w:w="1260" w:type="dxa"/>
            <w:tcBorders>
              <w:top w:val="dashed" w:sz="4" w:space="0" w:color="auto"/>
              <w:left w:val="nil"/>
              <w:bottom w:val="single" w:sz="12" w:space="0" w:color="auto"/>
              <w:right w:val="single" w:sz="4" w:space="0" w:color="auto"/>
            </w:tcBorders>
            <w:shd w:val="clear" w:color="auto" w:fill="auto"/>
            <w:noWrap/>
            <w:vAlign w:val="center"/>
          </w:tcPr>
          <w:p w14:paraId="1F8839CA" w14:textId="6ADF2F89"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p>
        </w:tc>
        <w:tc>
          <w:tcPr>
            <w:tcW w:w="1350" w:type="dxa"/>
            <w:tcBorders>
              <w:top w:val="dashed" w:sz="4" w:space="0" w:color="auto"/>
              <w:left w:val="single" w:sz="4" w:space="0" w:color="auto"/>
              <w:bottom w:val="single" w:sz="12" w:space="0" w:color="auto"/>
              <w:right w:val="double" w:sz="4" w:space="0" w:color="auto"/>
            </w:tcBorders>
            <w:shd w:val="clear" w:color="auto" w:fill="auto"/>
            <w:noWrap/>
            <w:vAlign w:val="center"/>
          </w:tcPr>
          <w:p w14:paraId="481DCA1B" w14:textId="6130F900"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p>
        </w:tc>
      </w:tr>
      <w:tr w:rsidR="0041725B" w:rsidRPr="003A2898" w14:paraId="40CD13A5" w14:textId="77777777" w:rsidTr="004054D4">
        <w:trPr>
          <w:trHeight w:val="745"/>
        </w:trPr>
        <w:tc>
          <w:tcPr>
            <w:tcW w:w="3320" w:type="dxa"/>
            <w:gridSpan w:val="2"/>
            <w:vMerge w:val="restart"/>
            <w:tcBorders>
              <w:top w:val="single" w:sz="12" w:space="0" w:color="auto"/>
              <w:left w:val="double" w:sz="4" w:space="0" w:color="auto"/>
              <w:bottom w:val="single" w:sz="4" w:space="0" w:color="auto"/>
              <w:right w:val="single" w:sz="12" w:space="0" w:color="auto"/>
            </w:tcBorders>
            <w:shd w:val="clear" w:color="000000" w:fill="E2EFDA"/>
            <w:vAlign w:val="center"/>
            <w:hideMark/>
          </w:tcPr>
          <w:p w14:paraId="47536B63" w14:textId="0627021A" w:rsidR="0041725B" w:rsidRPr="003A2898" w:rsidRDefault="0041725B" w:rsidP="00624616">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Tribal </w:t>
            </w:r>
            <w:r w:rsidRPr="003A2898">
              <w:rPr>
                <w:rFonts w:ascii="Times New Roman" w:eastAsia="Times New Roman" w:hAnsi="Times New Roman" w:cs="Times New Roman"/>
                <w:color w:val="000000"/>
                <w:sz w:val="22"/>
                <w:szCs w:val="22"/>
              </w:rPr>
              <w:t xml:space="preserve">Blocks </w:t>
            </w:r>
            <w:r w:rsidR="00BA2736" w:rsidRPr="003A2898">
              <w:rPr>
                <w:rFonts w:ascii="Times New Roman" w:eastAsia="Times New Roman" w:hAnsi="Times New Roman" w:cs="Times New Roman"/>
                <w:color w:val="000000"/>
                <w:sz w:val="22"/>
                <w:szCs w:val="22"/>
              </w:rPr>
              <w:t>WITH</w:t>
            </w:r>
            <w:r w:rsidR="00BA2736">
              <w:rPr>
                <w:rFonts w:ascii="Times New Roman" w:eastAsia="Times New Roman" w:hAnsi="Times New Roman" w:cs="Times New Roman"/>
                <w:color w:val="000000"/>
                <w:sz w:val="22"/>
                <w:szCs w:val="22"/>
              </w:rPr>
              <w:t xml:space="preserve"> Less than Complete LTE Coverage, or WITH At</w:t>
            </w:r>
            <w:r w:rsidR="00624616">
              <w:rPr>
                <w:rFonts w:ascii="Times New Roman" w:eastAsia="Times New Roman" w:hAnsi="Times New Roman" w:cs="Times New Roman"/>
                <w:color w:val="000000"/>
                <w:sz w:val="22"/>
                <w:szCs w:val="22"/>
              </w:rPr>
              <w:t xml:space="preserve"> </w:t>
            </w:r>
            <w:r w:rsidR="00BA2736">
              <w:rPr>
                <w:rFonts w:ascii="Times New Roman" w:eastAsia="Times New Roman" w:hAnsi="Times New Roman" w:cs="Times New Roman"/>
                <w:color w:val="000000"/>
                <w:sz w:val="22"/>
                <w:szCs w:val="22"/>
              </w:rPr>
              <w:t>least One S</w:t>
            </w:r>
            <w:r w:rsidR="00BA2736" w:rsidRPr="003A2898">
              <w:rPr>
                <w:rFonts w:ascii="Times New Roman" w:eastAsia="Times New Roman" w:hAnsi="Times New Roman" w:cs="Times New Roman"/>
                <w:color w:val="000000"/>
                <w:sz w:val="22"/>
                <w:szCs w:val="22"/>
              </w:rPr>
              <w:t xml:space="preserve">ubsidized LTE </w:t>
            </w:r>
            <w:r w:rsidR="00BA2736">
              <w:rPr>
                <w:rFonts w:ascii="Times New Roman" w:eastAsia="Times New Roman" w:hAnsi="Times New Roman" w:cs="Times New Roman"/>
                <w:color w:val="000000"/>
                <w:sz w:val="22"/>
                <w:szCs w:val="22"/>
              </w:rPr>
              <w:t>Provider</w:t>
            </w:r>
          </w:p>
        </w:tc>
        <w:tc>
          <w:tcPr>
            <w:tcW w:w="1260" w:type="dxa"/>
            <w:tcBorders>
              <w:top w:val="single" w:sz="12" w:space="0" w:color="auto"/>
              <w:left w:val="single" w:sz="12" w:space="0" w:color="auto"/>
              <w:bottom w:val="dashed" w:sz="4" w:space="0" w:color="auto"/>
              <w:right w:val="single" w:sz="4" w:space="0" w:color="auto"/>
            </w:tcBorders>
            <w:shd w:val="clear" w:color="auto" w:fill="auto"/>
            <w:noWrap/>
            <w:vAlign w:val="center"/>
          </w:tcPr>
          <w:p w14:paraId="664B9D57" w14:textId="18B8864D"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233,969</w:t>
            </w:r>
          </w:p>
        </w:tc>
        <w:tc>
          <w:tcPr>
            <w:tcW w:w="810" w:type="dxa"/>
            <w:tcBorders>
              <w:top w:val="single" w:sz="12" w:space="0" w:color="auto"/>
              <w:left w:val="single" w:sz="4" w:space="0" w:color="auto"/>
              <w:bottom w:val="dashed" w:sz="4" w:space="0" w:color="auto"/>
              <w:right w:val="single" w:sz="4" w:space="0" w:color="auto"/>
            </w:tcBorders>
            <w:shd w:val="clear" w:color="auto" w:fill="auto"/>
            <w:noWrap/>
            <w:vAlign w:val="center"/>
          </w:tcPr>
          <w:p w14:paraId="7DDFED6A" w14:textId="1EE167AF"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8</w:t>
            </w:r>
          </w:p>
        </w:tc>
        <w:tc>
          <w:tcPr>
            <w:tcW w:w="1170" w:type="dxa"/>
            <w:tcBorders>
              <w:top w:val="single" w:sz="12" w:space="0" w:color="auto"/>
              <w:left w:val="nil"/>
              <w:bottom w:val="dashed" w:sz="4" w:space="0" w:color="auto"/>
              <w:right w:val="single" w:sz="4" w:space="0" w:color="auto"/>
            </w:tcBorders>
            <w:shd w:val="clear" w:color="auto" w:fill="auto"/>
            <w:noWrap/>
            <w:vAlign w:val="center"/>
          </w:tcPr>
          <w:p w14:paraId="12A40168" w14:textId="2AC66112"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122,563</w:t>
            </w:r>
          </w:p>
        </w:tc>
        <w:tc>
          <w:tcPr>
            <w:tcW w:w="1170" w:type="dxa"/>
            <w:tcBorders>
              <w:top w:val="single" w:sz="12" w:space="0" w:color="auto"/>
              <w:left w:val="nil"/>
              <w:bottom w:val="dashed" w:sz="4" w:space="0" w:color="auto"/>
              <w:right w:val="single" w:sz="4" w:space="0" w:color="auto"/>
            </w:tcBorders>
            <w:shd w:val="clear" w:color="auto" w:fill="auto"/>
            <w:noWrap/>
            <w:vAlign w:val="center"/>
          </w:tcPr>
          <w:p w14:paraId="38D6BD09" w14:textId="2641FE6F"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210,652</w:t>
            </w:r>
          </w:p>
        </w:tc>
        <w:tc>
          <w:tcPr>
            <w:tcW w:w="1350" w:type="dxa"/>
            <w:tcBorders>
              <w:top w:val="single" w:sz="12" w:space="0" w:color="auto"/>
              <w:left w:val="nil"/>
              <w:bottom w:val="dashed" w:sz="4" w:space="0" w:color="auto"/>
              <w:right w:val="single" w:sz="12" w:space="0" w:color="auto"/>
            </w:tcBorders>
            <w:shd w:val="clear" w:color="auto" w:fill="auto"/>
            <w:noWrap/>
            <w:vAlign w:val="center"/>
          </w:tcPr>
          <w:p w14:paraId="211EDC56" w14:textId="15BC02A5"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2,771,474</w:t>
            </w:r>
          </w:p>
        </w:tc>
        <w:tc>
          <w:tcPr>
            <w:tcW w:w="1422" w:type="dxa"/>
            <w:tcBorders>
              <w:top w:val="single" w:sz="12" w:space="0" w:color="auto"/>
              <w:left w:val="single" w:sz="12" w:space="0" w:color="auto"/>
              <w:bottom w:val="dashed" w:sz="4" w:space="0" w:color="auto"/>
              <w:right w:val="single" w:sz="4" w:space="0" w:color="auto"/>
            </w:tcBorders>
            <w:shd w:val="clear" w:color="auto" w:fill="auto"/>
            <w:noWrap/>
            <w:vAlign w:val="center"/>
          </w:tcPr>
          <w:p w14:paraId="37F78F75" w14:textId="2F3FCC71" w:rsidR="0041725B" w:rsidRPr="0041725B" w:rsidRDefault="008C2ACD" w:rsidP="0041725B">
            <w:pPr>
              <w:spacing w:after="0" w:line="240" w:lineRule="auto"/>
              <w:jc w:val="center"/>
              <w:rPr>
                <w:rFonts w:ascii="Times New Roman" w:eastAsia="Times New Roman" w:hAnsi="Times New Roman" w:cs="Times New Roman"/>
                <w:color w:val="000000"/>
                <w:sz w:val="22"/>
                <w:szCs w:val="22"/>
              </w:rPr>
            </w:pPr>
            <w:r>
              <w:rPr>
                <w:rFonts w:ascii="Times New Roman" w:hAnsi="Times New Roman" w:cs="Times New Roman"/>
                <w:sz w:val="22"/>
                <w:szCs w:val="22"/>
              </w:rPr>
              <w:t>40,915</w:t>
            </w:r>
          </w:p>
        </w:tc>
        <w:tc>
          <w:tcPr>
            <w:tcW w:w="1188" w:type="dxa"/>
            <w:tcBorders>
              <w:top w:val="single" w:sz="12" w:space="0" w:color="auto"/>
              <w:left w:val="nil"/>
              <w:bottom w:val="dashed" w:sz="4" w:space="0" w:color="auto"/>
              <w:right w:val="single" w:sz="4" w:space="0" w:color="auto"/>
            </w:tcBorders>
            <w:shd w:val="clear" w:color="auto" w:fill="auto"/>
            <w:noWrap/>
            <w:vAlign w:val="center"/>
          </w:tcPr>
          <w:p w14:paraId="2F474888" w14:textId="2941D404" w:rsidR="0041725B" w:rsidRPr="0041725B" w:rsidRDefault="006D704A" w:rsidP="0041725B">
            <w:pPr>
              <w:spacing w:after="0" w:line="240" w:lineRule="auto"/>
              <w:jc w:val="center"/>
              <w:rPr>
                <w:rFonts w:ascii="Times New Roman" w:eastAsia="Times New Roman" w:hAnsi="Times New Roman" w:cs="Times New Roman"/>
                <w:color w:val="000000"/>
                <w:sz w:val="22"/>
                <w:szCs w:val="22"/>
              </w:rPr>
            </w:pPr>
            <w:r>
              <w:rPr>
                <w:rFonts w:ascii="Times New Roman" w:hAnsi="Times New Roman" w:cs="Times New Roman"/>
                <w:sz w:val="22"/>
                <w:szCs w:val="22"/>
              </w:rPr>
              <w:t>36,088</w:t>
            </w:r>
          </w:p>
        </w:tc>
        <w:tc>
          <w:tcPr>
            <w:tcW w:w="1260" w:type="dxa"/>
            <w:tcBorders>
              <w:top w:val="single" w:sz="12" w:space="0" w:color="auto"/>
              <w:left w:val="nil"/>
              <w:bottom w:val="dashed" w:sz="4" w:space="0" w:color="auto"/>
              <w:right w:val="single" w:sz="4" w:space="0" w:color="auto"/>
            </w:tcBorders>
            <w:shd w:val="clear" w:color="auto" w:fill="auto"/>
            <w:noWrap/>
            <w:vAlign w:val="center"/>
          </w:tcPr>
          <w:p w14:paraId="5CB658C1" w14:textId="7274A7D2" w:rsidR="0041725B" w:rsidRPr="0041725B" w:rsidRDefault="006D704A" w:rsidP="0041725B">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5,844</w:t>
            </w:r>
          </w:p>
        </w:tc>
        <w:tc>
          <w:tcPr>
            <w:tcW w:w="1350" w:type="dxa"/>
            <w:tcBorders>
              <w:top w:val="single" w:sz="12" w:space="0" w:color="auto"/>
              <w:left w:val="nil"/>
              <w:bottom w:val="dashed" w:sz="4" w:space="0" w:color="auto"/>
              <w:right w:val="double" w:sz="4" w:space="0" w:color="auto"/>
            </w:tcBorders>
            <w:shd w:val="clear" w:color="auto" w:fill="auto"/>
            <w:noWrap/>
            <w:vAlign w:val="center"/>
          </w:tcPr>
          <w:p w14:paraId="5A77CBAA" w14:textId="1C653D2B" w:rsidR="0041725B" w:rsidRPr="0041725B" w:rsidRDefault="006D704A" w:rsidP="0041725B">
            <w:pPr>
              <w:spacing w:after="0" w:line="240" w:lineRule="auto"/>
              <w:jc w:val="center"/>
              <w:rPr>
                <w:rFonts w:ascii="Times New Roman" w:eastAsia="Times New Roman" w:hAnsi="Times New Roman" w:cs="Times New Roman"/>
                <w:color w:val="000000"/>
                <w:sz w:val="22"/>
                <w:szCs w:val="22"/>
              </w:rPr>
            </w:pPr>
            <w:r>
              <w:rPr>
                <w:rFonts w:ascii="Times New Roman" w:hAnsi="Times New Roman" w:cs="Times New Roman"/>
                <w:sz w:val="22"/>
                <w:szCs w:val="22"/>
              </w:rPr>
              <w:t>41,932</w:t>
            </w:r>
          </w:p>
        </w:tc>
      </w:tr>
      <w:tr w:rsidR="0041725B" w:rsidRPr="003A2898" w14:paraId="5A050087" w14:textId="77777777" w:rsidTr="004054D4">
        <w:trPr>
          <w:trHeight w:val="440"/>
        </w:trPr>
        <w:tc>
          <w:tcPr>
            <w:tcW w:w="3320" w:type="dxa"/>
            <w:gridSpan w:val="2"/>
            <w:vMerge/>
            <w:tcBorders>
              <w:top w:val="nil"/>
              <w:left w:val="double" w:sz="4" w:space="0" w:color="auto"/>
              <w:bottom w:val="single" w:sz="4" w:space="0" w:color="auto"/>
              <w:right w:val="single" w:sz="12" w:space="0" w:color="auto"/>
            </w:tcBorders>
            <w:vAlign w:val="center"/>
            <w:hideMark/>
          </w:tcPr>
          <w:p w14:paraId="16778772" w14:textId="77777777" w:rsidR="0041725B" w:rsidRPr="003A2898" w:rsidRDefault="0041725B" w:rsidP="0041725B">
            <w:pPr>
              <w:spacing w:after="0" w:line="240" w:lineRule="auto"/>
              <w:rPr>
                <w:rFonts w:ascii="Times New Roman" w:eastAsia="Times New Roman" w:hAnsi="Times New Roman" w:cs="Times New Roman"/>
                <w:color w:val="000000"/>
                <w:sz w:val="22"/>
                <w:szCs w:val="22"/>
              </w:rPr>
            </w:pPr>
          </w:p>
        </w:tc>
        <w:tc>
          <w:tcPr>
            <w:tcW w:w="1260" w:type="dxa"/>
            <w:tcBorders>
              <w:top w:val="dashed" w:sz="4" w:space="0" w:color="auto"/>
              <w:left w:val="single" w:sz="12" w:space="0" w:color="auto"/>
              <w:bottom w:val="single" w:sz="8" w:space="0" w:color="auto"/>
              <w:right w:val="single" w:sz="4" w:space="0" w:color="auto"/>
            </w:tcBorders>
            <w:shd w:val="clear" w:color="auto" w:fill="auto"/>
            <w:noWrap/>
            <w:vAlign w:val="center"/>
          </w:tcPr>
          <w:p w14:paraId="0293E67A" w14:textId="45A82002"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65.06%</w:t>
            </w:r>
          </w:p>
        </w:tc>
        <w:tc>
          <w:tcPr>
            <w:tcW w:w="810" w:type="dxa"/>
            <w:tcBorders>
              <w:top w:val="dashed" w:sz="4" w:space="0" w:color="auto"/>
              <w:left w:val="nil"/>
              <w:bottom w:val="single" w:sz="8" w:space="0" w:color="auto"/>
              <w:right w:val="single" w:sz="4" w:space="0" w:color="auto"/>
            </w:tcBorders>
            <w:shd w:val="clear" w:color="auto" w:fill="auto"/>
            <w:noWrap/>
            <w:vAlign w:val="center"/>
          </w:tcPr>
          <w:p w14:paraId="7EFD836C" w14:textId="35CDAA87"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p>
        </w:tc>
        <w:tc>
          <w:tcPr>
            <w:tcW w:w="1170" w:type="dxa"/>
            <w:tcBorders>
              <w:top w:val="dashed" w:sz="4" w:space="0" w:color="auto"/>
              <w:left w:val="nil"/>
              <w:bottom w:val="single" w:sz="8" w:space="0" w:color="auto"/>
              <w:right w:val="single" w:sz="4" w:space="0" w:color="auto"/>
            </w:tcBorders>
            <w:shd w:val="clear" w:color="auto" w:fill="auto"/>
            <w:noWrap/>
            <w:vAlign w:val="center"/>
          </w:tcPr>
          <w:p w14:paraId="5EA7D3C6" w14:textId="5DE0BB53"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74.77%</w:t>
            </w:r>
          </w:p>
        </w:tc>
        <w:tc>
          <w:tcPr>
            <w:tcW w:w="1170" w:type="dxa"/>
            <w:tcBorders>
              <w:top w:val="dashed" w:sz="4" w:space="0" w:color="auto"/>
              <w:left w:val="nil"/>
              <w:bottom w:val="single" w:sz="8" w:space="0" w:color="auto"/>
              <w:right w:val="single" w:sz="4" w:space="0" w:color="auto"/>
            </w:tcBorders>
            <w:shd w:val="clear" w:color="auto" w:fill="auto"/>
            <w:noWrap/>
            <w:vAlign w:val="center"/>
          </w:tcPr>
          <w:p w14:paraId="67744857" w14:textId="117F4DC0"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69.50%</w:t>
            </w:r>
          </w:p>
        </w:tc>
        <w:tc>
          <w:tcPr>
            <w:tcW w:w="1350" w:type="dxa"/>
            <w:tcBorders>
              <w:top w:val="dashed" w:sz="4" w:space="0" w:color="auto"/>
              <w:left w:val="nil"/>
              <w:bottom w:val="single" w:sz="8" w:space="0" w:color="auto"/>
              <w:right w:val="single" w:sz="12" w:space="0" w:color="auto"/>
            </w:tcBorders>
            <w:shd w:val="clear" w:color="auto" w:fill="auto"/>
            <w:noWrap/>
            <w:vAlign w:val="center"/>
          </w:tcPr>
          <w:p w14:paraId="730823A5" w14:textId="5BD6761F"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77.35%</w:t>
            </w:r>
          </w:p>
        </w:tc>
        <w:tc>
          <w:tcPr>
            <w:tcW w:w="1422" w:type="dxa"/>
            <w:tcBorders>
              <w:top w:val="dashed" w:sz="4" w:space="0" w:color="auto"/>
              <w:left w:val="single" w:sz="12" w:space="0" w:color="auto"/>
              <w:bottom w:val="single" w:sz="8" w:space="0" w:color="auto"/>
              <w:right w:val="single" w:sz="4" w:space="0" w:color="auto"/>
            </w:tcBorders>
            <w:shd w:val="clear" w:color="auto" w:fill="auto"/>
            <w:noWrap/>
            <w:vAlign w:val="center"/>
          </w:tcPr>
          <w:p w14:paraId="1A4C5C51" w14:textId="76BCDC87" w:rsidR="0041725B" w:rsidRPr="0041725B" w:rsidRDefault="008C2ACD" w:rsidP="0041725B">
            <w:pPr>
              <w:spacing w:after="0" w:line="240" w:lineRule="auto"/>
              <w:jc w:val="center"/>
              <w:rPr>
                <w:rFonts w:ascii="Times New Roman" w:eastAsia="Times New Roman" w:hAnsi="Times New Roman" w:cs="Times New Roman"/>
                <w:color w:val="000000"/>
                <w:sz w:val="22"/>
                <w:szCs w:val="22"/>
              </w:rPr>
            </w:pPr>
            <w:r>
              <w:rPr>
                <w:rFonts w:ascii="Times New Roman" w:hAnsi="Times New Roman" w:cs="Times New Roman"/>
                <w:sz w:val="22"/>
                <w:szCs w:val="22"/>
              </w:rPr>
              <w:t>49.73</w:t>
            </w:r>
            <w:r w:rsidR="0041725B" w:rsidRPr="0041725B">
              <w:rPr>
                <w:rFonts w:ascii="Times New Roman" w:hAnsi="Times New Roman" w:cs="Times New Roman"/>
                <w:sz w:val="22"/>
                <w:szCs w:val="22"/>
              </w:rPr>
              <w:t>%</w:t>
            </w:r>
          </w:p>
        </w:tc>
        <w:tc>
          <w:tcPr>
            <w:tcW w:w="1188" w:type="dxa"/>
            <w:tcBorders>
              <w:top w:val="dashed" w:sz="4" w:space="0" w:color="auto"/>
              <w:left w:val="nil"/>
              <w:bottom w:val="single" w:sz="8" w:space="0" w:color="auto"/>
              <w:right w:val="single" w:sz="4" w:space="0" w:color="auto"/>
            </w:tcBorders>
            <w:shd w:val="clear" w:color="auto" w:fill="auto"/>
            <w:noWrap/>
            <w:vAlign w:val="center"/>
          </w:tcPr>
          <w:p w14:paraId="7E7E4E23" w14:textId="68CE8F92" w:rsidR="0041725B" w:rsidRPr="0041725B" w:rsidRDefault="006D704A" w:rsidP="0041725B">
            <w:pPr>
              <w:spacing w:after="0" w:line="240" w:lineRule="auto"/>
              <w:jc w:val="center"/>
              <w:rPr>
                <w:rFonts w:ascii="Times New Roman" w:eastAsia="Times New Roman" w:hAnsi="Times New Roman" w:cs="Times New Roman"/>
                <w:color w:val="000000"/>
                <w:sz w:val="22"/>
                <w:szCs w:val="22"/>
              </w:rPr>
            </w:pPr>
            <w:r>
              <w:rPr>
                <w:rFonts w:ascii="Times New Roman" w:hAnsi="Times New Roman" w:cs="Times New Roman"/>
                <w:sz w:val="22"/>
                <w:szCs w:val="22"/>
              </w:rPr>
              <w:t>100</w:t>
            </w:r>
            <w:r w:rsidR="0041725B" w:rsidRPr="0041725B">
              <w:rPr>
                <w:rFonts w:ascii="Times New Roman" w:hAnsi="Times New Roman" w:cs="Times New Roman"/>
                <w:sz w:val="22"/>
                <w:szCs w:val="22"/>
              </w:rPr>
              <w:t>%</w:t>
            </w:r>
          </w:p>
        </w:tc>
        <w:tc>
          <w:tcPr>
            <w:tcW w:w="1260" w:type="dxa"/>
            <w:tcBorders>
              <w:top w:val="dashed" w:sz="4" w:space="0" w:color="auto"/>
              <w:left w:val="nil"/>
              <w:bottom w:val="single" w:sz="8" w:space="0" w:color="auto"/>
              <w:right w:val="single" w:sz="4" w:space="0" w:color="auto"/>
            </w:tcBorders>
            <w:shd w:val="clear" w:color="auto" w:fill="auto"/>
            <w:noWrap/>
            <w:vAlign w:val="center"/>
          </w:tcPr>
          <w:p w14:paraId="4E889631" w14:textId="00571110" w:rsidR="0041725B" w:rsidRPr="0041725B" w:rsidRDefault="006D704A" w:rsidP="0041725B">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c>
          <w:tcPr>
            <w:tcW w:w="1350" w:type="dxa"/>
            <w:tcBorders>
              <w:top w:val="dashed" w:sz="4" w:space="0" w:color="auto"/>
              <w:left w:val="nil"/>
              <w:bottom w:val="single" w:sz="8" w:space="0" w:color="auto"/>
              <w:right w:val="double" w:sz="4" w:space="0" w:color="auto"/>
            </w:tcBorders>
            <w:shd w:val="clear" w:color="auto" w:fill="auto"/>
            <w:noWrap/>
            <w:vAlign w:val="center"/>
          </w:tcPr>
          <w:p w14:paraId="68F6AAD8" w14:textId="0F48A53E"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100%</w:t>
            </w:r>
          </w:p>
        </w:tc>
      </w:tr>
      <w:tr w:rsidR="0041725B" w:rsidRPr="003A2898" w14:paraId="6144C1CE" w14:textId="77777777" w:rsidTr="004054D4">
        <w:trPr>
          <w:trHeight w:val="548"/>
        </w:trPr>
        <w:tc>
          <w:tcPr>
            <w:tcW w:w="480" w:type="dxa"/>
            <w:tcBorders>
              <w:top w:val="nil"/>
              <w:bottom w:val="nil"/>
              <w:right w:val="double" w:sz="4" w:space="0" w:color="auto"/>
            </w:tcBorders>
            <w:shd w:val="clear" w:color="auto" w:fill="auto"/>
            <w:noWrap/>
            <w:vAlign w:val="bottom"/>
            <w:hideMark/>
          </w:tcPr>
          <w:p w14:paraId="0CF20FA4" w14:textId="77777777" w:rsidR="0041725B" w:rsidRPr="003A2898" w:rsidRDefault="0041725B" w:rsidP="0041725B">
            <w:pPr>
              <w:spacing w:after="0" w:line="240" w:lineRule="auto"/>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 </w:t>
            </w:r>
          </w:p>
        </w:tc>
        <w:tc>
          <w:tcPr>
            <w:tcW w:w="2840" w:type="dxa"/>
            <w:vMerge w:val="restart"/>
            <w:tcBorders>
              <w:top w:val="nil"/>
              <w:left w:val="double" w:sz="4" w:space="0" w:color="auto"/>
              <w:bottom w:val="single" w:sz="4" w:space="0" w:color="auto"/>
              <w:right w:val="single" w:sz="12" w:space="0" w:color="auto"/>
            </w:tcBorders>
            <w:shd w:val="clear" w:color="000000" w:fill="E2EFDA"/>
            <w:vAlign w:val="center"/>
            <w:hideMark/>
          </w:tcPr>
          <w:p w14:paraId="3D4EBCD4" w14:textId="77777777" w:rsidR="0041725B" w:rsidRPr="003A2898" w:rsidRDefault="0041725B" w:rsidP="0041725B">
            <w:pPr>
              <w:spacing w:after="0" w:line="240" w:lineRule="auto"/>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 xml:space="preserve">Blocks With </w:t>
            </w:r>
            <w:r w:rsidRPr="003A2898">
              <w:rPr>
                <w:rFonts w:ascii="Times New Roman" w:eastAsia="Times New Roman" w:hAnsi="Times New Roman" w:cs="Times New Roman"/>
                <w:i/>
                <w:iCs/>
                <w:color w:val="000000"/>
                <w:sz w:val="22"/>
                <w:szCs w:val="22"/>
              </w:rPr>
              <w:t>NO LTE SERVICE</w:t>
            </w:r>
            <w:r w:rsidRPr="003A2898">
              <w:rPr>
                <w:rFonts w:ascii="Times New Roman" w:eastAsia="Times New Roman" w:hAnsi="Times New Roman" w:cs="Times New Roman"/>
                <w:color w:val="000000"/>
                <w:sz w:val="22"/>
                <w:szCs w:val="22"/>
              </w:rPr>
              <w:t xml:space="preserve"> </w:t>
            </w:r>
          </w:p>
        </w:tc>
        <w:tc>
          <w:tcPr>
            <w:tcW w:w="1260" w:type="dxa"/>
            <w:tcBorders>
              <w:top w:val="single" w:sz="8" w:space="0" w:color="auto"/>
              <w:left w:val="single" w:sz="12" w:space="0" w:color="auto"/>
              <w:bottom w:val="dashed" w:sz="4" w:space="0" w:color="auto"/>
              <w:right w:val="single" w:sz="4" w:space="0" w:color="auto"/>
            </w:tcBorders>
            <w:shd w:val="clear" w:color="auto" w:fill="auto"/>
            <w:noWrap/>
            <w:vAlign w:val="center"/>
          </w:tcPr>
          <w:p w14:paraId="10AED7FA" w14:textId="29BEB180"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33,712</w:t>
            </w:r>
          </w:p>
        </w:tc>
        <w:tc>
          <w:tcPr>
            <w:tcW w:w="810" w:type="dxa"/>
            <w:tcBorders>
              <w:top w:val="single" w:sz="8" w:space="0" w:color="auto"/>
              <w:left w:val="nil"/>
              <w:bottom w:val="dashed" w:sz="4" w:space="0" w:color="auto"/>
              <w:right w:val="single" w:sz="4" w:space="0" w:color="auto"/>
            </w:tcBorders>
            <w:shd w:val="clear" w:color="auto" w:fill="auto"/>
            <w:noWrap/>
            <w:vAlign w:val="center"/>
          </w:tcPr>
          <w:p w14:paraId="1EA045D3" w14:textId="13AC4EE6"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8</w:t>
            </w:r>
          </w:p>
        </w:tc>
        <w:tc>
          <w:tcPr>
            <w:tcW w:w="1170" w:type="dxa"/>
            <w:tcBorders>
              <w:top w:val="single" w:sz="8" w:space="0" w:color="auto"/>
              <w:left w:val="nil"/>
              <w:bottom w:val="dashed" w:sz="4" w:space="0" w:color="auto"/>
              <w:right w:val="single" w:sz="4" w:space="0" w:color="auto"/>
            </w:tcBorders>
            <w:shd w:val="clear" w:color="auto" w:fill="auto"/>
            <w:noWrap/>
            <w:vAlign w:val="center"/>
          </w:tcPr>
          <w:p w14:paraId="05A36561" w14:textId="545B8766"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10,670</w:t>
            </w:r>
          </w:p>
        </w:tc>
        <w:tc>
          <w:tcPr>
            <w:tcW w:w="1170" w:type="dxa"/>
            <w:tcBorders>
              <w:top w:val="single" w:sz="8" w:space="0" w:color="auto"/>
              <w:left w:val="nil"/>
              <w:bottom w:val="dashed" w:sz="4" w:space="0" w:color="auto"/>
              <w:right w:val="single" w:sz="4" w:space="0" w:color="auto"/>
            </w:tcBorders>
            <w:shd w:val="clear" w:color="auto" w:fill="auto"/>
            <w:noWrap/>
            <w:vAlign w:val="center"/>
          </w:tcPr>
          <w:p w14:paraId="6874F6C7" w14:textId="56663696"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24,292</w:t>
            </w:r>
          </w:p>
        </w:tc>
        <w:tc>
          <w:tcPr>
            <w:tcW w:w="1350" w:type="dxa"/>
            <w:tcBorders>
              <w:top w:val="single" w:sz="8" w:space="0" w:color="auto"/>
              <w:left w:val="nil"/>
              <w:bottom w:val="dashed" w:sz="4" w:space="0" w:color="auto"/>
              <w:right w:val="single" w:sz="12" w:space="0" w:color="auto"/>
            </w:tcBorders>
            <w:shd w:val="clear" w:color="auto" w:fill="auto"/>
            <w:noWrap/>
            <w:vAlign w:val="center"/>
          </w:tcPr>
          <w:p w14:paraId="6A2C2780" w14:textId="2A48ECDD"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85,304</w:t>
            </w:r>
          </w:p>
        </w:tc>
        <w:tc>
          <w:tcPr>
            <w:tcW w:w="1422" w:type="dxa"/>
            <w:tcBorders>
              <w:top w:val="single" w:sz="8" w:space="0" w:color="auto"/>
              <w:left w:val="single" w:sz="12" w:space="0" w:color="auto"/>
              <w:bottom w:val="dashed" w:sz="4" w:space="0" w:color="auto"/>
              <w:right w:val="single" w:sz="4" w:space="0" w:color="auto"/>
            </w:tcBorders>
            <w:shd w:val="clear" w:color="auto" w:fill="auto"/>
            <w:noWrap/>
            <w:vAlign w:val="center"/>
          </w:tcPr>
          <w:p w14:paraId="3AF45954" w14:textId="5B517AD8"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p>
        </w:tc>
        <w:tc>
          <w:tcPr>
            <w:tcW w:w="1188" w:type="dxa"/>
            <w:tcBorders>
              <w:top w:val="single" w:sz="8" w:space="0" w:color="auto"/>
              <w:left w:val="nil"/>
              <w:bottom w:val="dashed" w:sz="4" w:space="0" w:color="auto"/>
              <w:right w:val="single" w:sz="4" w:space="0" w:color="auto"/>
            </w:tcBorders>
            <w:shd w:val="clear" w:color="auto" w:fill="auto"/>
            <w:noWrap/>
            <w:vAlign w:val="center"/>
          </w:tcPr>
          <w:p w14:paraId="4B13C0B5" w14:textId="4AB3A1FE"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10,670</w:t>
            </w:r>
          </w:p>
        </w:tc>
        <w:tc>
          <w:tcPr>
            <w:tcW w:w="1260" w:type="dxa"/>
            <w:tcBorders>
              <w:top w:val="single" w:sz="8" w:space="0" w:color="auto"/>
              <w:left w:val="nil"/>
              <w:bottom w:val="dashed" w:sz="4" w:space="0" w:color="auto"/>
              <w:right w:val="single" w:sz="4" w:space="0" w:color="auto"/>
            </w:tcBorders>
            <w:shd w:val="clear" w:color="auto" w:fill="auto"/>
            <w:noWrap/>
            <w:vAlign w:val="center"/>
          </w:tcPr>
          <w:p w14:paraId="4FD4CDBF" w14:textId="19C5CCB2"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p>
        </w:tc>
        <w:tc>
          <w:tcPr>
            <w:tcW w:w="1350" w:type="dxa"/>
            <w:tcBorders>
              <w:top w:val="single" w:sz="8" w:space="0" w:color="auto"/>
              <w:left w:val="nil"/>
              <w:bottom w:val="dashed" w:sz="4" w:space="0" w:color="auto"/>
              <w:right w:val="double" w:sz="4" w:space="0" w:color="auto"/>
            </w:tcBorders>
            <w:shd w:val="clear" w:color="auto" w:fill="auto"/>
            <w:noWrap/>
            <w:vAlign w:val="center"/>
          </w:tcPr>
          <w:p w14:paraId="31E60B1A" w14:textId="6E388075"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10,670</w:t>
            </w:r>
          </w:p>
        </w:tc>
      </w:tr>
      <w:tr w:rsidR="0041725B" w:rsidRPr="003A2898" w14:paraId="1167F706" w14:textId="77777777" w:rsidTr="004054D4">
        <w:trPr>
          <w:trHeight w:val="413"/>
        </w:trPr>
        <w:tc>
          <w:tcPr>
            <w:tcW w:w="480" w:type="dxa"/>
            <w:tcBorders>
              <w:top w:val="nil"/>
              <w:bottom w:val="nil"/>
              <w:right w:val="double" w:sz="4" w:space="0" w:color="auto"/>
            </w:tcBorders>
            <w:shd w:val="clear" w:color="auto" w:fill="auto"/>
            <w:vAlign w:val="center"/>
            <w:hideMark/>
          </w:tcPr>
          <w:p w14:paraId="25CBE21D" w14:textId="77777777" w:rsidR="0041725B" w:rsidRPr="003A2898" w:rsidRDefault="0041725B" w:rsidP="0041725B">
            <w:pPr>
              <w:spacing w:after="0" w:line="240" w:lineRule="auto"/>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 </w:t>
            </w:r>
          </w:p>
        </w:tc>
        <w:tc>
          <w:tcPr>
            <w:tcW w:w="2840" w:type="dxa"/>
            <w:vMerge/>
            <w:tcBorders>
              <w:top w:val="nil"/>
              <w:left w:val="double" w:sz="4" w:space="0" w:color="auto"/>
              <w:bottom w:val="single" w:sz="4" w:space="0" w:color="auto"/>
              <w:right w:val="single" w:sz="12" w:space="0" w:color="auto"/>
            </w:tcBorders>
            <w:vAlign w:val="center"/>
            <w:hideMark/>
          </w:tcPr>
          <w:p w14:paraId="19AE4A0E" w14:textId="77777777" w:rsidR="0041725B" w:rsidRPr="003A2898" w:rsidRDefault="0041725B" w:rsidP="0041725B">
            <w:pPr>
              <w:spacing w:after="0" w:line="240" w:lineRule="auto"/>
              <w:rPr>
                <w:rFonts w:ascii="Times New Roman" w:eastAsia="Times New Roman" w:hAnsi="Times New Roman" w:cs="Times New Roman"/>
                <w:color w:val="000000"/>
                <w:sz w:val="22"/>
                <w:szCs w:val="22"/>
              </w:rPr>
            </w:pPr>
          </w:p>
        </w:tc>
        <w:tc>
          <w:tcPr>
            <w:tcW w:w="1260" w:type="dxa"/>
            <w:tcBorders>
              <w:top w:val="dashed" w:sz="4" w:space="0" w:color="auto"/>
              <w:left w:val="single" w:sz="12" w:space="0" w:color="auto"/>
              <w:bottom w:val="single" w:sz="4" w:space="0" w:color="auto"/>
              <w:right w:val="single" w:sz="4" w:space="0" w:color="auto"/>
            </w:tcBorders>
            <w:shd w:val="clear" w:color="auto" w:fill="auto"/>
            <w:noWrap/>
            <w:vAlign w:val="center"/>
          </w:tcPr>
          <w:p w14:paraId="4E5BB48E" w14:textId="08A4EF29"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9.37%</w:t>
            </w:r>
          </w:p>
        </w:tc>
        <w:tc>
          <w:tcPr>
            <w:tcW w:w="810" w:type="dxa"/>
            <w:tcBorders>
              <w:top w:val="dashed" w:sz="4" w:space="0" w:color="auto"/>
              <w:left w:val="nil"/>
              <w:bottom w:val="single" w:sz="4" w:space="0" w:color="auto"/>
              <w:right w:val="single" w:sz="4" w:space="0" w:color="auto"/>
            </w:tcBorders>
            <w:shd w:val="clear" w:color="auto" w:fill="auto"/>
            <w:noWrap/>
            <w:vAlign w:val="center"/>
          </w:tcPr>
          <w:p w14:paraId="2F2A91A4" w14:textId="01CA8520"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p>
        </w:tc>
        <w:tc>
          <w:tcPr>
            <w:tcW w:w="1170" w:type="dxa"/>
            <w:tcBorders>
              <w:top w:val="dashed" w:sz="4" w:space="0" w:color="auto"/>
              <w:left w:val="nil"/>
              <w:bottom w:val="single" w:sz="4" w:space="0" w:color="auto"/>
              <w:right w:val="single" w:sz="4" w:space="0" w:color="auto"/>
            </w:tcBorders>
            <w:shd w:val="clear" w:color="auto" w:fill="auto"/>
            <w:noWrap/>
            <w:vAlign w:val="center"/>
          </w:tcPr>
          <w:p w14:paraId="0F220331" w14:textId="3A77A5AD"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6.51%</w:t>
            </w:r>
          </w:p>
        </w:tc>
        <w:tc>
          <w:tcPr>
            <w:tcW w:w="1170" w:type="dxa"/>
            <w:tcBorders>
              <w:top w:val="dashed" w:sz="4" w:space="0" w:color="auto"/>
              <w:left w:val="nil"/>
              <w:bottom w:val="single" w:sz="4" w:space="0" w:color="auto"/>
              <w:right w:val="single" w:sz="4" w:space="0" w:color="auto"/>
            </w:tcBorders>
            <w:shd w:val="clear" w:color="auto" w:fill="auto"/>
            <w:noWrap/>
            <w:vAlign w:val="center"/>
          </w:tcPr>
          <w:p w14:paraId="26E134A3" w14:textId="1B1BB704"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8.01%</w:t>
            </w:r>
          </w:p>
        </w:tc>
        <w:tc>
          <w:tcPr>
            <w:tcW w:w="1350" w:type="dxa"/>
            <w:tcBorders>
              <w:top w:val="dashed" w:sz="4" w:space="0" w:color="auto"/>
              <w:left w:val="nil"/>
              <w:bottom w:val="single" w:sz="4" w:space="0" w:color="auto"/>
              <w:right w:val="single" w:sz="12" w:space="0" w:color="auto"/>
            </w:tcBorders>
            <w:shd w:val="clear" w:color="auto" w:fill="auto"/>
            <w:noWrap/>
            <w:vAlign w:val="center"/>
          </w:tcPr>
          <w:p w14:paraId="28AD0FC8" w14:textId="1148CDC7"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2.38%</w:t>
            </w:r>
          </w:p>
        </w:tc>
        <w:tc>
          <w:tcPr>
            <w:tcW w:w="1422" w:type="dxa"/>
            <w:tcBorders>
              <w:top w:val="dashed" w:sz="4" w:space="0" w:color="auto"/>
              <w:left w:val="single" w:sz="12" w:space="0" w:color="auto"/>
              <w:bottom w:val="single" w:sz="4" w:space="0" w:color="auto"/>
              <w:right w:val="single" w:sz="4" w:space="0" w:color="auto"/>
            </w:tcBorders>
            <w:shd w:val="clear" w:color="auto" w:fill="auto"/>
            <w:noWrap/>
            <w:vAlign w:val="center"/>
          </w:tcPr>
          <w:p w14:paraId="124338D6" w14:textId="544A917E"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p>
        </w:tc>
        <w:tc>
          <w:tcPr>
            <w:tcW w:w="1188" w:type="dxa"/>
            <w:tcBorders>
              <w:top w:val="dashed" w:sz="4" w:space="0" w:color="auto"/>
              <w:left w:val="nil"/>
              <w:bottom w:val="single" w:sz="4" w:space="0" w:color="auto"/>
              <w:right w:val="single" w:sz="4" w:space="0" w:color="auto"/>
            </w:tcBorders>
            <w:shd w:val="clear" w:color="auto" w:fill="auto"/>
            <w:noWrap/>
            <w:vAlign w:val="center"/>
          </w:tcPr>
          <w:p w14:paraId="37E820AA" w14:textId="3D02F74D" w:rsidR="0041725B" w:rsidRPr="0041725B" w:rsidRDefault="006D704A" w:rsidP="0041725B">
            <w:pPr>
              <w:spacing w:after="0" w:line="240" w:lineRule="auto"/>
              <w:jc w:val="center"/>
              <w:rPr>
                <w:rFonts w:ascii="Times New Roman" w:eastAsia="Times New Roman" w:hAnsi="Times New Roman" w:cs="Times New Roman"/>
                <w:color w:val="000000"/>
                <w:sz w:val="22"/>
                <w:szCs w:val="22"/>
              </w:rPr>
            </w:pPr>
            <w:r>
              <w:rPr>
                <w:rFonts w:ascii="Times New Roman" w:hAnsi="Times New Roman" w:cs="Times New Roman"/>
                <w:sz w:val="22"/>
                <w:szCs w:val="22"/>
              </w:rPr>
              <w:t>29.57</w:t>
            </w:r>
            <w:r w:rsidR="0041725B" w:rsidRPr="0041725B">
              <w:rPr>
                <w:rFonts w:ascii="Times New Roman" w:hAnsi="Times New Roman" w:cs="Times New Roman"/>
                <w:sz w:val="22"/>
                <w:szCs w:val="22"/>
              </w:rPr>
              <w:t>%</w:t>
            </w:r>
          </w:p>
        </w:tc>
        <w:tc>
          <w:tcPr>
            <w:tcW w:w="1260" w:type="dxa"/>
            <w:tcBorders>
              <w:top w:val="dashed" w:sz="4" w:space="0" w:color="auto"/>
              <w:left w:val="nil"/>
              <w:bottom w:val="single" w:sz="4" w:space="0" w:color="auto"/>
              <w:right w:val="single" w:sz="4" w:space="0" w:color="auto"/>
            </w:tcBorders>
            <w:shd w:val="clear" w:color="auto" w:fill="auto"/>
            <w:noWrap/>
            <w:vAlign w:val="center"/>
          </w:tcPr>
          <w:p w14:paraId="5F39F911" w14:textId="4BBC7DE4"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p>
        </w:tc>
        <w:tc>
          <w:tcPr>
            <w:tcW w:w="1350" w:type="dxa"/>
            <w:tcBorders>
              <w:top w:val="dashed" w:sz="4" w:space="0" w:color="auto"/>
              <w:left w:val="nil"/>
              <w:bottom w:val="single" w:sz="4" w:space="0" w:color="auto"/>
              <w:right w:val="double" w:sz="4" w:space="0" w:color="auto"/>
            </w:tcBorders>
            <w:shd w:val="clear" w:color="auto" w:fill="auto"/>
            <w:noWrap/>
            <w:vAlign w:val="center"/>
          </w:tcPr>
          <w:p w14:paraId="4E14DCD0" w14:textId="4EF1E8C9"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25%</w:t>
            </w:r>
          </w:p>
        </w:tc>
      </w:tr>
      <w:tr w:rsidR="0041725B" w:rsidRPr="003A2898" w14:paraId="4D023C42" w14:textId="77777777" w:rsidTr="004054D4">
        <w:trPr>
          <w:trHeight w:val="431"/>
        </w:trPr>
        <w:tc>
          <w:tcPr>
            <w:tcW w:w="480" w:type="dxa"/>
            <w:tcBorders>
              <w:top w:val="nil"/>
              <w:bottom w:val="nil"/>
              <w:right w:val="double" w:sz="4" w:space="0" w:color="auto"/>
            </w:tcBorders>
            <w:shd w:val="clear" w:color="auto" w:fill="auto"/>
            <w:noWrap/>
            <w:vAlign w:val="bottom"/>
            <w:hideMark/>
          </w:tcPr>
          <w:p w14:paraId="5C7C6464" w14:textId="77777777" w:rsidR="0041725B" w:rsidRPr="003A2898" w:rsidRDefault="0041725B" w:rsidP="0041725B">
            <w:pPr>
              <w:spacing w:after="0" w:line="240" w:lineRule="auto"/>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 </w:t>
            </w:r>
          </w:p>
        </w:tc>
        <w:tc>
          <w:tcPr>
            <w:tcW w:w="2840" w:type="dxa"/>
            <w:vMerge w:val="restart"/>
            <w:tcBorders>
              <w:top w:val="nil"/>
              <w:left w:val="double" w:sz="4" w:space="0" w:color="auto"/>
              <w:bottom w:val="single" w:sz="4" w:space="0" w:color="auto"/>
              <w:right w:val="single" w:sz="12" w:space="0" w:color="auto"/>
            </w:tcBorders>
            <w:shd w:val="clear" w:color="000000" w:fill="E2EFDA"/>
            <w:vAlign w:val="center"/>
            <w:hideMark/>
          </w:tcPr>
          <w:p w14:paraId="2B24278C" w14:textId="77777777" w:rsidR="0041725B" w:rsidRPr="003A2898" w:rsidRDefault="0041725B" w:rsidP="0041725B">
            <w:pPr>
              <w:spacing w:after="0" w:line="240" w:lineRule="auto"/>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 xml:space="preserve">Blocks With </w:t>
            </w:r>
            <w:r w:rsidRPr="003A2898">
              <w:rPr>
                <w:rFonts w:ascii="Times New Roman" w:eastAsia="Times New Roman" w:hAnsi="Times New Roman" w:cs="Times New Roman"/>
                <w:i/>
                <w:iCs/>
                <w:color w:val="000000"/>
                <w:sz w:val="22"/>
                <w:szCs w:val="22"/>
              </w:rPr>
              <w:t>LESS THAN 100%  LTE Coverage</w:t>
            </w:r>
          </w:p>
        </w:tc>
        <w:tc>
          <w:tcPr>
            <w:tcW w:w="1260"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250DE9D2" w14:textId="317C371E"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24,981</w:t>
            </w:r>
          </w:p>
        </w:tc>
        <w:tc>
          <w:tcPr>
            <w:tcW w:w="810" w:type="dxa"/>
            <w:tcBorders>
              <w:top w:val="single" w:sz="4" w:space="0" w:color="auto"/>
              <w:left w:val="nil"/>
              <w:bottom w:val="dashed" w:sz="4" w:space="0" w:color="auto"/>
              <w:right w:val="single" w:sz="4" w:space="0" w:color="auto"/>
            </w:tcBorders>
            <w:shd w:val="clear" w:color="auto" w:fill="auto"/>
            <w:noWrap/>
            <w:vAlign w:val="center"/>
          </w:tcPr>
          <w:p w14:paraId="21CFED77" w14:textId="055B5A69"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2</w:t>
            </w:r>
          </w:p>
        </w:tc>
        <w:tc>
          <w:tcPr>
            <w:tcW w:w="1170" w:type="dxa"/>
            <w:tcBorders>
              <w:top w:val="single" w:sz="4" w:space="0" w:color="auto"/>
              <w:left w:val="nil"/>
              <w:bottom w:val="dashed" w:sz="4" w:space="0" w:color="auto"/>
              <w:right w:val="single" w:sz="4" w:space="0" w:color="auto"/>
            </w:tcBorders>
            <w:shd w:val="clear" w:color="auto" w:fill="auto"/>
            <w:noWrap/>
            <w:vAlign w:val="center"/>
          </w:tcPr>
          <w:p w14:paraId="40D5AF58" w14:textId="1CA81FD3"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70,053</w:t>
            </w:r>
          </w:p>
        </w:tc>
        <w:tc>
          <w:tcPr>
            <w:tcW w:w="1170" w:type="dxa"/>
            <w:tcBorders>
              <w:top w:val="single" w:sz="4" w:space="0" w:color="auto"/>
              <w:left w:val="nil"/>
              <w:bottom w:val="dashed" w:sz="4" w:space="0" w:color="auto"/>
              <w:right w:val="single" w:sz="4" w:space="0" w:color="auto"/>
            </w:tcBorders>
            <w:shd w:val="clear" w:color="auto" w:fill="auto"/>
            <w:noWrap/>
            <w:vAlign w:val="center"/>
          </w:tcPr>
          <w:p w14:paraId="60B496E3" w14:textId="78D9A589"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74,605</w:t>
            </w:r>
          </w:p>
        </w:tc>
        <w:tc>
          <w:tcPr>
            <w:tcW w:w="1350" w:type="dxa"/>
            <w:tcBorders>
              <w:top w:val="single" w:sz="4" w:space="0" w:color="auto"/>
              <w:left w:val="nil"/>
              <w:bottom w:val="dashed" w:sz="4" w:space="0" w:color="auto"/>
              <w:right w:val="single" w:sz="12" w:space="0" w:color="auto"/>
            </w:tcBorders>
            <w:shd w:val="clear" w:color="auto" w:fill="auto"/>
            <w:noWrap/>
            <w:vAlign w:val="center"/>
          </w:tcPr>
          <w:p w14:paraId="0B0D6D17" w14:textId="50B06856"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125,095</w:t>
            </w:r>
          </w:p>
        </w:tc>
        <w:tc>
          <w:tcPr>
            <w:tcW w:w="1422"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1D1ED10B" w14:textId="1A9F96EB"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36,883</w:t>
            </w:r>
          </w:p>
        </w:tc>
        <w:tc>
          <w:tcPr>
            <w:tcW w:w="1188" w:type="dxa"/>
            <w:tcBorders>
              <w:top w:val="single" w:sz="4" w:space="0" w:color="auto"/>
              <w:left w:val="nil"/>
              <w:bottom w:val="dashed" w:sz="4" w:space="0" w:color="auto"/>
              <w:right w:val="single" w:sz="4" w:space="0" w:color="auto"/>
            </w:tcBorders>
            <w:shd w:val="clear" w:color="auto" w:fill="auto"/>
            <w:noWrap/>
            <w:vAlign w:val="center"/>
          </w:tcPr>
          <w:p w14:paraId="424643A0" w14:textId="776D6985"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25,418</w:t>
            </w:r>
          </w:p>
        </w:tc>
        <w:tc>
          <w:tcPr>
            <w:tcW w:w="1260" w:type="dxa"/>
            <w:tcBorders>
              <w:top w:val="single" w:sz="4" w:space="0" w:color="auto"/>
              <w:left w:val="nil"/>
              <w:bottom w:val="dashed" w:sz="4" w:space="0" w:color="auto"/>
              <w:right w:val="single" w:sz="4" w:space="0" w:color="auto"/>
            </w:tcBorders>
            <w:shd w:val="clear" w:color="auto" w:fill="auto"/>
            <w:noWrap/>
            <w:vAlign w:val="center"/>
          </w:tcPr>
          <w:p w14:paraId="1C9D268C" w14:textId="07FFEE14"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3,673</w:t>
            </w:r>
          </w:p>
        </w:tc>
        <w:tc>
          <w:tcPr>
            <w:tcW w:w="1350" w:type="dxa"/>
            <w:tcBorders>
              <w:top w:val="single" w:sz="4" w:space="0" w:color="auto"/>
              <w:left w:val="nil"/>
              <w:bottom w:val="dashed" w:sz="4" w:space="0" w:color="auto"/>
              <w:right w:val="double" w:sz="4" w:space="0" w:color="auto"/>
            </w:tcBorders>
            <w:shd w:val="clear" w:color="auto" w:fill="auto"/>
            <w:noWrap/>
            <w:vAlign w:val="center"/>
          </w:tcPr>
          <w:p w14:paraId="53DC7F08" w14:textId="3884CD58"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29,091</w:t>
            </w:r>
          </w:p>
        </w:tc>
      </w:tr>
      <w:tr w:rsidR="0041725B" w:rsidRPr="003A2898" w14:paraId="2F3615A1" w14:textId="77777777" w:rsidTr="004054D4">
        <w:trPr>
          <w:trHeight w:val="440"/>
        </w:trPr>
        <w:tc>
          <w:tcPr>
            <w:tcW w:w="480" w:type="dxa"/>
            <w:tcBorders>
              <w:top w:val="nil"/>
              <w:bottom w:val="nil"/>
              <w:right w:val="double" w:sz="4" w:space="0" w:color="auto"/>
            </w:tcBorders>
            <w:shd w:val="clear" w:color="auto" w:fill="auto"/>
            <w:vAlign w:val="center"/>
            <w:hideMark/>
          </w:tcPr>
          <w:p w14:paraId="69CE8E75" w14:textId="77777777" w:rsidR="0041725B" w:rsidRPr="003A2898" w:rsidRDefault="0041725B" w:rsidP="0041725B">
            <w:pPr>
              <w:spacing w:after="0" w:line="240" w:lineRule="auto"/>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 </w:t>
            </w:r>
          </w:p>
        </w:tc>
        <w:tc>
          <w:tcPr>
            <w:tcW w:w="2840" w:type="dxa"/>
            <w:vMerge/>
            <w:tcBorders>
              <w:top w:val="nil"/>
              <w:left w:val="double" w:sz="4" w:space="0" w:color="auto"/>
              <w:bottom w:val="single" w:sz="4" w:space="0" w:color="auto"/>
              <w:right w:val="single" w:sz="12" w:space="0" w:color="auto"/>
            </w:tcBorders>
            <w:vAlign w:val="center"/>
            <w:hideMark/>
          </w:tcPr>
          <w:p w14:paraId="343C2095" w14:textId="77777777" w:rsidR="0041725B" w:rsidRPr="003A2898" w:rsidRDefault="0041725B" w:rsidP="0041725B">
            <w:pPr>
              <w:spacing w:after="0" w:line="240" w:lineRule="auto"/>
              <w:rPr>
                <w:rFonts w:ascii="Times New Roman" w:eastAsia="Times New Roman" w:hAnsi="Times New Roman" w:cs="Times New Roman"/>
                <w:color w:val="000000"/>
                <w:sz w:val="22"/>
                <w:szCs w:val="22"/>
              </w:rPr>
            </w:pPr>
          </w:p>
        </w:tc>
        <w:tc>
          <w:tcPr>
            <w:tcW w:w="1260" w:type="dxa"/>
            <w:tcBorders>
              <w:top w:val="dashed" w:sz="4" w:space="0" w:color="auto"/>
              <w:left w:val="single" w:sz="12" w:space="0" w:color="auto"/>
              <w:bottom w:val="single" w:sz="4" w:space="0" w:color="auto"/>
              <w:right w:val="single" w:sz="4" w:space="0" w:color="auto"/>
            </w:tcBorders>
            <w:shd w:val="clear" w:color="auto" w:fill="auto"/>
            <w:noWrap/>
            <w:vAlign w:val="center"/>
          </w:tcPr>
          <w:p w14:paraId="01BAB432" w14:textId="59C68188"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6.95%</w:t>
            </w:r>
          </w:p>
        </w:tc>
        <w:tc>
          <w:tcPr>
            <w:tcW w:w="810" w:type="dxa"/>
            <w:tcBorders>
              <w:top w:val="dashed" w:sz="4" w:space="0" w:color="auto"/>
              <w:left w:val="nil"/>
              <w:bottom w:val="single" w:sz="4" w:space="0" w:color="auto"/>
              <w:right w:val="single" w:sz="4" w:space="0" w:color="auto"/>
            </w:tcBorders>
            <w:shd w:val="clear" w:color="auto" w:fill="auto"/>
            <w:noWrap/>
            <w:vAlign w:val="center"/>
          </w:tcPr>
          <w:p w14:paraId="729FA140" w14:textId="5A149B07"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p>
        </w:tc>
        <w:tc>
          <w:tcPr>
            <w:tcW w:w="1170" w:type="dxa"/>
            <w:tcBorders>
              <w:top w:val="dashed" w:sz="4" w:space="0" w:color="auto"/>
              <w:left w:val="nil"/>
              <w:bottom w:val="single" w:sz="4" w:space="0" w:color="auto"/>
              <w:right w:val="single" w:sz="4" w:space="0" w:color="auto"/>
            </w:tcBorders>
            <w:shd w:val="clear" w:color="auto" w:fill="auto"/>
            <w:noWrap/>
            <w:vAlign w:val="center"/>
          </w:tcPr>
          <w:p w14:paraId="70FA1234" w14:textId="2F643312"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42.73%</w:t>
            </w:r>
          </w:p>
        </w:tc>
        <w:tc>
          <w:tcPr>
            <w:tcW w:w="1170" w:type="dxa"/>
            <w:tcBorders>
              <w:top w:val="dashed" w:sz="4" w:space="0" w:color="auto"/>
              <w:left w:val="nil"/>
              <w:bottom w:val="single" w:sz="4" w:space="0" w:color="auto"/>
              <w:right w:val="single" w:sz="4" w:space="0" w:color="auto"/>
            </w:tcBorders>
            <w:shd w:val="clear" w:color="auto" w:fill="auto"/>
            <w:noWrap/>
            <w:vAlign w:val="center"/>
          </w:tcPr>
          <w:p w14:paraId="449952B2" w14:textId="32080C43"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24.62%</w:t>
            </w:r>
          </w:p>
        </w:tc>
        <w:tc>
          <w:tcPr>
            <w:tcW w:w="1350" w:type="dxa"/>
            <w:tcBorders>
              <w:top w:val="dashed" w:sz="4" w:space="0" w:color="auto"/>
              <w:left w:val="nil"/>
              <w:bottom w:val="single" w:sz="4" w:space="0" w:color="auto"/>
              <w:right w:val="single" w:sz="12" w:space="0" w:color="auto"/>
            </w:tcBorders>
            <w:shd w:val="clear" w:color="auto" w:fill="auto"/>
            <w:noWrap/>
            <w:vAlign w:val="center"/>
          </w:tcPr>
          <w:p w14:paraId="49064F9B" w14:textId="79CB2E31"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3%</w:t>
            </w:r>
          </w:p>
        </w:tc>
        <w:tc>
          <w:tcPr>
            <w:tcW w:w="1422" w:type="dxa"/>
            <w:tcBorders>
              <w:top w:val="dashed" w:sz="4" w:space="0" w:color="auto"/>
              <w:left w:val="single" w:sz="12" w:space="0" w:color="auto"/>
              <w:bottom w:val="single" w:sz="4" w:space="0" w:color="auto"/>
              <w:right w:val="single" w:sz="4" w:space="0" w:color="auto"/>
            </w:tcBorders>
            <w:shd w:val="clear" w:color="auto" w:fill="auto"/>
            <w:noWrap/>
            <w:vAlign w:val="center"/>
          </w:tcPr>
          <w:p w14:paraId="1228B817" w14:textId="6601A342" w:rsidR="0041725B" w:rsidRPr="0041725B" w:rsidRDefault="006D704A" w:rsidP="0041725B">
            <w:pPr>
              <w:spacing w:after="0" w:line="240" w:lineRule="auto"/>
              <w:jc w:val="center"/>
              <w:rPr>
                <w:rFonts w:ascii="Times New Roman" w:eastAsia="Times New Roman" w:hAnsi="Times New Roman" w:cs="Times New Roman"/>
                <w:color w:val="000000"/>
                <w:sz w:val="22"/>
                <w:szCs w:val="22"/>
              </w:rPr>
            </w:pPr>
            <w:r>
              <w:rPr>
                <w:rFonts w:ascii="Times New Roman" w:hAnsi="Times New Roman" w:cs="Times New Roman"/>
                <w:sz w:val="22"/>
                <w:szCs w:val="22"/>
              </w:rPr>
              <w:t>44.83</w:t>
            </w:r>
            <w:r w:rsidR="0041725B" w:rsidRPr="0041725B">
              <w:rPr>
                <w:rFonts w:ascii="Times New Roman" w:hAnsi="Times New Roman" w:cs="Times New Roman"/>
                <w:sz w:val="22"/>
                <w:szCs w:val="22"/>
              </w:rPr>
              <w:t>%</w:t>
            </w:r>
          </w:p>
        </w:tc>
        <w:tc>
          <w:tcPr>
            <w:tcW w:w="1188" w:type="dxa"/>
            <w:tcBorders>
              <w:top w:val="dashed" w:sz="4" w:space="0" w:color="auto"/>
              <w:left w:val="nil"/>
              <w:bottom w:val="single" w:sz="4" w:space="0" w:color="auto"/>
              <w:right w:val="single" w:sz="4" w:space="0" w:color="auto"/>
            </w:tcBorders>
            <w:shd w:val="clear" w:color="auto" w:fill="auto"/>
            <w:noWrap/>
            <w:vAlign w:val="center"/>
          </w:tcPr>
          <w:p w14:paraId="3F2B0879" w14:textId="35D61C31"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70</w:t>
            </w:r>
            <w:r w:rsidR="006D704A">
              <w:rPr>
                <w:rFonts w:ascii="Times New Roman" w:hAnsi="Times New Roman" w:cs="Times New Roman"/>
                <w:sz w:val="22"/>
                <w:szCs w:val="22"/>
              </w:rPr>
              <w:t>.43</w:t>
            </w:r>
            <w:r w:rsidRPr="0041725B">
              <w:rPr>
                <w:rFonts w:ascii="Times New Roman" w:hAnsi="Times New Roman" w:cs="Times New Roman"/>
                <w:sz w:val="22"/>
                <w:szCs w:val="22"/>
              </w:rPr>
              <w:t>%</w:t>
            </w:r>
          </w:p>
        </w:tc>
        <w:tc>
          <w:tcPr>
            <w:tcW w:w="1260" w:type="dxa"/>
            <w:tcBorders>
              <w:top w:val="dashed" w:sz="4" w:space="0" w:color="auto"/>
              <w:left w:val="nil"/>
              <w:bottom w:val="single" w:sz="4" w:space="0" w:color="auto"/>
              <w:right w:val="single" w:sz="4" w:space="0" w:color="auto"/>
            </w:tcBorders>
            <w:shd w:val="clear" w:color="auto" w:fill="auto"/>
            <w:noWrap/>
            <w:vAlign w:val="center"/>
          </w:tcPr>
          <w:p w14:paraId="70F0D3AF" w14:textId="16CF77D4" w:rsidR="0041725B" w:rsidRPr="0041725B" w:rsidRDefault="0041725B" w:rsidP="006D704A">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6</w:t>
            </w:r>
            <w:r w:rsidR="006D704A">
              <w:rPr>
                <w:rFonts w:ascii="Times New Roman" w:hAnsi="Times New Roman" w:cs="Times New Roman"/>
                <w:sz w:val="22"/>
                <w:szCs w:val="22"/>
              </w:rPr>
              <w:t>2.85</w:t>
            </w:r>
            <w:r w:rsidRPr="0041725B">
              <w:rPr>
                <w:rFonts w:ascii="Times New Roman" w:hAnsi="Times New Roman" w:cs="Times New Roman"/>
                <w:sz w:val="22"/>
                <w:szCs w:val="22"/>
              </w:rPr>
              <w:t>%</w:t>
            </w:r>
          </w:p>
        </w:tc>
        <w:tc>
          <w:tcPr>
            <w:tcW w:w="1350" w:type="dxa"/>
            <w:tcBorders>
              <w:top w:val="dashed" w:sz="4" w:space="0" w:color="auto"/>
              <w:left w:val="nil"/>
              <w:bottom w:val="single" w:sz="4" w:space="0" w:color="auto"/>
              <w:right w:val="double" w:sz="4" w:space="0" w:color="auto"/>
            </w:tcBorders>
            <w:shd w:val="clear" w:color="auto" w:fill="auto"/>
            <w:noWrap/>
            <w:vAlign w:val="center"/>
          </w:tcPr>
          <w:p w14:paraId="61F5D696" w14:textId="6899388D"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69%</w:t>
            </w:r>
          </w:p>
        </w:tc>
      </w:tr>
      <w:tr w:rsidR="00AC0135" w:rsidRPr="003A2898" w14:paraId="33B27DE5" w14:textId="77777777" w:rsidTr="004054D4">
        <w:trPr>
          <w:trHeight w:val="575"/>
        </w:trPr>
        <w:tc>
          <w:tcPr>
            <w:tcW w:w="480" w:type="dxa"/>
            <w:tcBorders>
              <w:top w:val="nil"/>
              <w:right w:val="double" w:sz="4" w:space="0" w:color="auto"/>
            </w:tcBorders>
            <w:shd w:val="clear" w:color="auto" w:fill="auto"/>
            <w:noWrap/>
            <w:vAlign w:val="bottom"/>
            <w:hideMark/>
          </w:tcPr>
          <w:p w14:paraId="48E892DC" w14:textId="77777777" w:rsidR="00AC0135" w:rsidRPr="003A2898" w:rsidRDefault="00AC0135" w:rsidP="00AC0135">
            <w:pPr>
              <w:spacing w:after="0" w:line="240" w:lineRule="auto"/>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 </w:t>
            </w:r>
          </w:p>
        </w:tc>
        <w:tc>
          <w:tcPr>
            <w:tcW w:w="2840" w:type="dxa"/>
            <w:vMerge w:val="restart"/>
            <w:tcBorders>
              <w:top w:val="nil"/>
              <w:left w:val="double" w:sz="4" w:space="0" w:color="auto"/>
              <w:bottom w:val="single" w:sz="8" w:space="0" w:color="000000"/>
              <w:right w:val="single" w:sz="12" w:space="0" w:color="auto"/>
            </w:tcBorders>
            <w:shd w:val="clear" w:color="000000" w:fill="E2EFDA"/>
            <w:vAlign w:val="center"/>
            <w:hideMark/>
          </w:tcPr>
          <w:p w14:paraId="1D56E5CE" w14:textId="2F7EE729" w:rsidR="00AC0135" w:rsidRPr="003A2898" w:rsidRDefault="00AC0135" w:rsidP="00AC0135">
            <w:pPr>
              <w:spacing w:after="0" w:line="240" w:lineRule="auto"/>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 xml:space="preserve">Blocks With </w:t>
            </w:r>
            <w:r w:rsidRPr="00FD7A51">
              <w:rPr>
                <w:rFonts w:ascii="Times New Roman" w:eastAsia="Times New Roman" w:hAnsi="Times New Roman" w:cs="Times New Roman"/>
                <w:i/>
                <w:iCs/>
                <w:color w:val="000000"/>
                <w:sz w:val="22"/>
                <w:szCs w:val="22"/>
              </w:rPr>
              <w:t>100%  LTE COVERAGE,</w:t>
            </w:r>
            <w:r w:rsidRPr="00FD7A51">
              <w:rPr>
                <w:rFonts w:ascii="Times New Roman" w:eastAsia="Times New Roman" w:hAnsi="Times New Roman" w:cs="Times New Roman"/>
                <w:color w:val="000000"/>
                <w:sz w:val="22"/>
                <w:szCs w:val="22"/>
              </w:rPr>
              <w:t xml:space="preserve"> </w:t>
            </w:r>
            <w:r w:rsidRPr="00FD7A51">
              <w:rPr>
                <w:rFonts w:ascii="Times New Roman" w:eastAsia="Times New Roman" w:hAnsi="Times New Roman" w:cs="Times New Roman"/>
                <w:i/>
                <w:iCs/>
                <w:color w:val="000000"/>
                <w:sz w:val="22"/>
                <w:szCs w:val="22"/>
              </w:rPr>
              <w:t xml:space="preserve">BUT </w:t>
            </w:r>
            <w:r>
              <w:rPr>
                <w:rFonts w:ascii="Times New Roman" w:eastAsia="Times New Roman" w:hAnsi="Times New Roman" w:cs="Times New Roman"/>
                <w:i/>
                <w:iCs/>
                <w:color w:val="000000"/>
                <w:sz w:val="22"/>
                <w:szCs w:val="22"/>
              </w:rPr>
              <w:t>WITH</w:t>
            </w:r>
            <w:r w:rsidRPr="003A2898">
              <w:rPr>
                <w:rFonts w:ascii="Times New Roman" w:eastAsia="Times New Roman" w:hAnsi="Times New Roman" w:cs="Times New Roman"/>
                <w:i/>
                <w:iCs/>
                <w:color w:val="000000"/>
                <w:sz w:val="22"/>
                <w:szCs w:val="22"/>
              </w:rPr>
              <w:t xml:space="preserve"> </w:t>
            </w:r>
            <w:r>
              <w:rPr>
                <w:rFonts w:ascii="Times New Roman" w:eastAsia="Times New Roman" w:hAnsi="Times New Roman" w:cs="Times New Roman"/>
                <w:i/>
                <w:iCs/>
                <w:color w:val="000000"/>
                <w:sz w:val="22"/>
                <w:szCs w:val="22"/>
              </w:rPr>
              <w:t>AT LEAST ONE</w:t>
            </w:r>
            <w:r w:rsidR="009B0FBB">
              <w:rPr>
                <w:rFonts w:ascii="Times New Roman" w:eastAsia="Times New Roman" w:hAnsi="Times New Roman" w:cs="Times New Roman"/>
                <w:i/>
                <w:iCs/>
                <w:color w:val="000000"/>
                <w:sz w:val="22"/>
                <w:szCs w:val="22"/>
              </w:rPr>
              <w:t xml:space="preserve"> </w:t>
            </w:r>
            <w:r w:rsidRPr="00FD7A51">
              <w:rPr>
                <w:rFonts w:ascii="Times New Roman" w:eastAsia="Times New Roman" w:hAnsi="Times New Roman" w:cs="Times New Roman"/>
                <w:i/>
                <w:iCs/>
                <w:color w:val="000000"/>
                <w:sz w:val="22"/>
                <w:szCs w:val="22"/>
              </w:rPr>
              <w:t>SUBSIDIZED</w:t>
            </w:r>
            <w:r>
              <w:rPr>
                <w:rFonts w:ascii="Times New Roman" w:eastAsia="Times New Roman" w:hAnsi="Times New Roman" w:cs="Times New Roman"/>
                <w:i/>
                <w:iCs/>
                <w:color w:val="000000"/>
                <w:sz w:val="22"/>
                <w:szCs w:val="22"/>
              </w:rPr>
              <w:t xml:space="preserve"> LTE PROVIDER</w:t>
            </w:r>
          </w:p>
        </w:tc>
        <w:tc>
          <w:tcPr>
            <w:tcW w:w="1260"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29BAC82F" w14:textId="591B66B1" w:rsidR="00AC0135" w:rsidRPr="0041725B" w:rsidRDefault="00AC0135" w:rsidP="00AC0135">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175,276</w:t>
            </w:r>
          </w:p>
        </w:tc>
        <w:tc>
          <w:tcPr>
            <w:tcW w:w="810" w:type="dxa"/>
            <w:tcBorders>
              <w:top w:val="single" w:sz="4" w:space="0" w:color="auto"/>
              <w:left w:val="nil"/>
              <w:bottom w:val="dashed" w:sz="4" w:space="0" w:color="auto"/>
              <w:right w:val="single" w:sz="4" w:space="0" w:color="auto"/>
            </w:tcBorders>
            <w:shd w:val="clear" w:color="auto" w:fill="auto"/>
            <w:noWrap/>
            <w:vAlign w:val="center"/>
          </w:tcPr>
          <w:p w14:paraId="7D9E7D53" w14:textId="0B3F7C9B" w:rsidR="00AC0135" w:rsidRPr="0041725B" w:rsidRDefault="00AC0135" w:rsidP="00AC0135">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61</w:t>
            </w:r>
          </w:p>
        </w:tc>
        <w:tc>
          <w:tcPr>
            <w:tcW w:w="1170" w:type="dxa"/>
            <w:tcBorders>
              <w:top w:val="single" w:sz="4" w:space="0" w:color="auto"/>
              <w:left w:val="nil"/>
              <w:bottom w:val="dashed" w:sz="4" w:space="0" w:color="auto"/>
              <w:right w:val="single" w:sz="4" w:space="0" w:color="auto"/>
            </w:tcBorders>
            <w:shd w:val="clear" w:color="auto" w:fill="auto"/>
            <w:noWrap/>
            <w:vAlign w:val="center"/>
          </w:tcPr>
          <w:p w14:paraId="443AD994" w14:textId="1D9BF3CB" w:rsidR="00AC0135" w:rsidRPr="0041725B" w:rsidRDefault="00AC0135" w:rsidP="00AC0135">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41,840</w:t>
            </w:r>
          </w:p>
        </w:tc>
        <w:tc>
          <w:tcPr>
            <w:tcW w:w="1170" w:type="dxa"/>
            <w:tcBorders>
              <w:top w:val="single" w:sz="4" w:space="0" w:color="auto"/>
              <w:left w:val="nil"/>
              <w:bottom w:val="dashed" w:sz="4" w:space="0" w:color="auto"/>
              <w:right w:val="single" w:sz="4" w:space="0" w:color="auto"/>
            </w:tcBorders>
            <w:shd w:val="clear" w:color="auto" w:fill="auto"/>
            <w:noWrap/>
            <w:vAlign w:val="center"/>
          </w:tcPr>
          <w:p w14:paraId="20B9E97F" w14:textId="02E4700B" w:rsidR="00AC0135" w:rsidRPr="0041725B" w:rsidRDefault="00AC0135" w:rsidP="00AC0135">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111,755</w:t>
            </w:r>
          </w:p>
        </w:tc>
        <w:tc>
          <w:tcPr>
            <w:tcW w:w="1350" w:type="dxa"/>
            <w:tcBorders>
              <w:top w:val="single" w:sz="4" w:space="0" w:color="auto"/>
              <w:left w:val="nil"/>
              <w:bottom w:val="dashed" w:sz="4" w:space="0" w:color="auto"/>
              <w:right w:val="single" w:sz="12" w:space="0" w:color="auto"/>
            </w:tcBorders>
            <w:shd w:val="clear" w:color="auto" w:fill="auto"/>
            <w:noWrap/>
            <w:vAlign w:val="center"/>
          </w:tcPr>
          <w:p w14:paraId="173F61BD" w14:textId="10AAF971" w:rsidR="00AC0135" w:rsidRPr="0041725B" w:rsidRDefault="00AC0135" w:rsidP="00AC0135">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2,561,075</w:t>
            </w:r>
          </w:p>
        </w:tc>
        <w:tc>
          <w:tcPr>
            <w:tcW w:w="1422"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759556C4" w14:textId="07C918F2" w:rsidR="00AC0135" w:rsidRPr="0041725B" w:rsidRDefault="00AC0135" w:rsidP="00AC0135">
            <w:pPr>
              <w:spacing w:after="0" w:line="240" w:lineRule="auto"/>
              <w:jc w:val="center"/>
              <w:rPr>
                <w:rFonts w:ascii="Times New Roman" w:eastAsia="Times New Roman" w:hAnsi="Times New Roman" w:cs="Times New Roman"/>
                <w:color w:val="000000"/>
                <w:sz w:val="22"/>
                <w:szCs w:val="22"/>
              </w:rPr>
            </w:pPr>
            <w:r>
              <w:rPr>
                <w:rFonts w:ascii="Times New Roman" w:hAnsi="Times New Roman" w:cs="Times New Roman"/>
                <w:sz w:val="22"/>
                <w:szCs w:val="22"/>
              </w:rPr>
              <w:t>4,032</w:t>
            </w:r>
          </w:p>
        </w:tc>
        <w:tc>
          <w:tcPr>
            <w:tcW w:w="1188" w:type="dxa"/>
            <w:tcBorders>
              <w:top w:val="single" w:sz="4" w:space="0" w:color="auto"/>
              <w:left w:val="nil"/>
              <w:bottom w:val="dashed" w:sz="4" w:space="0" w:color="auto"/>
              <w:right w:val="single" w:sz="4" w:space="0" w:color="auto"/>
            </w:tcBorders>
            <w:shd w:val="clear" w:color="auto" w:fill="auto"/>
            <w:noWrap/>
            <w:vAlign w:val="center"/>
          </w:tcPr>
          <w:p w14:paraId="7D2E8580" w14:textId="09BFC0A3" w:rsidR="00AC0135" w:rsidRPr="0041725B" w:rsidRDefault="00AC0135" w:rsidP="00AC0135">
            <w:pPr>
              <w:spacing w:after="0" w:line="240" w:lineRule="auto"/>
              <w:jc w:val="center"/>
              <w:rPr>
                <w:rFonts w:ascii="Times New Roman" w:eastAsia="Times New Roman" w:hAnsi="Times New Roman" w:cs="Times New Roman"/>
                <w:color w:val="000000"/>
                <w:sz w:val="22"/>
                <w:szCs w:val="22"/>
              </w:rPr>
            </w:pPr>
          </w:p>
        </w:tc>
        <w:tc>
          <w:tcPr>
            <w:tcW w:w="1260" w:type="dxa"/>
            <w:tcBorders>
              <w:top w:val="single" w:sz="4" w:space="0" w:color="auto"/>
              <w:left w:val="nil"/>
              <w:bottom w:val="dashed" w:sz="4" w:space="0" w:color="auto"/>
              <w:right w:val="single" w:sz="4" w:space="0" w:color="auto"/>
            </w:tcBorders>
            <w:shd w:val="clear" w:color="auto" w:fill="auto"/>
            <w:noWrap/>
            <w:vAlign w:val="center"/>
          </w:tcPr>
          <w:p w14:paraId="7CC479B4" w14:textId="1201E66A" w:rsidR="00AC0135" w:rsidRPr="0041725B" w:rsidRDefault="00AC0135" w:rsidP="00AC0135">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2,171</w:t>
            </w:r>
          </w:p>
        </w:tc>
        <w:tc>
          <w:tcPr>
            <w:tcW w:w="1350" w:type="dxa"/>
            <w:tcBorders>
              <w:top w:val="single" w:sz="4" w:space="0" w:color="auto"/>
              <w:left w:val="nil"/>
              <w:bottom w:val="dashed" w:sz="4" w:space="0" w:color="auto"/>
              <w:right w:val="double" w:sz="4" w:space="0" w:color="auto"/>
            </w:tcBorders>
            <w:shd w:val="clear" w:color="auto" w:fill="auto"/>
            <w:noWrap/>
            <w:vAlign w:val="center"/>
          </w:tcPr>
          <w:p w14:paraId="187DF87C" w14:textId="054D5FDF" w:rsidR="00AC0135" w:rsidRPr="0041725B" w:rsidRDefault="00AC0135" w:rsidP="00AC0135">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2,171</w:t>
            </w:r>
          </w:p>
        </w:tc>
      </w:tr>
      <w:tr w:rsidR="0041725B" w:rsidRPr="003A2898" w14:paraId="24EC79ED" w14:textId="77777777" w:rsidTr="004054D4">
        <w:trPr>
          <w:trHeight w:val="315"/>
        </w:trPr>
        <w:tc>
          <w:tcPr>
            <w:tcW w:w="480" w:type="dxa"/>
            <w:tcBorders>
              <w:top w:val="nil"/>
              <w:right w:val="double" w:sz="4" w:space="0" w:color="auto"/>
            </w:tcBorders>
            <w:shd w:val="clear" w:color="auto" w:fill="auto"/>
            <w:vAlign w:val="center"/>
            <w:hideMark/>
          </w:tcPr>
          <w:p w14:paraId="619493A7" w14:textId="77777777" w:rsidR="0041725B" w:rsidRPr="003A2898" w:rsidRDefault="0041725B" w:rsidP="0041725B">
            <w:pPr>
              <w:spacing w:after="0" w:line="240" w:lineRule="auto"/>
              <w:rPr>
                <w:rFonts w:ascii="Times New Roman" w:eastAsia="Times New Roman" w:hAnsi="Times New Roman" w:cs="Times New Roman"/>
                <w:color w:val="000000"/>
                <w:sz w:val="22"/>
                <w:szCs w:val="22"/>
              </w:rPr>
            </w:pPr>
            <w:r w:rsidRPr="003A2898">
              <w:rPr>
                <w:rFonts w:ascii="Times New Roman" w:eastAsia="Times New Roman" w:hAnsi="Times New Roman" w:cs="Times New Roman"/>
                <w:color w:val="000000"/>
                <w:sz w:val="22"/>
                <w:szCs w:val="22"/>
              </w:rPr>
              <w:t> </w:t>
            </w:r>
          </w:p>
        </w:tc>
        <w:tc>
          <w:tcPr>
            <w:tcW w:w="2840" w:type="dxa"/>
            <w:vMerge/>
            <w:tcBorders>
              <w:top w:val="nil"/>
              <w:left w:val="double" w:sz="4" w:space="0" w:color="auto"/>
              <w:bottom w:val="double" w:sz="4" w:space="0" w:color="auto"/>
              <w:right w:val="single" w:sz="12" w:space="0" w:color="auto"/>
            </w:tcBorders>
            <w:vAlign w:val="center"/>
            <w:hideMark/>
          </w:tcPr>
          <w:p w14:paraId="1BF1693A" w14:textId="77777777" w:rsidR="0041725B" w:rsidRPr="003A2898" w:rsidRDefault="0041725B" w:rsidP="0041725B">
            <w:pPr>
              <w:spacing w:after="0" w:line="240" w:lineRule="auto"/>
              <w:rPr>
                <w:rFonts w:ascii="Times New Roman" w:eastAsia="Times New Roman" w:hAnsi="Times New Roman" w:cs="Times New Roman"/>
                <w:color w:val="000000"/>
                <w:sz w:val="22"/>
                <w:szCs w:val="22"/>
              </w:rPr>
            </w:pPr>
          </w:p>
        </w:tc>
        <w:tc>
          <w:tcPr>
            <w:tcW w:w="1260" w:type="dxa"/>
            <w:tcBorders>
              <w:top w:val="dashed" w:sz="4" w:space="0" w:color="auto"/>
              <w:left w:val="single" w:sz="12" w:space="0" w:color="auto"/>
              <w:bottom w:val="double" w:sz="4" w:space="0" w:color="auto"/>
              <w:right w:val="single" w:sz="4" w:space="0" w:color="auto"/>
            </w:tcBorders>
            <w:shd w:val="clear" w:color="auto" w:fill="auto"/>
            <w:noWrap/>
            <w:vAlign w:val="center"/>
          </w:tcPr>
          <w:p w14:paraId="175E9DB4" w14:textId="0463AD08"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48.74%</w:t>
            </w:r>
          </w:p>
        </w:tc>
        <w:tc>
          <w:tcPr>
            <w:tcW w:w="810" w:type="dxa"/>
            <w:tcBorders>
              <w:top w:val="dashed" w:sz="4" w:space="0" w:color="auto"/>
              <w:left w:val="single" w:sz="4" w:space="0" w:color="auto"/>
              <w:bottom w:val="double" w:sz="4" w:space="0" w:color="auto"/>
              <w:right w:val="single" w:sz="4" w:space="0" w:color="auto"/>
            </w:tcBorders>
            <w:shd w:val="clear" w:color="auto" w:fill="auto"/>
            <w:noWrap/>
            <w:vAlign w:val="center"/>
          </w:tcPr>
          <w:p w14:paraId="23D4CEBF" w14:textId="737881CD"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p>
        </w:tc>
        <w:tc>
          <w:tcPr>
            <w:tcW w:w="1170" w:type="dxa"/>
            <w:tcBorders>
              <w:top w:val="dashed" w:sz="4" w:space="0" w:color="auto"/>
              <w:left w:val="nil"/>
              <w:bottom w:val="double" w:sz="4" w:space="0" w:color="auto"/>
              <w:right w:val="single" w:sz="4" w:space="0" w:color="auto"/>
            </w:tcBorders>
            <w:shd w:val="clear" w:color="auto" w:fill="auto"/>
            <w:noWrap/>
            <w:vAlign w:val="center"/>
          </w:tcPr>
          <w:p w14:paraId="360C2C63" w14:textId="7EF1B62A"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25.52%</w:t>
            </w:r>
          </w:p>
        </w:tc>
        <w:tc>
          <w:tcPr>
            <w:tcW w:w="1170" w:type="dxa"/>
            <w:tcBorders>
              <w:top w:val="dashed" w:sz="4" w:space="0" w:color="auto"/>
              <w:left w:val="nil"/>
              <w:bottom w:val="double" w:sz="4" w:space="0" w:color="auto"/>
              <w:right w:val="single" w:sz="4" w:space="0" w:color="auto"/>
            </w:tcBorders>
            <w:shd w:val="clear" w:color="auto" w:fill="auto"/>
            <w:noWrap/>
            <w:vAlign w:val="center"/>
          </w:tcPr>
          <w:p w14:paraId="0C0F91E2" w14:textId="19E6542F"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36.87%</w:t>
            </w:r>
          </w:p>
        </w:tc>
        <w:tc>
          <w:tcPr>
            <w:tcW w:w="1350" w:type="dxa"/>
            <w:tcBorders>
              <w:top w:val="dashed" w:sz="4" w:space="0" w:color="auto"/>
              <w:left w:val="single" w:sz="4" w:space="0" w:color="auto"/>
              <w:bottom w:val="double" w:sz="4" w:space="0" w:color="auto"/>
              <w:right w:val="single" w:sz="12" w:space="0" w:color="auto"/>
            </w:tcBorders>
            <w:shd w:val="clear" w:color="auto" w:fill="auto"/>
            <w:noWrap/>
            <w:vAlign w:val="center"/>
          </w:tcPr>
          <w:p w14:paraId="4C5C3C41" w14:textId="34384A58"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71.48%</w:t>
            </w:r>
          </w:p>
        </w:tc>
        <w:tc>
          <w:tcPr>
            <w:tcW w:w="1422" w:type="dxa"/>
            <w:tcBorders>
              <w:top w:val="dashed" w:sz="4" w:space="0" w:color="auto"/>
              <w:left w:val="single" w:sz="12" w:space="0" w:color="auto"/>
              <w:bottom w:val="double" w:sz="4" w:space="0" w:color="auto"/>
              <w:right w:val="single" w:sz="4" w:space="0" w:color="auto"/>
            </w:tcBorders>
            <w:shd w:val="clear" w:color="auto" w:fill="auto"/>
            <w:noWrap/>
            <w:vAlign w:val="center"/>
          </w:tcPr>
          <w:p w14:paraId="09806973" w14:textId="3CA101A6" w:rsidR="0041725B" w:rsidRPr="0041725B" w:rsidRDefault="006D704A" w:rsidP="0041725B">
            <w:pPr>
              <w:spacing w:after="0" w:line="240" w:lineRule="auto"/>
              <w:jc w:val="center"/>
              <w:rPr>
                <w:rFonts w:ascii="Times New Roman" w:eastAsia="Times New Roman" w:hAnsi="Times New Roman" w:cs="Times New Roman"/>
                <w:color w:val="000000"/>
                <w:sz w:val="22"/>
                <w:szCs w:val="22"/>
              </w:rPr>
            </w:pPr>
            <w:r>
              <w:rPr>
                <w:rFonts w:ascii="Times New Roman" w:hAnsi="Times New Roman" w:cs="Times New Roman"/>
                <w:sz w:val="22"/>
                <w:szCs w:val="22"/>
              </w:rPr>
              <w:t>4.90</w:t>
            </w:r>
            <w:r w:rsidR="0041725B" w:rsidRPr="0041725B">
              <w:rPr>
                <w:rFonts w:ascii="Times New Roman" w:hAnsi="Times New Roman" w:cs="Times New Roman"/>
                <w:sz w:val="22"/>
                <w:szCs w:val="22"/>
              </w:rPr>
              <w:t>%</w:t>
            </w:r>
          </w:p>
        </w:tc>
        <w:tc>
          <w:tcPr>
            <w:tcW w:w="1188" w:type="dxa"/>
            <w:tcBorders>
              <w:top w:val="dashed" w:sz="4" w:space="0" w:color="auto"/>
              <w:left w:val="nil"/>
              <w:bottom w:val="double" w:sz="4" w:space="0" w:color="auto"/>
              <w:right w:val="single" w:sz="4" w:space="0" w:color="auto"/>
            </w:tcBorders>
            <w:shd w:val="clear" w:color="auto" w:fill="auto"/>
            <w:noWrap/>
            <w:vAlign w:val="center"/>
          </w:tcPr>
          <w:p w14:paraId="1E5A2078" w14:textId="19367BFB"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p>
        </w:tc>
        <w:tc>
          <w:tcPr>
            <w:tcW w:w="1260" w:type="dxa"/>
            <w:tcBorders>
              <w:top w:val="dashed" w:sz="4" w:space="0" w:color="auto"/>
              <w:left w:val="nil"/>
              <w:bottom w:val="double" w:sz="4" w:space="0" w:color="auto"/>
              <w:right w:val="single" w:sz="4" w:space="0" w:color="auto"/>
            </w:tcBorders>
            <w:shd w:val="clear" w:color="auto" w:fill="auto"/>
            <w:noWrap/>
            <w:vAlign w:val="center"/>
          </w:tcPr>
          <w:p w14:paraId="029C5E36" w14:textId="3034BE48"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37</w:t>
            </w:r>
            <w:r w:rsidR="006D704A">
              <w:rPr>
                <w:rFonts w:ascii="Times New Roman" w:hAnsi="Times New Roman" w:cs="Times New Roman"/>
                <w:sz w:val="22"/>
                <w:szCs w:val="22"/>
              </w:rPr>
              <w:t>.15</w:t>
            </w:r>
            <w:r w:rsidRPr="0041725B">
              <w:rPr>
                <w:rFonts w:ascii="Times New Roman" w:hAnsi="Times New Roman" w:cs="Times New Roman"/>
                <w:sz w:val="22"/>
                <w:szCs w:val="22"/>
              </w:rPr>
              <w:t>%</w:t>
            </w:r>
          </w:p>
        </w:tc>
        <w:tc>
          <w:tcPr>
            <w:tcW w:w="1350" w:type="dxa"/>
            <w:tcBorders>
              <w:top w:val="dashed" w:sz="4" w:space="0" w:color="auto"/>
              <w:left w:val="single" w:sz="4" w:space="0" w:color="auto"/>
              <w:bottom w:val="double" w:sz="4" w:space="0" w:color="auto"/>
              <w:right w:val="double" w:sz="4" w:space="0" w:color="auto"/>
            </w:tcBorders>
            <w:shd w:val="clear" w:color="auto" w:fill="auto"/>
            <w:noWrap/>
            <w:vAlign w:val="center"/>
          </w:tcPr>
          <w:p w14:paraId="43D6DD16" w14:textId="6683BD0E" w:rsidR="0041725B" w:rsidRPr="0041725B" w:rsidRDefault="0041725B" w:rsidP="0041725B">
            <w:pPr>
              <w:spacing w:after="0" w:line="240" w:lineRule="auto"/>
              <w:jc w:val="center"/>
              <w:rPr>
                <w:rFonts w:ascii="Times New Roman" w:eastAsia="Times New Roman" w:hAnsi="Times New Roman" w:cs="Times New Roman"/>
                <w:color w:val="000000"/>
                <w:sz w:val="22"/>
                <w:szCs w:val="22"/>
              </w:rPr>
            </w:pPr>
            <w:r w:rsidRPr="0041725B">
              <w:rPr>
                <w:rFonts w:ascii="Times New Roman" w:hAnsi="Times New Roman" w:cs="Times New Roman"/>
                <w:sz w:val="22"/>
                <w:szCs w:val="22"/>
              </w:rPr>
              <w:t>5%</w:t>
            </w:r>
          </w:p>
        </w:tc>
      </w:tr>
    </w:tbl>
    <w:p w14:paraId="5B03D1F1" w14:textId="5EF3BA95" w:rsidR="00156B8B" w:rsidRPr="00744C36" w:rsidRDefault="0025717A" w:rsidP="00744C36">
      <w:pPr>
        <w:spacing w:after="0" w:line="240" w:lineRule="auto"/>
        <w:ind w:right="-86"/>
        <w:rPr>
          <w:rFonts w:ascii="Times New Roman" w:hAnsi="Times New Roman" w:cs="Times New Roman"/>
          <w:sz w:val="22"/>
          <w:szCs w:val="22"/>
        </w:rPr>
      </w:pPr>
      <w:r w:rsidRPr="009D6679">
        <w:rPr>
          <w:rFonts w:ascii="Times New Roman" w:hAnsi="Times New Roman" w:cs="Times New Roman"/>
          <w:sz w:val="22"/>
          <w:szCs w:val="22"/>
        </w:rPr>
        <w:t>Note: Based on Form 477 December 2015 coverage data. 2010 Census data on population and road</w:t>
      </w:r>
      <w:r w:rsidR="007F13A4">
        <w:rPr>
          <w:rFonts w:ascii="Times New Roman" w:hAnsi="Times New Roman" w:cs="Times New Roman"/>
          <w:sz w:val="22"/>
          <w:szCs w:val="22"/>
        </w:rPr>
        <w:t xml:space="preserve"> </w:t>
      </w:r>
      <w:r w:rsidRPr="009D6679">
        <w:rPr>
          <w:rFonts w:ascii="Times New Roman" w:hAnsi="Times New Roman" w:cs="Times New Roman"/>
          <w:sz w:val="22"/>
          <w:szCs w:val="22"/>
        </w:rPr>
        <w:t xml:space="preserve">miles. </w:t>
      </w:r>
      <w:r>
        <w:rPr>
          <w:rFonts w:ascii="Times New Roman" w:hAnsi="Times New Roman" w:cs="Times New Roman"/>
          <w:sz w:val="22"/>
          <w:szCs w:val="22"/>
        </w:rPr>
        <w:t xml:space="preserve">Subsidy data is from USAC’s December 2015 High-cost database and </w:t>
      </w:r>
      <w:r w:rsidR="00B524E8">
        <w:rPr>
          <w:rFonts w:ascii="Times New Roman" w:hAnsi="Times New Roman" w:cs="Times New Roman"/>
          <w:sz w:val="22"/>
          <w:szCs w:val="22"/>
        </w:rPr>
        <w:t>MF-I</w:t>
      </w:r>
      <w:r>
        <w:rPr>
          <w:rFonts w:ascii="Times New Roman" w:hAnsi="Times New Roman" w:cs="Times New Roman"/>
          <w:sz w:val="22"/>
          <w:szCs w:val="22"/>
        </w:rPr>
        <w:t xml:space="preserve"> auction data. Tribal b</w:t>
      </w:r>
      <w:r w:rsidRPr="009D6679">
        <w:rPr>
          <w:rFonts w:ascii="Times New Roman" w:hAnsi="Times New Roman" w:cs="Times New Roman"/>
          <w:sz w:val="22"/>
          <w:szCs w:val="22"/>
        </w:rPr>
        <w:t xml:space="preserve">locks exclude Alaska and </w:t>
      </w:r>
      <w:r w:rsidR="00904BE8">
        <w:rPr>
          <w:rFonts w:ascii="Times New Roman" w:hAnsi="Times New Roman" w:cs="Times New Roman"/>
          <w:sz w:val="22"/>
          <w:szCs w:val="22"/>
        </w:rPr>
        <w:t>water-</w:t>
      </w:r>
      <w:r w:rsidR="00904BE8" w:rsidRPr="00E4790D">
        <w:rPr>
          <w:rFonts w:ascii="Times New Roman" w:hAnsi="Times New Roman" w:cs="Times New Roman"/>
          <w:sz w:val="22"/>
          <w:szCs w:val="22"/>
        </w:rPr>
        <w:t xml:space="preserve">only </w:t>
      </w:r>
      <w:r w:rsidRPr="009D6679">
        <w:rPr>
          <w:rFonts w:ascii="Times New Roman" w:hAnsi="Times New Roman" w:cs="Times New Roman"/>
          <w:sz w:val="22"/>
          <w:szCs w:val="22"/>
        </w:rPr>
        <w:t>blocks. 100% service is actually calculated as 99.9% service to tak</w:t>
      </w:r>
      <w:r w:rsidR="00744C36">
        <w:rPr>
          <w:rFonts w:ascii="Times New Roman" w:hAnsi="Times New Roman" w:cs="Times New Roman"/>
          <w:sz w:val="22"/>
          <w:szCs w:val="22"/>
        </w:rPr>
        <w:t xml:space="preserve">e coverage bleed into account. </w:t>
      </w:r>
    </w:p>
    <w:p w14:paraId="676F9EA9" w14:textId="77777777" w:rsidR="00A725D2" w:rsidRDefault="00A725D2">
      <w:pPr>
        <w:spacing w:after="200" w:line="276"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3DEF25F6" w14:textId="7AB9A292" w:rsidR="0041725B" w:rsidRPr="00C374CC" w:rsidRDefault="0041725B" w:rsidP="00744C36">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Table </w:t>
      </w:r>
      <w:r w:rsidR="00FA1C5D">
        <w:rPr>
          <w:rFonts w:ascii="Times New Roman" w:hAnsi="Times New Roman" w:cs="Times New Roman"/>
          <w:b/>
          <w:sz w:val="24"/>
          <w:szCs w:val="24"/>
          <w:u w:val="single"/>
        </w:rPr>
        <w:t>4</w:t>
      </w:r>
      <w:r w:rsidR="00156B8B">
        <w:rPr>
          <w:rFonts w:ascii="Times New Roman" w:hAnsi="Times New Roman" w:cs="Times New Roman"/>
          <w:b/>
          <w:sz w:val="24"/>
          <w:szCs w:val="24"/>
          <w:u w:val="single"/>
        </w:rPr>
        <w:t>-i</w:t>
      </w:r>
      <w:r w:rsidR="008B6FC0">
        <w:rPr>
          <w:rFonts w:ascii="Times New Roman" w:hAnsi="Times New Roman" w:cs="Times New Roman"/>
          <w:b/>
          <w:sz w:val="24"/>
          <w:szCs w:val="24"/>
          <w:u w:val="single"/>
        </w:rPr>
        <w:t>i</w:t>
      </w:r>
    </w:p>
    <w:p w14:paraId="7EE26864" w14:textId="0FE3776E" w:rsidR="004054D4" w:rsidRPr="003A2898" w:rsidRDefault="0041725B" w:rsidP="00744C36">
      <w:pPr>
        <w:spacing w:after="24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Tribal</w:t>
      </w:r>
      <w:r w:rsidRPr="002A4C8F">
        <w:rPr>
          <w:rFonts w:ascii="Times New Roman" w:hAnsi="Times New Roman" w:cs="Times New Roman"/>
          <w:b/>
          <w:sz w:val="24"/>
          <w:szCs w:val="24"/>
          <w:u w:val="single"/>
        </w:rPr>
        <w:t xml:space="preserve"> Coverage Analysis (</w:t>
      </w:r>
      <w:r w:rsidR="00241FBF">
        <w:rPr>
          <w:rFonts w:ascii="Times New Roman" w:hAnsi="Times New Roman" w:cs="Times New Roman"/>
          <w:b/>
          <w:sz w:val="24"/>
          <w:szCs w:val="24"/>
          <w:u w:val="single"/>
        </w:rPr>
        <w:t>Excluding</w:t>
      </w:r>
      <w:r w:rsidR="00241FBF" w:rsidRPr="002A4C8F">
        <w:rPr>
          <w:rFonts w:ascii="Times New Roman" w:hAnsi="Times New Roman" w:cs="Times New Roman"/>
          <w:b/>
          <w:sz w:val="24"/>
          <w:szCs w:val="24"/>
          <w:u w:val="single"/>
        </w:rPr>
        <w:t xml:space="preserve"> </w:t>
      </w:r>
      <w:r w:rsidRPr="002A4C8F">
        <w:rPr>
          <w:rFonts w:ascii="Times New Roman" w:hAnsi="Times New Roman" w:cs="Times New Roman"/>
          <w:b/>
          <w:sz w:val="24"/>
          <w:szCs w:val="24"/>
          <w:u w:val="single"/>
        </w:rPr>
        <w:t>Alaska)</w:t>
      </w:r>
      <w:r>
        <w:rPr>
          <w:rFonts w:ascii="Times New Roman" w:hAnsi="Times New Roman" w:cs="Times New Roman"/>
          <w:b/>
          <w:sz w:val="24"/>
          <w:szCs w:val="24"/>
          <w:u w:val="single"/>
        </w:rPr>
        <w:t>:  Analysis of LTE Network Coverage and Cu</w:t>
      </w:r>
      <w:r w:rsidR="00744C36">
        <w:rPr>
          <w:rFonts w:ascii="Times New Roman" w:hAnsi="Times New Roman" w:cs="Times New Roman"/>
          <w:b/>
          <w:sz w:val="24"/>
          <w:szCs w:val="24"/>
          <w:u w:val="single"/>
        </w:rPr>
        <w:t>rrent Universal Service Support</w:t>
      </w:r>
    </w:p>
    <w:tbl>
      <w:tblPr>
        <w:tblW w:w="13940" w:type="dxa"/>
        <w:tblLayout w:type="fixed"/>
        <w:tblLook w:val="04A0" w:firstRow="1" w:lastRow="0" w:firstColumn="1" w:lastColumn="0" w:noHBand="0" w:noVBand="1"/>
      </w:tblPr>
      <w:tblGrid>
        <w:gridCol w:w="585"/>
        <w:gridCol w:w="2010"/>
        <w:gridCol w:w="1445"/>
        <w:gridCol w:w="1170"/>
        <w:gridCol w:w="1350"/>
        <w:gridCol w:w="1530"/>
        <w:gridCol w:w="1440"/>
        <w:gridCol w:w="1440"/>
        <w:gridCol w:w="1440"/>
        <w:gridCol w:w="1530"/>
      </w:tblGrid>
      <w:tr w:rsidR="004054D4" w:rsidRPr="00FD7A51" w14:paraId="61B58B1D" w14:textId="77777777" w:rsidTr="00631E19">
        <w:trPr>
          <w:trHeight w:val="300"/>
        </w:trPr>
        <w:tc>
          <w:tcPr>
            <w:tcW w:w="585" w:type="dxa"/>
            <w:tcBorders>
              <w:top w:val="double" w:sz="4" w:space="0" w:color="auto"/>
              <w:left w:val="double" w:sz="4" w:space="0" w:color="auto"/>
              <w:bottom w:val="nil"/>
              <w:right w:val="nil"/>
            </w:tcBorders>
            <w:shd w:val="clear" w:color="auto" w:fill="auto"/>
            <w:vAlign w:val="center"/>
            <w:hideMark/>
          </w:tcPr>
          <w:p w14:paraId="3F8CF549" w14:textId="77777777" w:rsidR="004054D4" w:rsidRPr="00FD7A51" w:rsidRDefault="004054D4" w:rsidP="00176559">
            <w:pPr>
              <w:spacing w:after="0" w:line="240" w:lineRule="auto"/>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 </w:t>
            </w:r>
          </w:p>
        </w:tc>
        <w:tc>
          <w:tcPr>
            <w:tcW w:w="2010" w:type="dxa"/>
            <w:tcBorders>
              <w:top w:val="double" w:sz="4" w:space="0" w:color="auto"/>
              <w:left w:val="nil"/>
              <w:right w:val="single" w:sz="12" w:space="0" w:color="auto"/>
            </w:tcBorders>
            <w:shd w:val="clear" w:color="auto" w:fill="auto"/>
            <w:vAlign w:val="center"/>
            <w:hideMark/>
          </w:tcPr>
          <w:p w14:paraId="1DAAB52F" w14:textId="77777777" w:rsidR="004054D4" w:rsidRPr="00FD7A51" w:rsidRDefault="004054D4" w:rsidP="00176559">
            <w:pPr>
              <w:spacing w:after="0" w:line="240" w:lineRule="auto"/>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 </w:t>
            </w:r>
          </w:p>
        </w:tc>
        <w:tc>
          <w:tcPr>
            <w:tcW w:w="1445" w:type="dxa"/>
            <w:vMerge w:val="restart"/>
            <w:tcBorders>
              <w:top w:val="double" w:sz="4" w:space="0" w:color="auto"/>
              <w:left w:val="single" w:sz="12" w:space="0" w:color="auto"/>
              <w:bottom w:val="single" w:sz="8" w:space="0" w:color="auto"/>
              <w:right w:val="single" w:sz="4" w:space="0" w:color="auto"/>
            </w:tcBorders>
            <w:shd w:val="clear" w:color="000000" w:fill="E2EFDA"/>
            <w:vAlign w:val="center"/>
            <w:hideMark/>
          </w:tcPr>
          <w:p w14:paraId="38F58060" w14:textId="589A9669" w:rsidR="004054D4" w:rsidRPr="00FD7A51" w:rsidRDefault="004054D4" w:rsidP="007F13A4">
            <w:pPr>
              <w:spacing w:after="0" w:line="240" w:lineRule="auto"/>
              <w:jc w:val="center"/>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Est'd R</w:t>
            </w:r>
            <w:r>
              <w:rPr>
                <w:rFonts w:ascii="Times New Roman" w:eastAsia="Times New Roman" w:hAnsi="Times New Roman" w:cs="Times New Roman"/>
                <w:color w:val="000000"/>
                <w:sz w:val="22"/>
                <w:szCs w:val="22"/>
              </w:rPr>
              <w:t>oad</w:t>
            </w:r>
            <w:r w:rsidR="007F13A4">
              <w:rPr>
                <w:rFonts w:ascii="Times New Roman" w:eastAsia="Times New Roman" w:hAnsi="Times New Roman" w:cs="Times New Roman"/>
                <w:color w:val="000000"/>
                <w:sz w:val="22"/>
                <w:szCs w:val="22"/>
              </w:rPr>
              <w:t xml:space="preserve"> M</w:t>
            </w:r>
            <w:r>
              <w:rPr>
                <w:rFonts w:ascii="Times New Roman" w:eastAsia="Times New Roman" w:hAnsi="Times New Roman" w:cs="Times New Roman"/>
                <w:color w:val="000000"/>
                <w:sz w:val="22"/>
                <w:szCs w:val="22"/>
              </w:rPr>
              <w:t>iles in Areas with Unsubsi</w:t>
            </w:r>
            <w:r w:rsidRPr="00FD7A51">
              <w:rPr>
                <w:rFonts w:ascii="Times New Roman" w:eastAsia="Times New Roman" w:hAnsi="Times New Roman" w:cs="Times New Roman"/>
                <w:color w:val="000000"/>
                <w:sz w:val="22"/>
                <w:szCs w:val="22"/>
              </w:rPr>
              <w:t>dized LTE Coverage</w:t>
            </w:r>
          </w:p>
        </w:tc>
        <w:tc>
          <w:tcPr>
            <w:tcW w:w="1170" w:type="dxa"/>
            <w:vMerge w:val="restart"/>
            <w:tcBorders>
              <w:top w:val="double" w:sz="4" w:space="0" w:color="auto"/>
              <w:left w:val="single" w:sz="4" w:space="0" w:color="auto"/>
              <w:bottom w:val="single" w:sz="4" w:space="0" w:color="auto"/>
              <w:right w:val="single" w:sz="4" w:space="0" w:color="auto"/>
            </w:tcBorders>
            <w:shd w:val="clear" w:color="000000" w:fill="E2EFDA"/>
            <w:vAlign w:val="center"/>
            <w:hideMark/>
          </w:tcPr>
          <w:p w14:paraId="3D4AB479" w14:textId="0BC71D85" w:rsidR="004054D4" w:rsidRPr="00FD7A51" w:rsidRDefault="004054D4" w:rsidP="007F13A4">
            <w:pPr>
              <w:spacing w:after="0" w:line="240" w:lineRule="auto"/>
              <w:jc w:val="center"/>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Est'd Road</w:t>
            </w:r>
            <w:r w:rsidR="007F13A4">
              <w:rPr>
                <w:rFonts w:ascii="Times New Roman" w:eastAsia="Times New Roman" w:hAnsi="Times New Roman" w:cs="Times New Roman"/>
                <w:color w:val="000000"/>
                <w:sz w:val="22"/>
                <w:szCs w:val="22"/>
              </w:rPr>
              <w:t xml:space="preserve"> M</w:t>
            </w:r>
            <w:r w:rsidRPr="00FD7A51">
              <w:rPr>
                <w:rFonts w:ascii="Times New Roman" w:eastAsia="Times New Roman" w:hAnsi="Times New Roman" w:cs="Times New Roman"/>
                <w:color w:val="000000"/>
                <w:sz w:val="22"/>
                <w:szCs w:val="22"/>
              </w:rPr>
              <w:t>iles in Areas with No LTE Coverage</w:t>
            </w:r>
          </w:p>
        </w:tc>
        <w:tc>
          <w:tcPr>
            <w:tcW w:w="1350" w:type="dxa"/>
            <w:vMerge w:val="restart"/>
            <w:tcBorders>
              <w:top w:val="double" w:sz="4" w:space="0" w:color="auto"/>
              <w:left w:val="single" w:sz="4" w:space="0" w:color="auto"/>
              <w:bottom w:val="single" w:sz="4" w:space="0" w:color="auto"/>
              <w:right w:val="single" w:sz="4" w:space="0" w:color="auto"/>
            </w:tcBorders>
            <w:shd w:val="clear" w:color="000000" w:fill="E2EFDA"/>
            <w:vAlign w:val="center"/>
            <w:hideMark/>
          </w:tcPr>
          <w:p w14:paraId="75FA5860" w14:textId="2F09B22C" w:rsidR="004054D4" w:rsidRPr="00FD7A51" w:rsidRDefault="004054D4" w:rsidP="007F13A4">
            <w:pPr>
              <w:spacing w:after="0" w:line="240" w:lineRule="auto"/>
              <w:jc w:val="center"/>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Est'd Road</w:t>
            </w:r>
            <w:r w:rsidR="007F13A4">
              <w:rPr>
                <w:rFonts w:ascii="Times New Roman" w:eastAsia="Times New Roman" w:hAnsi="Times New Roman" w:cs="Times New Roman"/>
                <w:color w:val="000000"/>
                <w:sz w:val="22"/>
                <w:szCs w:val="22"/>
              </w:rPr>
              <w:t xml:space="preserve"> M</w:t>
            </w:r>
            <w:r w:rsidRPr="00FD7A51">
              <w:rPr>
                <w:rFonts w:ascii="Times New Roman" w:eastAsia="Times New Roman" w:hAnsi="Times New Roman" w:cs="Times New Roman"/>
                <w:color w:val="000000"/>
                <w:sz w:val="22"/>
                <w:szCs w:val="22"/>
              </w:rPr>
              <w:t>iles in Areas with Only Subsidized LTE</w:t>
            </w:r>
          </w:p>
        </w:tc>
        <w:tc>
          <w:tcPr>
            <w:tcW w:w="1530" w:type="dxa"/>
            <w:vMerge w:val="restart"/>
            <w:tcBorders>
              <w:top w:val="double" w:sz="4" w:space="0" w:color="auto"/>
              <w:left w:val="single" w:sz="4" w:space="0" w:color="auto"/>
              <w:bottom w:val="single" w:sz="4" w:space="0" w:color="auto"/>
              <w:right w:val="single" w:sz="12" w:space="0" w:color="auto"/>
            </w:tcBorders>
            <w:shd w:val="clear" w:color="000000" w:fill="E2EFDA"/>
            <w:vAlign w:val="center"/>
            <w:hideMark/>
          </w:tcPr>
          <w:p w14:paraId="201D5396" w14:textId="11BF58D1" w:rsidR="004054D4" w:rsidRPr="00FD7A51" w:rsidRDefault="004054D4" w:rsidP="007F13A4">
            <w:pPr>
              <w:spacing w:after="0" w:line="240" w:lineRule="auto"/>
              <w:jc w:val="center"/>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Totals - Est'd Road</w:t>
            </w:r>
            <w:r w:rsidR="007F13A4">
              <w:rPr>
                <w:rFonts w:ascii="Times New Roman" w:eastAsia="Times New Roman" w:hAnsi="Times New Roman" w:cs="Times New Roman"/>
                <w:color w:val="000000"/>
                <w:sz w:val="22"/>
                <w:szCs w:val="22"/>
              </w:rPr>
              <w:t xml:space="preserve"> M</w:t>
            </w:r>
            <w:r w:rsidRPr="00FD7A51">
              <w:rPr>
                <w:rFonts w:ascii="Times New Roman" w:eastAsia="Times New Roman" w:hAnsi="Times New Roman" w:cs="Times New Roman"/>
                <w:color w:val="000000"/>
                <w:sz w:val="22"/>
                <w:szCs w:val="22"/>
              </w:rPr>
              <w:t>iles in Areas with No LTE or Only Subsidized LTE</w:t>
            </w:r>
          </w:p>
        </w:tc>
        <w:tc>
          <w:tcPr>
            <w:tcW w:w="1440" w:type="dxa"/>
            <w:vMerge w:val="restart"/>
            <w:tcBorders>
              <w:top w:val="double" w:sz="4" w:space="0" w:color="auto"/>
              <w:left w:val="single" w:sz="12" w:space="0" w:color="auto"/>
              <w:bottom w:val="single" w:sz="4" w:space="0" w:color="auto"/>
              <w:right w:val="single" w:sz="4" w:space="0" w:color="auto"/>
            </w:tcBorders>
            <w:shd w:val="clear" w:color="000000" w:fill="E2EFDA"/>
            <w:vAlign w:val="center"/>
            <w:hideMark/>
          </w:tcPr>
          <w:p w14:paraId="201C6CF2" w14:textId="77777777" w:rsidR="004054D4" w:rsidRPr="00FD7A51" w:rsidRDefault="004054D4" w:rsidP="00176559">
            <w:pPr>
              <w:spacing w:after="0" w:line="240" w:lineRule="auto"/>
              <w:jc w:val="center"/>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E</w:t>
            </w:r>
            <w:r>
              <w:rPr>
                <w:rFonts w:ascii="Times New Roman" w:eastAsia="Times New Roman" w:hAnsi="Times New Roman" w:cs="Times New Roman"/>
                <w:color w:val="000000"/>
                <w:sz w:val="22"/>
                <w:szCs w:val="22"/>
              </w:rPr>
              <w:t>st'd Pops in Areas with Unsubsi</w:t>
            </w:r>
            <w:r w:rsidRPr="00FD7A51">
              <w:rPr>
                <w:rFonts w:ascii="Times New Roman" w:eastAsia="Times New Roman" w:hAnsi="Times New Roman" w:cs="Times New Roman"/>
                <w:color w:val="000000"/>
                <w:sz w:val="22"/>
                <w:szCs w:val="22"/>
              </w:rPr>
              <w:t>dized LTE Coverage</w:t>
            </w:r>
          </w:p>
        </w:tc>
        <w:tc>
          <w:tcPr>
            <w:tcW w:w="1440" w:type="dxa"/>
            <w:vMerge w:val="restart"/>
            <w:tcBorders>
              <w:top w:val="double" w:sz="4" w:space="0" w:color="auto"/>
              <w:left w:val="single" w:sz="4" w:space="0" w:color="auto"/>
              <w:bottom w:val="single" w:sz="4" w:space="0" w:color="auto"/>
              <w:right w:val="single" w:sz="4" w:space="0" w:color="auto"/>
            </w:tcBorders>
            <w:shd w:val="clear" w:color="000000" w:fill="E2EFDA"/>
            <w:vAlign w:val="center"/>
            <w:hideMark/>
          </w:tcPr>
          <w:p w14:paraId="7D8C5661" w14:textId="77777777" w:rsidR="004054D4" w:rsidRPr="00FD7A51" w:rsidRDefault="004054D4" w:rsidP="00176559">
            <w:pPr>
              <w:spacing w:after="0" w:line="240" w:lineRule="auto"/>
              <w:jc w:val="center"/>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Est'd Pops in Areas with No LTE Coverage</w:t>
            </w:r>
          </w:p>
        </w:tc>
        <w:tc>
          <w:tcPr>
            <w:tcW w:w="1440" w:type="dxa"/>
            <w:vMerge w:val="restart"/>
            <w:tcBorders>
              <w:top w:val="double" w:sz="4" w:space="0" w:color="auto"/>
              <w:left w:val="single" w:sz="4" w:space="0" w:color="auto"/>
              <w:bottom w:val="single" w:sz="4" w:space="0" w:color="auto"/>
              <w:right w:val="single" w:sz="4" w:space="0" w:color="auto"/>
            </w:tcBorders>
            <w:shd w:val="clear" w:color="000000" w:fill="E2EFDA"/>
            <w:vAlign w:val="center"/>
            <w:hideMark/>
          </w:tcPr>
          <w:p w14:paraId="0BDAB89C" w14:textId="77777777" w:rsidR="004054D4" w:rsidRPr="00FD7A51" w:rsidRDefault="004054D4" w:rsidP="00176559">
            <w:pPr>
              <w:spacing w:after="0" w:line="240" w:lineRule="auto"/>
              <w:jc w:val="center"/>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Est'd Pops in Areas with Only Subsidized LTE</w:t>
            </w:r>
          </w:p>
        </w:tc>
        <w:tc>
          <w:tcPr>
            <w:tcW w:w="1530" w:type="dxa"/>
            <w:vMerge w:val="restart"/>
            <w:tcBorders>
              <w:top w:val="double" w:sz="4" w:space="0" w:color="auto"/>
              <w:left w:val="single" w:sz="4" w:space="0" w:color="auto"/>
              <w:bottom w:val="single" w:sz="4" w:space="0" w:color="auto"/>
              <w:right w:val="double" w:sz="4" w:space="0" w:color="auto"/>
            </w:tcBorders>
            <w:shd w:val="clear" w:color="000000" w:fill="E2EFDA"/>
            <w:vAlign w:val="center"/>
            <w:hideMark/>
          </w:tcPr>
          <w:p w14:paraId="60E8E567" w14:textId="77777777" w:rsidR="004054D4" w:rsidRPr="00FD7A51" w:rsidRDefault="004054D4" w:rsidP="00176559">
            <w:pPr>
              <w:spacing w:after="0" w:line="240" w:lineRule="auto"/>
              <w:jc w:val="center"/>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Totals - Est'd Pops in Areas with No LTE or Only Subsidized LTE</w:t>
            </w:r>
          </w:p>
        </w:tc>
      </w:tr>
      <w:tr w:rsidR="004054D4" w:rsidRPr="00FD7A51" w14:paraId="76D4AA32" w14:textId="77777777" w:rsidTr="00631E19">
        <w:trPr>
          <w:trHeight w:val="300"/>
        </w:trPr>
        <w:tc>
          <w:tcPr>
            <w:tcW w:w="585" w:type="dxa"/>
            <w:tcBorders>
              <w:top w:val="nil"/>
              <w:left w:val="double" w:sz="4" w:space="0" w:color="auto"/>
              <w:bottom w:val="single" w:sz="4" w:space="0" w:color="auto"/>
              <w:right w:val="nil"/>
            </w:tcBorders>
            <w:shd w:val="clear" w:color="auto" w:fill="auto"/>
            <w:vAlign w:val="center"/>
            <w:hideMark/>
          </w:tcPr>
          <w:p w14:paraId="0CA6CA8E" w14:textId="77777777" w:rsidR="004054D4" w:rsidRPr="00FD7A51" w:rsidRDefault="004054D4" w:rsidP="00176559">
            <w:pPr>
              <w:spacing w:after="0" w:line="240" w:lineRule="auto"/>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 </w:t>
            </w:r>
          </w:p>
        </w:tc>
        <w:tc>
          <w:tcPr>
            <w:tcW w:w="2010" w:type="dxa"/>
            <w:tcBorders>
              <w:top w:val="nil"/>
              <w:left w:val="nil"/>
              <w:bottom w:val="single" w:sz="8" w:space="0" w:color="000000"/>
              <w:right w:val="single" w:sz="12" w:space="0" w:color="000000"/>
            </w:tcBorders>
            <w:shd w:val="clear" w:color="auto" w:fill="auto"/>
            <w:vAlign w:val="center"/>
            <w:hideMark/>
          </w:tcPr>
          <w:p w14:paraId="75B55617" w14:textId="77777777" w:rsidR="004054D4" w:rsidRPr="00FD7A51" w:rsidRDefault="004054D4" w:rsidP="00176559">
            <w:pPr>
              <w:spacing w:after="0" w:line="240" w:lineRule="auto"/>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 </w:t>
            </w:r>
          </w:p>
        </w:tc>
        <w:tc>
          <w:tcPr>
            <w:tcW w:w="1445" w:type="dxa"/>
            <w:vMerge/>
            <w:tcBorders>
              <w:top w:val="single" w:sz="8" w:space="0" w:color="auto"/>
              <w:left w:val="single" w:sz="12" w:space="0" w:color="000000"/>
              <w:bottom w:val="single" w:sz="8" w:space="0" w:color="auto"/>
              <w:right w:val="single" w:sz="4" w:space="0" w:color="auto"/>
            </w:tcBorders>
            <w:vAlign w:val="center"/>
            <w:hideMark/>
          </w:tcPr>
          <w:p w14:paraId="48B4AC83" w14:textId="77777777" w:rsidR="004054D4" w:rsidRPr="00FD7A51" w:rsidRDefault="004054D4" w:rsidP="00176559">
            <w:pPr>
              <w:spacing w:after="0" w:line="240" w:lineRule="auto"/>
              <w:rPr>
                <w:rFonts w:ascii="Times New Roman" w:eastAsia="Times New Roman" w:hAnsi="Times New Roman" w:cs="Times New Roman"/>
                <w:color w:val="000000"/>
                <w:sz w:val="22"/>
                <w:szCs w:val="22"/>
              </w:rPr>
            </w:pPr>
          </w:p>
        </w:tc>
        <w:tc>
          <w:tcPr>
            <w:tcW w:w="1170" w:type="dxa"/>
            <w:vMerge/>
            <w:tcBorders>
              <w:top w:val="single" w:sz="8" w:space="0" w:color="auto"/>
              <w:left w:val="single" w:sz="4" w:space="0" w:color="auto"/>
              <w:bottom w:val="single" w:sz="4" w:space="0" w:color="auto"/>
              <w:right w:val="single" w:sz="4" w:space="0" w:color="auto"/>
            </w:tcBorders>
            <w:vAlign w:val="center"/>
            <w:hideMark/>
          </w:tcPr>
          <w:p w14:paraId="564AF6AE" w14:textId="77777777" w:rsidR="004054D4" w:rsidRPr="00FD7A51" w:rsidRDefault="004054D4" w:rsidP="00176559">
            <w:pPr>
              <w:spacing w:after="0" w:line="240" w:lineRule="auto"/>
              <w:rPr>
                <w:rFonts w:ascii="Times New Roman" w:eastAsia="Times New Roman" w:hAnsi="Times New Roman" w:cs="Times New Roman"/>
                <w:color w:val="000000"/>
                <w:sz w:val="22"/>
                <w:szCs w:val="22"/>
              </w:rPr>
            </w:pPr>
          </w:p>
        </w:tc>
        <w:tc>
          <w:tcPr>
            <w:tcW w:w="1350" w:type="dxa"/>
            <w:vMerge/>
            <w:tcBorders>
              <w:top w:val="single" w:sz="8" w:space="0" w:color="auto"/>
              <w:left w:val="single" w:sz="4" w:space="0" w:color="auto"/>
              <w:bottom w:val="single" w:sz="4" w:space="0" w:color="auto"/>
              <w:right w:val="single" w:sz="4" w:space="0" w:color="auto"/>
            </w:tcBorders>
            <w:vAlign w:val="center"/>
            <w:hideMark/>
          </w:tcPr>
          <w:p w14:paraId="14E649EE" w14:textId="77777777" w:rsidR="004054D4" w:rsidRPr="00FD7A51" w:rsidRDefault="004054D4" w:rsidP="00176559">
            <w:pPr>
              <w:spacing w:after="0" w:line="240" w:lineRule="auto"/>
              <w:rPr>
                <w:rFonts w:ascii="Times New Roman" w:eastAsia="Times New Roman" w:hAnsi="Times New Roman" w:cs="Times New Roman"/>
                <w:color w:val="000000"/>
                <w:sz w:val="22"/>
                <w:szCs w:val="22"/>
              </w:rPr>
            </w:pPr>
          </w:p>
        </w:tc>
        <w:tc>
          <w:tcPr>
            <w:tcW w:w="1530" w:type="dxa"/>
            <w:vMerge/>
            <w:tcBorders>
              <w:top w:val="single" w:sz="8" w:space="0" w:color="auto"/>
              <w:left w:val="single" w:sz="4" w:space="0" w:color="auto"/>
              <w:bottom w:val="single" w:sz="4" w:space="0" w:color="auto"/>
              <w:right w:val="single" w:sz="12" w:space="0" w:color="auto"/>
            </w:tcBorders>
            <w:vAlign w:val="center"/>
            <w:hideMark/>
          </w:tcPr>
          <w:p w14:paraId="61AEE555" w14:textId="77777777" w:rsidR="004054D4" w:rsidRPr="00FD7A51" w:rsidRDefault="004054D4" w:rsidP="00176559">
            <w:pPr>
              <w:spacing w:after="0" w:line="240" w:lineRule="auto"/>
              <w:rPr>
                <w:rFonts w:ascii="Times New Roman" w:eastAsia="Times New Roman" w:hAnsi="Times New Roman" w:cs="Times New Roman"/>
                <w:color w:val="000000"/>
                <w:sz w:val="22"/>
                <w:szCs w:val="22"/>
              </w:rPr>
            </w:pPr>
          </w:p>
        </w:tc>
        <w:tc>
          <w:tcPr>
            <w:tcW w:w="1440" w:type="dxa"/>
            <w:vMerge/>
            <w:tcBorders>
              <w:top w:val="single" w:sz="8" w:space="0" w:color="auto"/>
              <w:left w:val="single" w:sz="12" w:space="0" w:color="auto"/>
              <w:bottom w:val="single" w:sz="4" w:space="0" w:color="auto"/>
              <w:right w:val="single" w:sz="4" w:space="0" w:color="auto"/>
            </w:tcBorders>
            <w:vAlign w:val="center"/>
            <w:hideMark/>
          </w:tcPr>
          <w:p w14:paraId="0DA0DEB9" w14:textId="77777777" w:rsidR="004054D4" w:rsidRPr="00FD7A51" w:rsidRDefault="004054D4" w:rsidP="00176559">
            <w:pPr>
              <w:spacing w:after="0" w:line="240" w:lineRule="auto"/>
              <w:rPr>
                <w:rFonts w:ascii="Times New Roman" w:eastAsia="Times New Roman" w:hAnsi="Times New Roman" w:cs="Times New Roman"/>
                <w:color w:val="000000"/>
                <w:sz w:val="22"/>
                <w:szCs w:val="22"/>
              </w:rPr>
            </w:pPr>
          </w:p>
        </w:tc>
        <w:tc>
          <w:tcPr>
            <w:tcW w:w="1440" w:type="dxa"/>
            <w:vMerge/>
            <w:tcBorders>
              <w:top w:val="single" w:sz="8" w:space="0" w:color="auto"/>
              <w:left w:val="single" w:sz="4" w:space="0" w:color="auto"/>
              <w:bottom w:val="single" w:sz="4" w:space="0" w:color="auto"/>
              <w:right w:val="single" w:sz="4" w:space="0" w:color="auto"/>
            </w:tcBorders>
            <w:vAlign w:val="center"/>
            <w:hideMark/>
          </w:tcPr>
          <w:p w14:paraId="6F8D27CF" w14:textId="77777777" w:rsidR="004054D4" w:rsidRPr="00FD7A51" w:rsidRDefault="004054D4" w:rsidP="00176559">
            <w:pPr>
              <w:spacing w:after="0" w:line="240" w:lineRule="auto"/>
              <w:rPr>
                <w:rFonts w:ascii="Times New Roman" w:eastAsia="Times New Roman" w:hAnsi="Times New Roman" w:cs="Times New Roman"/>
                <w:color w:val="000000"/>
                <w:sz w:val="22"/>
                <w:szCs w:val="22"/>
              </w:rPr>
            </w:pPr>
          </w:p>
        </w:tc>
        <w:tc>
          <w:tcPr>
            <w:tcW w:w="1440" w:type="dxa"/>
            <w:vMerge/>
            <w:tcBorders>
              <w:top w:val="single" w:sz="8" w:space="0" w:color="auto"/>
              <w:left w:val="single" w:sz="4" w:space="0" w:color="auto"/>
              <w:bottom w:val="single" w:sz="4" w:space="0" w:color="auto"/>
              <w:right w:val="single" w:sz="4" w:space="0" w:color="auto"/>
            </w:tcBorders>
            <w:vAlign w:val="center"/>
            <w:hideMark/>
          </w:tcPr>
          <w:p w14:paraId="153D30C7" w14:textId="77777777" w:rsidR="004054D4" w:rsidRPr="00FD7A51" w:rsidRDefault="004054D4" w:rsidP="00176559">
            <w:pPr>
              <w:spacing w:after="0" w:line="240" w:lineRule="auto"/>
              <w:rPr>
                <w:rFonts w:ascii="Times New Roman" w:eastAsia="Times New Roman" w:hAnsi="Times New Roman" w:cs="Times New Roman"/>
                <w:color w:val="000000"/>
                <w:sz w:val="22"/>
                <w:szCs w:val="22"/>
              </w:rPr>
            </w:pPr>
          </w:p>
        </w:tc>
        <w:tc>
          <w:tcPr>
            <w:tcW w:w="1530" w:type="dxa"/>
            <w:vMerge/>
            <w:tcBorders>
              <w:top w:val="single" w:sz="8" w:space="0" w:color="auto"/>
              <w:left w:val="single" w:sz="4" w:space="0" w:color="auto"/>
              <w:bottom w:val="single" w:sz="4" w:space="0" w:color="auto"/>
              <w:right w:val="double" w:sz="4" w:space="0" w:color="auto"/>
            </w:tcBorders>
            <w:vAlign w:val="center"/>
            <w:hideMark/>
          </w:tcPr>
          <w:p w14:paraId="67851071" w14:textId="77777777" w:rsidR="004054D4" w:rsidRPr="00FD7A51" w:rsidRDefault="004054D4" w:rsidP="00176559">
            <w:pPr>
              <w:spacing w:after="0" w:line="240" w:lineRule="auto"/>
              <w:rPr>
                <w:rFonts w:ascii="Times New Roman" w:eastAsia="Times New Roman" w:hAnsi="Times New Roman" w:cs="Times New Roman"/>
                <w:color w:val="000000"/>
                <w:sz w:val="22"/>
                <w:szCs w:val="22"/>
              </w:rPr>
            </w:pPr>
          </w:p>
        </w:tc>
      </w:tr>
      <w:tr w:rsidR="00631E19" w:rsidRPr="00FD7A51" w14:paraId="6A6EE579" w14:textId="77777777" w:rsidTr="00631E19">
        <w:trPr>
          <w:trHeight w:val="315"/>
        </w:trPr>
        <w:tc>
          <w:tcPr>
            <w:tcW w:w="2595" w:type="dxa"/>
            <w:gridSpan w:val="2"/>
            <w:tcBorders>
              <w:top w:val="single" w:sz="4" w:space="0" w:color="auto"/>
              <w:left w:val="double" w:sz="4" w:space="0" w:color="auto"/>
              <w:bottom w:val="single" w:sz="8" w:space="0" w:color="000000"/>
              <w:right w:val="single" w:sz="12" w:space="0" w:color="000000"/>
            </w:tcBorders>
            <w:shd w:val="clear" w:color="000000" w:fill="C6E0B4"/>
            <w:vAlign w:val="center"/>
            <w:hideMark/>
          </w:tcPr>
          <w:p w14:paraId="579236A0" w14:textId="73AB3C29" w:rsidR="00631E19" w:rsidRPr="00FD7A51" w:rsidRDefault="00631E19" w:rsidP="00631E19">
            <w:pPr>
              <w:spacing w:after="0" w:line="240" w:lineRule="auto"/>
              <w:rPr>
                <w:rFonts w:ascii="Times New Roman" w:eastAsia="Times New Roman" w:hAnsi="Times New Roman" w:cs="Times New Roman"/>
                <w:color w:val="000000"/>
                <w:sz w:val="22"/>
                <w:szCs w:val="22"/>
              </w:rPr>
            </w:pPr>
          </w:p>
        </w:tc>
        <w:tc>
          <w:tcPr>
            <w:tcW w:w="1445" w:type="dxa"/>
            <w:tcBorders>
              <w:top w:val="single" w:sz="8" w:space="0" w:color="auto"/>
              <w:left w:val="single" w:sz="12" w:space="0" w:color="000000"/>
              <w:bottom w:val="single" w:sz="12" w:space="0" w:color="auto"/>
              <w:right w:val="single" w:sz="4" w:space="0" w:color="auto"/>
            </w:tcBorders>
            <w:shd w:val="clear" w:color="auto" w:fill="auto"/>
            <w:noWrap/>
            <w:vAlign w:val="center"/>
          </w:tcPr>
          <w:p w14:paraId="1F4678B6" w14:textId="6F17BEA9" w:rsidR="00631E19" w:rsidRPr="00631E19" w:rsidRDefault="00631E19" w:rsidP="00631E19">
            <w:pPr>
              <w:spacing w:after="0" w:line="240" w:lineRule="auto"/>
              <w:jc w:val="center"/>
              <w:rPr>
                <w:rFonts w:ascii="Times New Roman" w:eastAsia="Times New Roman" w:hAnsi="Times New Roman" w:cs="Times New Roman"/>
                <w:color w:val="000000"/>
                <w:sz w:val="22"/>
                <w:szCs w:val="22"/>
              </w:rPr>
            </w:pPr>
            <w:r w:rsidRPr="00631E19">
              <w:rPr>
                <w:rFonts w:ascii="Times New Roman" w:hAnsi="Times New Roman" w:cs="Times New Roman"/>
                <w:sz w:val="22"/>
                <w:szCs w:val="22"/>
              </w:rPr>
              <w:t>136,844</w:t>
            </w:r>
          </w:p>
        </w:tc>
        <w:tc>
          <w:tcPr>
            <w:tcW w:w="1170"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6D9196C3" w14:textId="2A6BDE6B" w:rsidR="00631E19" w:rsidRPr="00631E19" w:rsidRDefault="00631E19" w:rsidP="00631E19">
            <w:pPr>
              <w:spacing w:after="0" w:line="240" w:lineRule="auto"/>
              <w:jc w:val="center"/>
              <w:rPr>
                <w:rFonts w:ascii="Times New Roman" w:eastAsia="Times New Roman" w:hAnsi="Times New Roman" w:cs="Times New Roman"/>
                <w:color w:val="000000"/>
                <w:sz w:val="22"/>
                <w:szCs w:val="22"/>
              </w:rPr>
            </w:pPr>
            <w:r w:rsidRPr="00631E19">
              <w:rPr>
                <w:rFonts w:ascii="Times New Roman" w:hAnsi="Times New Roman" w:cs="Times New Roman"/>
                <w:sz w:val="22"/>
                <w:szCs w:val="22"/>
              </w:rPr>
              <w:t>51,501</w:t>
            </w:r>
          </w:p>
        </w:tc>
        <w:tc>
          <w:tcPr>
            <w:tcW w:w="1350" w:type="dxa"/>
            <w:tcBorders>
              <w:top w:val="single" w:sz="4" w:space="0" w:color="auto"/>
              <w:left w:val="nil"/>
              <w:bottom w:val="single" w:sz="12" w:space="0" w:color="auto"/>
              <w:right w:val="single" w:sz="4" w:space="0" w:color="auto"/>
            </w:tcBorders>
            <w:shd w:val="clear" w:color="auto" w:fill="auto"/>
            <w:noWrap/>
            <w:vAlign w:val="center"/>
          </w:tcPr>
          <w:p w14:paraId="05519CF9" w14:textId="4F345D89" w:rsidR="00631E19" w:rsidRPr="00631E19" w:rsidRDefault="00631E19" w:rsidP="00631E19">
            <w:pPr>
              <w:spacing w:after="0" w:line="240" w:lineRule="auto"/>
              <w:jc w:val="center"/>
              <w:rPr>
                <w:rFonts w:ascii="Times New Roman" w:eastAsia="Times New Roman" w:hAnsi="Times New Roman" w:cs="Times New Roman"/>
                <w:color w:val="000000"/>
                <w:sz w:val="22"/>
                <w:szCs w:val="22"/>
              </w:rPr>
            </w:pPr>
            <w:r w:rsidRPr="00631E19">
              <w:rPr>
                <w:rFonts w:ascii="Times New Roman" w:hAnsi="Times New Roman" w:cs="Times New Roman"/>
                <w:sz w:val="22"/>
                <w:szCs w:val="22"/>
              </w:rPr>
              <w:t>10,395</w:t>
            </w:r>
          </w:p>
        </w:tc>
        <w:tc>
          <w:tcPr>
            <w:tcW w:w="1530" w:type="dxa"/>
            <w:tcBorders>
              <w:top w:val="single" w:sz="4" w:space="0" w:color="auto"/>
              <w:left w:val="nil"/>
              <w:bottom w:val="single" w:sz="12" w:space="0" w:color="auto"/>
              <w:right w:val="single" w:sz="12" w:space="0" w:color="auto"/>
            </w:tcBorders>
            <w:shd w:val="clear" w:color="000000" w:fill="DDEBF7"/>
            <w:noWrap/>
            <w:vAlign w:val="center"/>
          </w:tcPr>
          <w:p w14:paraId="26FF9FC0" w14:textId="24B00885" w:rsidR="00631E19" w:rsidRPr="00631E19" w:rsidRDefault="00631E19" w:rsidP="00631E19">
            <w:pPr>
              <w:spacing w:after="0" w:line="240" w:lineRule="auto"/>
              <w:jc w:val="center"/>
              <w:rPr>
                <w:rFonts w:ascii="Times New Roman" w:eastAsia="Times New Roman" w:hAnsi="Times New Roman" w:cs="Times New Roman"/>
                <w:color w:val="000000"/>
                <w:sz w:val="22"/>
                <w:szCs w:val="22"/>
              </w:rPr>
            </w:pPr>
            <w:r w:rsidRPr="00631E19">
              <w:rPr>
                <w:rFonts w:ascii="Times New Roman" w:hAnsi="Times New Roman" w:cs="Times New Roman"/>
                <w:sz w:val="22"/>
                <w:szCs w:val="22"/>
              </w:rPr>
              <w:t>61,896</w:t>
            </w:r>
          </w:p>
        </w:tc>
        <w:tc>
          <w:tcPr>
            <w:tcW w:w="1440" w:type="dxa"/>
            <w:tcBorders>
              <w:top w:val="nil"/>
              <w:left w:val="single" w:sz="12" w:space="0" w:color="auto"/>
              <w:bottom w:val="single" w:sz="12" w:space="0" w:color="auto"/>
              <w:right w:val="single" w:sz="4" w:space="0" w:color="auto"/>
            </w:tcBorders>
            <w:shd w:val="clear" w:color="auto" w:fill="auto"/>
            <w:noWrap/>
            <w:vAlign w:val="center"/>
          </w:tcPr>
          <w:p w14:paraId="37A0516E" w14:textId="64739969" w:rsidR="00631E19" w:rsidRPr="00631E19" w:rsidRDefault="00631E19" w:rsidP="00631E19">
            <w:pPr>
              <w:spacing w:after="0" w:line="240" w:lineRule="auto"/>
              <w:jc w:val="center"/>
              <w:rPr>
                <w:rFonts w:ascii="Times New Roman" w:eastAsia="Times New Roman" w:hAnsi="Times New Roman" w:cs="Times New Roman"/>
                <w:color w:val="000000"/>
                <w:sz w:val="22"/>
                <w:szCs w:val="22"/>
              </w:rPr>
            </w:pPr>
            <w:r w:rsidRPr="00631E19">
              <w:rPr>
                <w:rFonts w:ascii="Times New Roman" w:hAnsi="Times New Roman" w:cs="Times New Roman"/>
                <w:sz w:val="22"/>
                <w:szCs w:val="22"/>
              </w:rPr>
              <w:t>917,518</w:t>
            </w:r>
          </w:p>
        </w:tc>
        <w:tc>
          <w:tcPr>
            <w:tcW w:w="1440"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1C60CA25" w14:textId="41D13732" w:rsidR="00631E19" w:rsidRPr="00631E19" w:rsidRDefault="00631E19" w:rsidP="00631E19">
            <w:pPr>
              <w:spacing w:after="0" w:line="240" w:lineRule="auto"/>
              <w:jc w:val="center"/>
              <w:rPr>
                <w:rFonts w:ascii="Times New Roman" w:eastAsia="Times New Roman" w:hAnsi="Times New Roman" w:cs="Times New Roman"/>
                <w:color w:val="000000"/>
                <w:sz w:val="22"/>
                <w:szCs w:val="22"/>
              </w:rPr>
            </w:pPr>
            <w:r w:rsidRPr="00631E19">
              <w:rPr>
                <w:rFonts w:ascii="Times New Roman" w:hAnsi="Times New Roman" w:cs="Times New Roman"/>
                <w:sz w:val="22"/>
                <w:szCs w:val="22"/>
              </w:rPr>
              <w:t>121,927</w:t>
            </w:r>
          </w:p>
        </w:tc>
        <w:tc>
          <w:tcPr>
            <w:tcW w:w="1440" w:type="dxa"/>
            <w:tcBorders>
              <w:top w:val="single" w:sz="4" w:space="0" w:color="auto"/>
              <w:left w:val="nil"/>
              <w:bottom w:val="single" w:sz="12" w:space="0" w:color="auto"/>
              <w:right w:val="single" w:sz="4" w:space="0" w:color="auto"/>
            </w:tcBorders>
            <w:shd w:val="clear" w:color="auto" w:fill="auto"/>
            <w:noWrap/>
            <w:vAlign w:val="center"/>
          </w:tcPr>
          <w:p w14:paraId="4837B778" w14:textId="0E541105" w:rsidR="00631E19" w:rsidRPr="00631E19" w:rsidRDefault="00631E19" w:rsidP="00631E19">
            <w:pPr>
              <w:spacing w:after="0" w:line="240" w:lineRule="auto"/>
              <w:jc w:val="center"/>
              <w:rPr>
                <w:rFonts w:ascii="Times New Roman" w:eastAsia="Times New Roman" w:hAnsi="Times New Roman" w:cs="Times New Roman"/>
                <w:color w:val="000000"/>
                <w:sz w:val="22"/>
                <w:szCs w:val="22"/>
              </w:rPr>
            </w:pPr>
            <w:r w:rsidRPr="00631E19">
              <w:rPr>
                <w:rFonts w:ascii="Times New Roman" w:hAnsi="Times New Roman" w:cs="Times New Roman"/>
                <w:sz w:val="22"/>
                <w:szCs w:val="22"/>
              </w:rPr>
              <w:t>52,011</w:t>
            </w:r>
          </w:p>
        </w:tc>
        <w:tc>
          <w:tcPr>
            <w:tcW w:w="1530" w:type="dxa"/>
            <w:tcBorders>
              <w:top w:val="single" w:sz="4" w:space="0" w:color="auto"/>
              <w:left w:val="nil"/>
              <w:bottom w:val="single" w:sz="12" w:space="0" w:color="auto"/>
              <w:right w:val="double" w:sz="4" w:space="0" w:color="auto"/>
            </w:tcBorders>
            <w:shd w:val="clear" w:color="000000" w:fill="DDEBF7"/>
            <w:noWrap/>
            <w:vAlign w:val="center"/>
          </w:tcPr>
          <w:p w14:paraId="1C86621E" w14:textId="6D563205" w:rsidR="00631E19" w:rsidRPr="00631E19" w:rsidRDefault="00631E19" w:rsidP="00631E19">
            <w:pPr>
              <w:spacing w:after="0" w:line="240" w:lineRule="auto"/>
              <w:jc w:val="center"/>
              <w:rPr>
                <w:rFonts w:ascii="Times New Roman" w:eastAsia="Times New Roman" w:hAnsi="Times New Roman" w:cs="Times New Roman"/>
                <w:color w:val="000000"/>
                <w:sz w:val="22"/>
                <w:szCs w:val="22"/>
              </w:rPr>
            </w:pPr>
            <w:r w:rsidRPr="00631E19">
              <w:rPr>
                <w:rFonts w:ascii="Times New Roman" w:hAnsi="Times New Roman" w:cs="Times New Roman"/>
                <w:sz w:val="22"/>
                <w:szCs w:val="22"/>
              </w:rPr>
              <w:t>173,938</w:t>
            </w:r>
          </w:p>
        </w:tc>
      </w:tr>
      <w:tr w:rsidR="00631E19" w:rsidRPr="00FD7A51" w14:paraId="6DE1A671" w14:textId="77777777" w:rsidTr="00631E19">
        <w:trPr>
          <w:trHeight w:val="300"/>
        </w:trPr>
        <w:tc>
          <w:tcPr>
            <w:tcW w:w="2595" w:type="dxa"/>
            <w:gridSpan w:val="2"/>
            <w:vMerge w:val="restart"/>
            <w:tcBorders>
              <w:top w:val="single" w:sz="12" w:space="0" w:color="auto"/>
              <w:left w:val="double" w:sz="4" w:space="0" w:color="auto"/>
              <w:bottom w:val="single" w:sz="8" w:space="0" w:color="000000"/>
              <w:right w:val="single" w:sz="12" w:space="0" w:color="000000"/>
            </w:tcBorders>
            <w:shd w:val="clear" w:color="000000" w:fill="E2EFDA"/>
            <w:vAlign w:val="center"/>
            <w:hideMark/>
          </w:tcPr>
          <w:p w14:paraId="3B664539" w14:textId="110688E8" w:rsidR="00631E19" w:rsidRPr="00FD7A51" w:rsidRDefault="00AC0135" w:rsidP="00AC0135">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Tribal </w:t>
            </w:r>
            <w:r w:rsidR="00631E19" w:rsidRPr="00FD7A51">
              <w:rPr>
                <w:rFonts w:ascii="Times New Roman" w:eastAsia="Times New Roman" w:hAnsi="Times New Roman" w:cs="Times New Roman"/>
                <w:color w:val="000000"/>
                <w:sz w:val="22"/>
                <w:szCs w:val="22"/>
              </w:rPr>
              <w:t xml:space="preserve">Blocks WITH </w:t>
            </w:r>
            <w:r>
              <w:rPr>
                <w:rFonts w:ascii="Times New Roman" w:eastAsia="Times New Roman" w:hAnsi="Times New Roman" w:cs="Times New Roman"/>
                <w:color w:val="000000"/>
                <w:sz w:val="22"/>
                <w:szCs w:val="22"/>
              </w:rPr>
              <w:t>Complete</w:t>
            </w:r>
            <w:r w:rsidR="00631E19" w:rsidRPr="00FD7A51">
              <w:rPr>
                <w:rFonts w:ascii="Times New Roman" w:eastAsia="Times New Roman" w:hAnsi="Times New Roman" w:cs="Times New Roman"/>
                <w:color w:val="000000"/>
                <w:sz w:val="22"/>
                <w:szCs w:val="22"/>
              </w:rPr>
              <w:t xml:space="preserve">  LTE </w:t>
            </w:r>
            <w:r>
              <w:rPr>
                <w:rFonts w:ascii="Times New Roman" w:eastAsia="Times New Roman" w:hAnsi="Times New Roman" w:cs="Times New Roman"/>
                <w:color w:val="000000"/>
                <w:sz w:val="22"/>
                <w:szCs w:val="22"/>
              </w:rPr>
              <w:t>Coverage and No Subsidized Provider</w:t>
            </w:r>
          </w:p>
        </w:tc>
        <w:tc>
          <w:tcPr>
            <w:tcW w:w="1445" w:type="dxa"/>
            <w:tcBorders>
              <w:top w:val="single" w:sz="12" w:space="0" w:color="auto"/>
              <w:left w:val="single" w:sz="12" w:space="0" w:color="000000"/>
              <w:bottom w:val="dashed" w:sz="4" w:space="0" w:color="auto"/>
              <w:right w:val="single" w:sz="4" w:space="0" w:color="auto"/>
            </w:tcBorders>
            <w:shd w:val="clear" w:color="auto" w:fill="auto"/>
            <w:noWrap/>
            <w:vAlign w:val="center"/>
          </w:tcPr>
          <w:p w14:paraId="5D7A759F" w14:textId="40A57046" w:rsidR="00631E19" w:rsidRPr="00631E19" w:rsidRDefault="00631E19" w:rsidP="00631E19">
            <w:pPr>
              <w:spacing w:after="0" w:line="240" w:lineRule="auto"/>
              <w:jc w:val="center"/>
              <w:rPr>
                <w:rFonts w:ascii="Times New Roman" w:eastAsia="Times New Roman" w:hAnsi="Times New Roman" w:cs="Times New Roman"/>
                <w:color w:val="000000"/>
                <w:sz w:val="22"/>
                <w:szCs w:val="22"/>
              </w:rPr>
            </w:pPr>
            <w:r w:rsidRPr="00631E19">
              <w:rPr>
                <w:rFonts w:ascii="Times New Roman" w:hAnsi="Times New Roman" w:cs="Times New Roman"/>
                <w:sz w:val="22"/>
                <w:szCs w:val="22"/>
              </w:rPr>
              <w:t>92,429</w:t>
            </w:r>
          </w:p>
        </w:tc>
        <w:tc>
          <w:tcPr>
            <w:tcW w:w="1170" w:type="dxa"/>
            <w:tcBorders>
              <w:top w:val="single" w:sz="12" w:space="0" w:color="auto"/>
              <w:left w:val="single" w:sz="4" w:space="0" w:color="auto"/>
              <w:bottom w:val="dashed" w:sz="4" w:space="0" w:color="auto"/>
              <w:right w:val="single" w:sz="4" w:space="0" w:color="auto"/>
            </w:tcBorders>
            <w:shd w:val="clear" w:color="auto" w:fill="auto"/>
            <w:noWrap/>
            <w:vAlign w:val="center"/>
          </w:tcPr>
          <w:p w14:paraId="3DFF2D67" w14:textId="62FB7183" w:rsidR="00631E19" w:rsidRPr="00631E19" w:rsidRDefault="00631E19" w:rsidP="00631E19">
            <w:pPr>
              <w:spacing w:after="0" w:line="240" w:lineRule="auto"/>
              <w:jc w:val="center"/>
              <w:rPr>
                <w:rFonts w:ascii="Times New Roman" w:eastAsia="Times New Roman" w:hAnsi="Times New Roman" w:cs="Times New Roman"/>
                <w:color w:val="000000"/>
                <w:sz w:val="22"/>
                <w:szCs w:val="22"/>
              </w:rPr>
            </w:pPr>
          </w:p>
        </w:tc>
        <w:tc>
          <w:tcPr>
            <w:tcW w:w="1350" w:type="dxa"/>
            <w:tcBorders>
              <w:top w:val="single" w:sz="12" w:space="0" w:color="auto"/>
              <w:left w:val="nil"/>
              <w:bottom w:val="dashed" w:sz="4" w:space="0" w:color="auto"/>
              <w:right w:val="single" w:sz="4" w:space="0" w:color="auto"/>
            </w:tcBorders>
            <w:shd w:val="clear" w:color="auto" w:fill="auto"/>
            <w:noWrap/>
            <w:vAlign w:val="center"/>
          </w:tcPr>
          <w:p w14:paraId="017D9DB1" w14:textId="74F35934" w:rsidR="00631E19" w:rsidRPr="00631E19" w:rsidRDefault="00631E19" w:rsidP="00631E19">
            <w:pPr>
              <w:spacing w:after="0" w:line="240" w:lineRule="auto"/>
              <w:jc w:val="center"/>
              <w:rPr>
                <w:rFonts w:ascii="Times New Roman" w:eastAsia="Times New Roman" w:hAnsi="Times New Roman" w:cs="Times New Roman"/>
                <w:color w:val="000000"/>
                <w:sz w:val="22"/>
                <w:szCs w:val="22"/>
              </w:rPr>
            </w:pPr>
          </w:p>
        </w:tc>
        <w:tc>
          <w:tcPr>
            <w:tcW w:w="1530" w:type="dxa"/>
            <w:tcBorders>
              <w:top w:val="single" w:sz="12" w:space="0" w:color="auto"/>
              <w:left w:val="nil"/>
              <w:bottom w:val="dashed" w:sz="4" w:space="0" w:color="auto"/>
              <w:right w:val="single" w:sz="12" w:space="0" w:color="auto"/>
            </w:tcBorders>
            <w:shd w:val="clear" w:color="auto" w:fill="auto"/>
            <w:noWrap/>
            <w:vAlign w:val="center"/>
          </w:tcPr>
          <w:p w14:paraId="4B173789" w14:textId="750B510F" w:rsidR="00631E19" w:rsidRPr="00631E19" w:rsidRDefault="00631E19" w:rsidP="00631E19">
            <w:pPr>
              <w:spacing w:after="0" w:line="240" w:lineRule="auto"/>
              <w:jc w:val="center"/>
              <w:rPr>
                <w:rFonts w:ascii="Times New Roman" w:eastAsia="Times New Roman" w:hAnsi="Times New Roman" w:cs="Times New Roman"/>
                <w:color w:val="000000"/>
                <w:sz w:val="22"/>
                <w:szCs w:val="22"/>
              </w:rPr>
            </w:pPr>
          </w:p>
        </w:tc>
        <w:tc>
          <w:tcPr>
            <w:tcW w:w="1440" w:type="dxa"/>
            <w:tcBorders>
              <w:top w:val="single" w:sz="12" w:space="0" w:color="auto"/>
              <w:left w:val="single" w:sz="12" w:space="0" w:color="auto"/>
              <w:bottom w:val="dashed" w:sz="4" w:space="0" w:color="auto"/>
              <w:right w:val="single" w:sz="4" w:space="0" w:color="auto"/>
            </w:tcBorders>
            <w:shd w:val="clear" w:color="auto" w:fill="auto"/>
            <w:noWrap/>
            <w:vAlign w:val="center"/>
          </w:tcPr>
          <w:p w14:paraId="54BA715D" w14:textId="5F2A9293" w:rsidR="00631E19" w:rsidRPr="00631E19" w:rsidRDefault="00631E19" w:rsidP="00631E19">
            <w:pPr>
              <w:spacing w:after="0" w:line="240" w:lineRule="auto"/>
              <w:jc w:val="center"/>
              <w:rPr>
                <w:rFonts w:ascii="Times New Roman" w:eastAsia="Times New Roman" w:hAnsi="Times New Roman" w:cs="Times New Roman"/>
                <w:color w:val="000000"/>
                <w:sz w:val="22"/>
                <w:szCs w:val="22"/>
              </w:rPr>
            </w:pPr>
            <w:r w:rsidRPr="00631E19">
              <w:rPr>
                <w:rFonts w:ascii="Times New Roman" w:hAnsi="Times New Roman" w:cs="Times New Roman"/>
                <w:sz w:val="22"/>
                <w:szCs w:val="22"/>
              </w:rPr>
              <w:t>811,460</w:t>
            </w:r>
          </w:p>
        </w:tc>
        <w:tc>
          <w:tcPr>
            <w:tcW w:w="1440" w:type="dxa"/>
            <w:tcBorders>
              <w:top w:val="single" w:sz="12" w:space="0" w:color="auto"/>
              <w:left w:val="single" w:sz="4" w:space="0" w:color="auto"/>
              <w:bottom w:val="dashed" w:sz="4" w:space="0" w:color="auto"/>
              <w:right w:val="single" w:sz="4" w:space="0" w:color="auto"/>
            </w:tcBorders>
            <w:shd w:val="clear" w:color="auto" w:fill="auto"/>
            <w:noWrap/>
            <w:vAlign w:val="center"/>
          </w:tcPr>
          <w:p w14:paraId="0F9BE5FD" w14:textId="6FD756E5" w:rsidR="00631E19" w:rsidRPr="00631E19" w:rsidRDefault="00631E19" w:rsidP="00631E19">
            <w:pPr>
              <w:spacing w:after="0" w:line="240" w:lineRule="auto"/>
              <w:jc w:val="center"/>
              <w:rPr>
                <w:rFonts w:ascii="Times New Roman" w:eastAsia="Times New Roman" w:hAnsi="Times New Roman" w:cs="Times New Roman"/>
                <w:color w:val="000000"/>
                <w:sz w:val="22"/>
                <w:szCs w:val="22"/>
              </w:rPr>
            </w:pPr>
          </w:p>
        </w:tc>
        <w:tc>
          <w:tcPr>
            <w:tcW w:w="1440" w:type="dxa"/>
            <w:tcBorders>
              <w:top w:val="single" w:sz="12" w:space="0" w:color="auto"/>
              <w:left w:val="nil"/>
              <w:bottom w:val="dashed" w:sz="4" w:space="0" w:color="auto"/>
              <w:right w:val="single" w:sz="4" w:space="0" w:color="auto"/>
            </w:tcBorders>
            <w:shd w:val="clear" w:color="auto" w:fill="auto"/>
            <w:noWrap/>
            <w:vAlign w:val="center"/>
          </w:tcPr>
          <w:p w14:paraId="6AD2CF48" w14:textId="2A1E275A" w:rsidR="00631E19" w:rsidRPr="00631E19" w:rsidRDefault="00631E19" w:rsidP="00631E19">
            <w:pPr>
              <w:spacing w:after="0" w:line="240" w:lineRule="auto"/>
              <w:jc w:val="center"/>
              <w:rPr>
                <w:rFonts w:ascii="Times New Roman" w:eastAsia="Times New Roman" w:hAnsi="Times New Roman" w:cs="Times New Roman"/>
                <w:color w:val="000000"/>
                <w:sz w:val="22"/>
                <w:szCs w:val="22"/>
              </w:rPr>
            </w:pPr>
          </w:p>
        </w:tc>
        <w:tc>
          <w:tcPr>
            <w:tcW w:w="1530" w:type="dxa"/>
            <w:tcBorders>
              <w:top w:val="single" w:sz="12" w:space="0" w:color="auto"/>
              <w:left w:val="nil"/>
              <w:bottom w:val="dashed" w:sz="4" w:space="0" w:color="auto"/>
              <w:right w:val="double" w:sz="4" w:space="0" w:color="auto"/>
            </w:tcBorders>
            <w:shd w:val="clear" w:color="auto" w:fill="auto"/>
            <w:noWrap/>
            <w:vAlign w:val="center"/>
          </w:tcPr>
          <w:p w14:paraId="3466FC16" w14:textId="2B4739C9" w:rsidR="00631E19" w:rsidRPr="00631E19" w:rsidRDefault="00631E19" w:rsidP="00631E19">
            <w:pPr>
              <w:spacing w:after="0" w:line="240" w:lineRule="auto"/>
              <w:jc w:val="center"/>
              <w:rPr>
                <w:rFonts w:ascii="Times New Roman" w:eastAsia="Times New Roman" w:hAnsi="Times New Roman" w:cs="Times New Roman"/>
                <w:color w:val="000000"/>
                <w:sz w:val="22"/>
                <w:szCs w:val="22"/>
              </w:rPr>
            </w:pPr>
          </w:p>
        </w:tc>
      </w:tr>
      <w:tr w:rsidR="00631E19" w:rsidRPr="00FD7A51" w14:paraId="6DB75CDC" w14:textId="77777777" w:rsidTr="00631E19">
        <w:trPr>
          <w:trHeight w:val="315"/>
        </w:trPr>
        <w:tc>
          <w:tcPr>
            <w:tcW w:w="2595" w:type="dxa"/>
            <w:gridSpan w:val="2"/>
            <w:vMerge/>
            <w:tcBorders>
              <w:top w:val="dashed" w:sz="4" w:space="0" w:color="auto"/>
              <w:left w:val="double" w:sz="4" w:space="0" w:color="auto"/>
              <w:bottom w:val="single" w:sz="8" w:space="0" w:color="000000"/>
              <w:right w:val="single" w:sz="12" w:space="0" w:color="000000"/>
            </w:tcBorders>
            <w:vAlign w:val="center"/>
            <w:hideMark/>
          </w:tcPr>
          <w:p w14:paraId="04BB1DB6" w14:textId="77777777" w:rsidR="00631E19" w:rsidRPr="00FD7A51" w:rsidRDefault="00631E19" w:rsidP="00631E19">
            <w:pPr>
              <w:spacing w:after="0" w:line="240" w:lineRule="auto"/>
              <w:rPr>
                <w:rFonts w:ascii="Times New Roman" w:eastAsia="Times New Roman" w:hAnsi="Times New Roman" w:cs="Times New Roman"/>
                <w:color w:val="000000"/>
                <w:sz w:val="22"/>
                <w:szCs w:val="22"/>
              </w:rPr>
            </w:pPr>
          </w:p>
        </w:tc>
        <w:tc>
          <w:tcPr>
            <w:tcW w:w="1445" w:type="dxa"/>
            <w:tcBorders>
              <w:top w:val="dashed" w:sz="4" w:space="0" w:color="auto"/>
              <w:left w:val="single" w:sz="12" w:space="0" w:color="000000"/>
              <w:bottom w:val="single" w:sz="12" w:space="0" w:color="auto"/>
              <w:right w:val="single" w:sz="4" w:space="0" w:color="auto"/>
            </w:tcBorders>
            <w:shd w:val="clear" w:color="auto" w:fill="auto"/>
            <w:noWrap/>
            <w:vAlign w:val="center"/>
          </w:tcPr>
          <w:p w14:paraId="196F8EE2" w14:textId="7157928A" w:rsidR="00631E19" w:rsidRPr="00631E19" w:rsidRDefault="00631E19" w:rsidP="00631E19">
            <w:pPr>
              <w:spacing w:after="0" w:line="240" w:lineRule="auto"/>
              <w:jc w:val="center"/>
              <w:rPr>
                <w:rFonts w:ascii="Times New Roman" w:eastAsia="Times New Roman" w:hAnsi="Times New Roman" w:cs="Times New Roman"/>
                <w:color w:val="000000"/>
                <w:sz w:val="22"/>
                <w:szCs w:val="22"/>
              </w:rPr>
            </w:pPr>
            <w:r w:rsidRPr="00631E19">
              <w:rPr>
                <w:rFonts w:ascii="Times New Roman" w:hAnsi="Times New Roman" w:cs="Times New Roman"/>
                <w:sz w:val="22"/>
                <w:szCs w:val="22"/>
              </w:rPr>
              <w:t>67.54%</w:t>
            </w:r>
          </w:p>
        </w:tc>
        <w:tc>
          <w:tcPr>
            <w:tcW w:w="1170" w:type="dxa"/>
            <w:tcBorders>
              <w:top w:val="dashed" w:sz="4" w:space="0" w:color="auto"/>
              <w:left w:val="single" w:sz="4" w:space="0" w:color="auto"/>
              <w:bottom w:val="single" w:sz="12" w:space="0" w:color="auto"/>
              <w:right w:val="single" w:sz="4" w:space="0" w:color="auto"/>
            </w:tcBorders>
            <w:shd w:val="clear" w:color="auto" w:fill="auto"/>
            <w:noWrap/>
            <w:vAlign w:val="center"/>
          </w:tcPr>
          <w:p w14:paraId="67C93DAE" w14:textId="36B22710" w:rsidR="00631E19" w:rsidRPr="00631E19" w:rsidRDefault="00631E19" w:rsidP="00631E19">
            <w:pPr>
              <w:spacing w:after="0" w:line="240" w:lineRule="auto"/>
              <w:jc w:val="center"/>
              <w:rPr>
                <w:rFonts w:ascii="Times New Roman" w:eastAsia="Times New Roman" w:hAnsi="Times New Roman" w:cs="Times New Roman"/>
                <w:color w:val="000000"/>
                <w:sz w:val="22"/>
                <w:szCs w:val="22"/>
              </w:rPr>
            </w:pPr>
          </w:p>
        </w:tc>
        <w:tc>
          <w:tcPr>
            <w:tcW w:w="1350" w:type="dxa"/>
            <w:tcBorders>
              <w:top w:val="dashed" w:sz="4" w:space="0" w:color="auto"/>
              <w:left w:val="nil"/>
              <w:bottom w:val="single" w:sz="12" w:space="0" w:color="auto"/>
              <w:right w:val="single" w:sz="4" w:space="0" w:color="auto"/>
            </w:tcBorders>
            <w:shd w:val="clear" w:color="auto" w:fill="auto"/>
            <w:noWrap/>
            <w:vAlign w:val="center"/>
          </w:tcPr>
          <w:p w14:paraId="2E50244A" w14:textId="30422788" w:rsidR="00631E19" w:rsidRPr="00631E19" w:rsidRDefault="00631E19" w:rsidP="00631E19">
            <w:pPr>
              <w:spacing w:after="0" w:line="240" w:lineRule="auto"/>
              <w:jc w:val="center"/>
              <w:rPr>
                <w:rFonts w:ascii="Times New Roman" w:eastAsia="Times New Roman" w:hAnsi="Times New Roman" w:cs="Times New Roman"/>
                <w:color w:val="000000"/>
                <w:sz w:val="22"/>
                <w:szCs w:val="22"/>
              </w:rPr>
            </w:pPr>
          </w:p>
        </w:tc>
        <w:tc>
          <w:tcPr>
            <w:tcW w:w="1530" w:type="dxa"/>
            <w:tcBorders>
              <w:top w:val="dashed" w:sz="4" w:space="0" w:color="auto"/>
              <w:left w:val="single" w:sz="4" w:space="0" w:color="auto"/>
              <w:bottom w:val="single" w:sz="12" w:space="0" w:color="auto"/>
              <w:right w:val="single" w:sz="12" w:space="0" w:color="auto"/>
            </w:tcBorders>
            <w:shd w:val="clear" w:color="auto" w:fill="auto"/>
            <w:noWrap/>
            <w:vAlign w:val="center"/>
          </w:tcPr>
          <w:p w14:paraId="538CE9D2" w14:textId="6B915E5C" w:rsidR="00631E19" w:rsidRPr="00631E19" w:rsidRDefault="00631E19" w:rsidP="00631E19">
            <w:pPr>
              <w:spacing w:after="0" w:line="240" w:lineRule="auto"/>
              <w:jc w:val="center"/>
              <w:rPr>
                <w:rFonts w:ascii="Times New Roman" w:eastAsia="Times New Roman" w:hAnsi="Times New Roman" w:cs="Times New Roman"/>
                <w:color w:val="000000"/>
                <w:sz w:val="22"/>
                <w:szCs w:val="22"/>
              </w:rPr>
            </w:pPr>
          </w:p>
        </w:tc>
        <w:tc>
          <w:tcPr>
            <w:tcW w:w="1440" w:type="dxa"/>
            <w:tcBorders>
              <w:top w:val="dashed" w:sz="4" w:space="0" w:color="auto"/>
              <w:left w:val="single" w:sz="12" w:space="0" w:color="auto"/>
              <w:bottom w:val="single" w:sz="12" w:space="0" w:color="auto"/>
              <w:right w:val="single" w:sz="4" w:space="0" w:color="auto"/>
            </w:tcBorders>
            <w:shd w:val="clear" w:color="auto" w:fill="auto"/>
            <w:noWrap/>
            <w:vAlign w:val="center"/>
          </w:tcPr>
          <w:p w14:paraId="5FF30D4E" w14:textId="3F0F5845" w:rsidR="00631E19" w:rsidRPr="00631E19" w:rsidRDefault="00631E19" w:rsidP="00631E19">
            <w:pPr>
              <w:spacing w:after="0" w:line="240" w:lineRule="auto"/>
              <w:jc w:val="center"/>
              <w:rPr>
                <w:rFonts w:ascii="Times New Roman" w:eastAsia="Times New Roman" w:hAnsi="Times New Roman" w:cs="Times New Roman"/>
                <w:color w:val="000000"/>
                <w:sz w:val="22"/>
                <w:szCs w:val="22"/>
              </w:rPr>
            </w:pPr>
            <w:r w:rsidRPr="00631E19">
              <w:rPr>
                <w:rFonts w:ascii="Times New Roman" w:hAnsi="Times New Roman" w:cs="Times New Roman"/>
                <w:sz w:val="22"/>
                <w:szCs w:val="22"/>
              </w:rPr>
              <w:t>88.44%</w:t>
            </w:r>
          </w:p>
        </w:tc>
        <w:tc>
          <w:tcPr>
            <w:tcW w:w="1440" w:type="dxa"/>
            <w:tcBorders>
              <w:top w:val="dashed" w:sz="4" w:space="0" w:color="auto"/>
              <w:left w:val="single" w:sz="4" w:space="0" w:color="auto"/>
              <w:bottom w:val="single" w:sz="12" w:space="0" w:color="auto"/>
              <w:right w:val="single" w:sz="4" w:space="0" w:color="auto"/>
            </w:tcBorders>
            <w:shd w:val="clear" w:color="auto" w:fill="auto"/>
            <w:noWrap/>
            <w:vAlign w:val="center"/>
          </w:tcPr>
          <w:p w14:paraId="0A525862" w14:textId="573BBF13" w:rsidR="00631E19" w:rsidRPr="00631E19" w:rsidRDefault="00631E19" w:rsidP="00631E19">
            <w:pPr>
              <w:spacing w:after="0" w:line="240" w:lineRule="auto"/>
              <w:jc w:val="center"/>
              <w:rPr>
                <w:rFonts w:ascii="Times New Roman" w:eastAsia="Times New Roman" w:hAnsi="Times New Roman" w:cs="Times New Roman"/>
                <w:color w:val="000000"/>
                <w:sz w:val="22"/>
                <w:szCs w:val="22"/>
              </w:rPr>
            </w:pPr>
          </w:p>
        </w:tc>
        <w:tc>
          <w:tcPr>
            <w:tcW w:w="1440" w:type="dxa"/>
            <w:tcBorders>
              <w:top w:val="dashed" w:sz="4" w:space="0" w:color="auto"/>
              <w:left w:val="nil"/>
              <w:bottom w:val="single" w:sz="12" w:space="0" w:color="auto"/>
              <w:right w:val="single" w:sz="4" w:space="0" w:color="auto"/>
            </w:tcBorders>
            <w:shd w:val="clear" w:color="auto" w:fill="auto"/>
            <w:noWrap/>
            <w:vAlign w:val="center"/>
          </w:tcPr>
          <w:p w14:paraId="1415626C" w14:textId="61D86D4D" w:rsidR="00631E19" w:rsidRPr="00631E19" w:rsidRDefault="00631E19" w:rsidP="00631E19">
            <w:pPr>
              <w:spacing w:after="0" w:line="240" w:lineRule="auto"/>
              <w:jc w:val="center"/>
              <w:rPr>
                <w:rFonts w:ascii="Times New Roman" w:eastAsia="Times New Roman" w:hAnsi="Times New Roman" w:cs="Times New Roman"/>
                <w:color w:val="000000"/>
                <w:sz w:val="22"/>
                <w:szCs w:val="22"/>
              </w:rPr>
            </w:pPr>
          </w:p>
        </w:tc>
        <w:tc>
          <w:tcPr>
            <w:tcW w:w="1530" w:type="dxa"/>
            <w:tcBorders>
              <w:top w:val="dashed" w:sz="4" w:space="0" w:color="auto"/>
              <w:left w:val="single" w:sz="4" w:space="0" w:color="auto"/>
              <w:bottom w:val="single" w:sz="12" w:space="0" w:color="auto"/>
              <w:right w:val="double" w:sz="4" w:space="0" w:color="auto"/>
            </w:tcBorders>
            <w:shd w:val="clear" w:color="auto" w:fill="auto"/>
            <w:noWrap/>
            <w:vAlign w:val="center"/>
          </w:tcPr>
          <w:p w14:paraId="136D9344" w14:textId="46E6195C" w:rsidR="00631E19" w:rsidRPr="00631E19" w:rsidRDefault="00631E19" w:rsidP="00631E19">
            <w:pPr>
              <w:spacing w:after="0" w:line="240" w:lineRule="auto"/>
              <w:jc w:val="center"/>
              <w:rPr>
                <w:rFonts w:ascii="Times New Roman" w:eastAsia="Times New Roman" w:hAnsi="Times New Roman" w:cs="Times New Roman"/>
                <w:color w:val="000000"/>
                <w:sz w:val="22"/>
                <w:szCs w:val="22"/>
              </w:rPr>
            </w:pPr>
          </w:p>
        </w:tc>
      </w:tr>
      <w:tr w:rsidR="00631E19" w:rsidRPr="00FD7A51" w14:paraId="28B7240F" w14:textId="77777777" w:rsidTr="00631E19">
        <w:trPr>
          <w:trHeight w:val="411"/>
        </w:trPr>
        <w:tc>
          <w:tcPr>
            <w:tcW w:w="2595" w:type="dxa"/>
            <w:gridSpan w:val="2"/>
            <w:vMerge w:val="restart"/>
            <w:tcBorders>
              <w:top w:val="single" w:sz="12" w:space="0" w:color="auto"/>
              <w:left w:val="double" w:sz="4" w:space="0" w:color="auto"/>
              <w:bottom w:val="single" w:sz="8" w:space="0" w:color="000000"/>
              <w:right w:val="single" w:sz="12" w:space="0" w:color="000000"/>
            </w:tcBorders>
            <w:shd w:val="clear" w:color="000000" w:fill="E2EFDA"/>
            <w:vAlign w:val="center"/>
            <w:hideMark/>
          </w:tcPr>
          <w:p w14:paraId="2E7256DD" w14:textId="4A95C345" w:rsidR="00631E19" w:rsidRPr="00FD7A51" w:rsidRDefault="00AC0135" w:rsidP="009B0FB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Tribal </w:t>
            </w:r>
            <w:r w:rsidR="00631E19" w:rsidRPr="00FD7A51">
              <w:rPr>
                <w:rFonts w:ascii="Times New Roman" w:eastAsia="Times New Roman" w:hAnsi="Times New Roman" w:cs="Times New Roman"/>
                <w:color w:val="000000"/>
                <w:sz w:val="22"/>
                <w:szCs w:val="22"/>
              </w:rPr>
              <w:t xml:space="preserve">Blocks </w:t>
            </w:r>
            <w:r w:rsidRPr="003A2898">
              <w:rPr>
                <w:rFonts w:ascii="Times New Roman" w:eastAsia="Times New Roman" w:hAnsi="Times New Roman" w:cs="Times New Roman"/>
                <w:color w:val="000000"/>
                <w:sz w:val="22"/>
                <w:szCs w:val="22"/>
              </w:rPr>
              <w:t>WITH</w:t>
            </w:r>
            <w:r>
              <w:rPr>
                <w:rFonts w:ascii="Times New Roman" w:eastAsia="Times New Roman" w:hAnsi="Times New Roman" w:cs="Times New Roman"/>
                <w:color w:val="000000"/>
                <w:sz w:val="22"/>
                <w:szCs w:val="22"/>
              </w:rPr>
              <w:t xml:space="preserve"> Less than Complete LTE Coverage, or WITH At</w:t>
            </w:r>
            <w:r w:rsidR="009B0FBB">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least One S</w:t>
            </w:r>
            <w:r w:rsidRPr="003A2898">
              <w:rPr>
                <w:rFonts w:ascii="Times New Roman" w:eastAsia="Times New Roman" w:hAnsi="Times New Roman" w:cs="Times New Roman"/>
                <w:color w:val="000000"/>
                <w:sz w:val="22"/>
                <w:szCs w:val="22"/>
              </w:rPr>
              <w:t xml:space="preserve">ubsidized LTE </w:t>
            </w:r>
            <w:r>
              <w:rPr>
                <w:rFonts w:ascii="Times New Roman" w:eastAsia="Times New Roman" w:hAnsi="Times New Roman" w:cs="Times New Roman"/>
                <w:color w:val="000000"/>
                <w:sz w:val="22"/>
                <w:szCs w:val="22"/>
              </w:rPr>
              <w:t>Provider</w:t>
            </w:r>
          </w:p>
        </w:tc>
        <w:tc>
          <w:tcPr>
            <w:tcW w:w="1445" w:type="dxa"/>
            <w:tcBorders>
              <w:top w:val="single" w:sz="12" w:space="0" w:color="auto"/>
              <w:left w:val="single" w:sz="12" w:space="0" w:color="000000"/>
              <w:bottom w:val="dashed" w:sz="4" w:space="0" w:color="auto"/>
              <w:right w:val="single" w:sz="4" w:space="0" w:color="auto"/>
            </w:tcBorders>
            <w:shd w:val="clear" w:color="auto" w:fill="auto"/>
            <w:noWrap/>
            <w:vAlign w:val="center"/>
          </w:tcPr>
          <w:p w14:paraId="737B2856" w14:textId="5CEA56C5" w:rsidR="00631E19" w:rsidRPr="00631E19" w:rsidRDefault="00E527C7" w:rsidP="00631E19">
            <w:pPr>
              <w:spacing w:after="0" w:line="240" w:lineRule="auto"/>
              <w:jc w:val="center"/>
              <w:rPr>
                <w:rFonts w:ascii="Times New Roman" w:eastAsia="Times New Roman" w:hAnsi="Times New Roman" w:cs="Times New Roman"/>
                <w:color w:val="000000"/>
                <w:sz w:val="22"/>
                <w:szCs w:val="22"/>
              </w:rPr>
            </w:pPr>
            <w:r>
              <w:rPr>
                <w:rFonts w:ascii="Times New Roman" w:hAnsi="Times New Roman" w:cs="Times New Roman"/>
                <w:sz w:val="22"/>
                <w:szCs w:val="22"/>
              </w:rPr>
              <w:t>44,416</w:t>
            </w:r>
          </w:p>
        </w:tc>
        <w:tc>
          <w:tcPr>
            <w:tcW w:w="1170" w:type="dxa"/>
            <w:tcBorders>
              <w:top w:val="single" w:sz="12" w:space="0" w:color="auto"/>
              <w:left w:val="single" w:sz="4" w:space="0" w:color="auto"/>
              <w:bottom w:val="dashed" w:sz="4" w:space="0" w:color="auto"/>
              <w:right w:val="single" w:sz="4" w:space="0" w:color="auto"/>
            </w:tcBorders>
            <w:shd w:val="clear" w:color="auto" w:fill="auto"/>
            <w:noWrap/>
            <w:vAlign w:val="center"/>
          </w:tcPr>
          <w:p w14:paraId="56C75317" w14:textId="62B795E9" w:rsidR="00631E19" w:rsidRPr="00631E19" w:rsidRDefault="00631E19" w:rsidP="00631E19">
            <w:pPr>
              <w:spacing w:after="0" w:line="240" w:lineRule="auto"/>
              <w:jc w:val="center"/>
              <w:rPr>
                <w:rFonts w:ascii="Times New Roman" w:eastAsia="Times New Roman" w:hAnsi="Times New Roman" w:cs="Times New Roman"/>
                <w:color w:val="000000"/>
                <w:sz w:val="22"/>
                <w:szCs w:val="22"/>
              </w:rPr>
            </w:pPr>
            <w:r w:rsidRPr="00631E19">
              <w:rPr>
                <w:rFonts w:ascii="Times New Roman" w:hAnsi="Times New Roman" w:cs="Times New Roman"/>
                <w:sz w:val="22"/>
                <w:szCs w:val="22"/>
              </w:rPr>
              <w:t>51,500</w:t>
            </w:r>
          </w:p>
        </w:tc>
        <w:tc>
          <w:tcPr>
            <w:tcW w:w="1350" w:type="dxa"/>
            <w:tcBorders>
              <w:top w:val="single" w:sz="12" w:space="0" w:color="auto"/>
              <w:left w:val="nil"/>
              <w:bottom w:val="dashed" w:sz="4" w:space="0" w:color="auto"/>
              <w:right w:val="single" w:sz="4" w:space="0" w:color="auto"/>
            </w:tcBorders>
            <w:shd w:val="clear" w:color="auto" w:fill="auto"/>
            <w:noWrap/>
            <w:vAlign w:val="center"/>
          </w:tcPr>
          <w:p w14:paraId="37CB9044" w14:textId="4BAD7594" w:rsidR="00631E19" w:rsidRPr="00631E19" w:rsidRDefault="00631E19" w:rsidP="00631E19">
            <w:pPr>
              <w:spacing w:after="0" w:line="240" w:lineRule="auto"/>
              <w:jc w:val="center"/>
              <w:rPr>
                <w:rFonts w:ascii="Times New Roman" w:eastAsia="Times New Roman" w:hAnsi="Times New Roman" w:cs="Times New Roman"/>
                <w:color w:val="000000"/>
                <w:sz w:val="22"/>
                <w:szCs w:val="22"/>
              </w:rPr>
            </w:pPr>
            <w:r w:rsidRPr="00631E19">
              <w:rPr>
                <w:rFonts w:ascii="Times New Roman" w:hAnsi="Times New Roman" w:cs="Times New Roman"/>
                <w:sz w:val="22"/>
                <w:szCs w:val="22"/>
              </w:rPr>
              <w:t>10,395</w:t>
            </w:r>
          </w:p>
        </w:tc>
        <w:tc>
          <w:tcPr>
            <w:tcW w:w="1530" w:type="dxa"/>
            <w:tcBorders>
              <w:top w:val="single" w:sz="12" w:space="0" w:color="auto"/>
              <w:left w:val="nil"/>
              <w:bottom w:val="dashed" w:sz="4" w:space="0" w:color="auto"/>
              <w:right w:val="single" w:sz="12" w:space="0" w:color="auto"/>
            </w:tcBorders>
            <w:shd w:val="clear" w:color="auto" w:fill="auto"/>
            <w:noWrap/>
            <w:vAlign w:val="center"/>
          </w:tcPr>
          <w:p w14:paraId="176A64A9" w14:textId="6D574C8D" w:rsidR="00631E19" w:rsidRPr="00631E19" w:rsidRDefault="00631E19" w:rsidP="00631E19">
            <w:pPr>
              <w:spacing w:after="0" w:line="240" w:lineRule="auto"/>
              <w:jc w:val="center"/>
              <w:rPr>
                <w:rFonts w:ascii="Times New Roman" w:eastAsia="Times New Roman" w:hAnsi="Times New Roman" w:cs="Times New Roman"/>
                <w:color w:val="000000"/>
                <w:sz w:val="22"/>
                <w:szCs w:val="22"/>
              </w:rPr>
            </w:pPr>
            <w:r w:rsidRPr="00631E19">
              <w:rPr>
                <w:rFonts w:ascii="Times New Roman" w:hAnsi="Times New Roman" w:cs="Times New Roman"/>
                <w:sz w:val="22"/>
                <w:szCs w:val="22"/>
              </w:rPr>
              <w:t>61,895</w:t>
            </w:r>
          </w:p>
        </w:tc>
        <w:tc>
          <w:tcPr>
            <w:tcW w:w="1440" w:type="dxa"/>
            <w:tcBorders>
              <w:top w:val="single" w:sz="12" w:space="0" w:color="auto"/>
              <w:left w:val="single" w:sz="12" w:space="0" w:color="auto"/>
              <w:bottom w:val="dashed" w:sz="4" w:space="0" w:color="auto"/>
              <w:right w:val="single" w:sz="4" w:space="0" w:color="auto"/>
            </w:tcBorders>
            <w:shd w:val="clear" w:color="auto" w:fill="auto"/>
            <w:noWrap/>
            <w:vAlign w:val="center"/>
          </w:tcPr>
          <w:p w14:paraId="67A466B5" w14:textId="4D82F22D" w:rsidR="00631E19" w:rsidRPr="00631E19" w:rsidRDefault="004004D1" w:rsidP="00631E19">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106,059</w:t>
            </w:r>
          </w:p>
        </w:tc>
        <w:tc>
          <w:tcPr>
            <w:tcW w:w="1440" w:type="dxa"/>
            <w:tcBorders>
              <w:top w:val="single" w:sz="12" w:space="0" w:color="auto"/>
              <w:left w:val="single" w:sz="4" w:space="0" w:color="auto"/>
              <w:bottom w:val="dashed" w:sz="4" w:space="0" w:color="auto"/>
              <w:right w:val="single" w:sz="4" w:space="0" w:color="auto"/>
            </w:tcBorders>
            <w:shd w:val="clear" w:color="auto" w:fill="auto"/>
            <w:noWrap/>
            <w:vAlign w:val="center"/>
          </w:tcPr>
          <w:p w14:paraId="29051A40" w14:textId="3117C136" w:rsidR="00631E19" w:rsidRPr="00631E19" w:rsidRDefault="006D7F77" w:rsidP="00631E19">
            <w:pPr>
              <w:spacing w:after="0" w:line="240" w:lineRule="auto"/>
              <w:jc w:val="center"/>
              <w:rPr>
                <w:rFonts w:ascii="Times New Roman" w:eastAsia="Times New Roman" w:hAnsi="Times New Roman" w:cs="Times New Roman"/>
                <w:color w:val="000000"/>
                <w:sz w:val="22"/>
                <w:szCs w:val="22"/>
              </w:rPr>
            </w:pPr>
            <w:r>
              <w:rPr>
                <w:rFonts w:ascii="Times New Roman" w:hAnsi="Times New Roman" w:cs="Times New Roman"/>
                <w:sz w:val="22"/>
                <w:szCs w:val="22"/>
              </w:rPr>
              <w:t>121,927</w:t>
            </w:r>
          </w:p>
        </w:tc>
        <w:tc>
          <w:tcPr>
            <w:tcW w:w="1440" w:type="dxa"/>
            <w:tcBorders>
              <w:top w:val="single" w:sz="12" w:space="0" w:color="auto"/>
              <w:left w:val="nil"/>
              <w:bottom w:val="dashed" w:sz="4" w:space="0" w:color="auto"/>
              <w:right w:val="single" w:sz="4" w:space="0" w:color="auto"/>
            </w:tcBorders>
            <w:shd w:val="clear" w:color="auto" w:fill="auto"/>
            <w:noWrap/>
            <w:vAlign w:val="center"/>
          </w:tcPr>
          <w:p w14:paraId="43CCE3B0" w14:textId="7475B719" w:rsidR="00631E19" w:rsidRPr="00631E19" w:rsidRDefault="00631E19" w:rsidP="00631E19">
            <w:pPr>
              <w:spacing w:after="0" w:line="240" w:lineRule="auto"/>
              <w:jc w:val="center"/>
              <w:rPr>
                <w:rFonts w:ascii="Times New Roman" w:eastAsia="Times New Roman" w:hAnsi="Times New Roman" w:cs="Times New Roman"/>
                <w:color w:val="000000"/>
                <w:sz w:val="22"/>
                <w:szCs w:val="22"/>
              </w:rPr>
            </w:pPr>
            <w:r w:rsidRPr="00631E19">
              <w:rPr>
                <w:rFonts w:ascii="Times New Roman" w:hAnsi="Times New Roman" w:cs="Times New Roman"/>
                <w:sz w:val="22"/>
                <w:szCs w:val="22"/>
              </w:rPr>
              <w:t>52,011</w:t>
            </w:r>
          </w:p>
        </w:tc>
        <w:tc>
          <w:tcPr>
            <w:tcW w:w="1530" w:type="dxa"/>
            <w:tcBorders>
              <w:top w:val="single" w:sz="12" w:space="0" w:color="auto"/>
              <w:left w:val="nil"/>
              <w:bottom w:val="dashed" w:sz="4" w:space="0" w:color="auto"/>
              <w:right w:val="double" w:sz="4" w:space="0" w:color="auto"/>
            </w:tcBorders>
            <w:shd w:val="clear" w:color="auto" w:fill="auto"/>
            <w:noWrap/>
            <w:vAlign w:val="center"/>
          </w:tcPr>
          <w:p w14:paraId="2647B9FF" w14:textId="4BCD0E56" w:rsidR="00631E19" w:rsidRPr="00631E19" w:rsidRDefault="00631E19" w:rsidP="00631E19">
            <w:pPr>
              <w:spacing w:after="0" w:line="240" w:lineRule="auto"/>
              <w:jc w:val="center"/>
              <w:rPr>
                <w:rFonts w:ascii="Times New Roman" w:eastAsia="Times New Roman" w:hAnsi="Times New Roman" w:cs="Times New Roman"/>
                <w:color w:val="000000"/>
                <w:sz w:val="22"/>
                <w:szCs w:val="22"/>
              </w:rPr>
            </w:pPr>
            <w:r w:rsidRPr="00631E19">
              <w:rPr>
                <w:rFonts w:ascii="Times New Roman" w:hAnsi="Times New Roman" w:cs="Times New Roman"/>
                <w:sz w:val="22"/>
                <w:szCs w:val="22"/>
              </w:rPr>
              <w:t>173,937</w:t>
            </w:r>
          </w:p>
        </w:tc>
      </w:tr>
      <w:tr w:rsidR="00631E19" w:rsidRPr="00FD7A51" w14:paraId="0E495AEC" w14:textId="77777777" w:rsidTr="00631E19">
        <w:trPr>
          <w:trHeight w:val="421"/>
        </w:trPr>
        <w:tc>
          <w:tcPr>
            <w:tcW w:w="2595" w:type="dxa"/>
            <w:gridSpan w:val="2"/>
            <w:vMerge/>
            <w:tcBorders>
              <w:top w:val="nil"/>
              <w:left w:val="double" w:sz="4" w:space="0" w:color="auto"/>
              <w:bottom w:val="single" w:sz="8" w:space="0" w:color="000000"/>
              <w:right w:val="single" w:sz="12" w:space="0" w:color="000000"/>
            </w:tcBorders>
            <w:vAlign w:val="center"/>
            <w:hideMark/>
          </w:tcPr>
          <w:p w14:paraId="14EF24AD" w14:textId="77777777" w:rsidR="00631E19" w:rsidRPr="00FD7A51" w:rsidRDefault="00631E19" w:rsidP="00631E19">
            <w:pPr>
              <w:spacing w:after="0" w:line="240" w:lineRule="auto"/>
              <w:rPr>
                <w:rFonts w:ascii="Times New Roman" w:eastAsia="Times New Roman" w:hAnsi="Times New Roman" w:cs="Times New Roman"/>
                <w:color w:val="000000"/>
                <w:sz w:val="22"/>
                <w:szCs w:val="22"/>
              </w:rPr>
            </w:pPr>
          </w:p>
        </w:tc>
        <w:tc>
          <w:tcPr>
            <w:tcW w:w="1445" w:type="dxa"/>
            <w:tcBorders>
              <w:top w:val="dashed" w:sz="4" w:space="0" w:color="auto"/>
              <w:left w:val="single" w:sz="12" w:space="0" w:color="000000"/>
              <w:bottom w:val="single" w:sz="8" w:space="0" w:color="auto"/>
              <w:right w:val="single" w:sz="4" w:space="0" w:color="auto"/>
            </w:tcBorders>
            <w:shd w:val="clear" w:color="auto" w:fill="auto"/>
            <w:noWrap/>
            <w:vAlign w:val="center"/>
          </w:tcPr>
          <w:p w14:paraId="355EB06E" w14:textId="37D14524" w:rsidR="00631E19" w:rsidRPr="00631E19" w:rsidRDefault="00E527C7" w:rsidP="00631E19">
            <w:pPr>
              <w:spacing w:after="0" w:line="240" w:lineRule="auto"/>
              <w:jc w:val="center"/>
              <w:rPr>
                <w:rFonts w:ascii="Times New Roman" w:eastAsia="Times New Roman" w:hAnsi="Times New Roman" w:cs="Times New Roman"/>
                <w:color w:val="000000"/>
                <w:sz w:val="22"/>
                <w:szCs w:val="22"/>
              </w:rPr>
            </w:pPr>
            <w:r>
              <w:rPr>
                <w:rFonts w:ascii="Times New Roman" w:hAnsi="Times New Roman" w:cs="Times New Roman"/>
                <w:sz w:val="22"/>
                <w:szCs w:val="22"/>
              </w:rPr>
              <w:t>32.46</w:t>
            </w:r>
            <w:r w:rsidR="00631E19" w:rsidRPr="00631E19">
              <w:rPr>
                <w:rFonts w:ascii="Times New Roman" w:hAnsi="Times New Roman" w:cs="Times New Roman"/>
                <w:sz w:val="22"/>
                <w:szCs w:val="22"/>
              </w:rPr>
              <w:t>%</w:t>
            </w:r>
          </w:p>
        </w:tc>
        <w:tc>
          <w:tcPr>
            <w:tcW w:w="1170" w:type="dxa"/>
            <w:tcBorders>
              <w:top w:val="dashed" w:sz="4" w:space="0" w:color="auto"/>
              <w:left w:val="nil"/>
              <w:bottom w:val="single" w:sz="8" w:space="0" w:color="auto"/>
              <w:right w:val="single" w:sz="4" w:space="0" w:color="auto"/>
            </w:tcBorders>
            <w:shd w:val="clear" w:color="auto" w:fill="auto"/>
            <w:noWrap/>
            <w:vAlign w:val="center"/>
          </w:tcPr>
          <w:p w14:paraId="0CA32C8D" w14:textId="5DD26AE9" w:rsidR="00631E19" w:rsidRPr="00631E19" w:rsidRDefault="00631E19" w:rsidP="00631E19">
            <w:pPr>
              <w:spacing w:after="0" w:line="240" w:lineRule="auto"/>
              <w:jc w:val="center"/>
              <w:rPr>
                <w:rFonts w:ascii="Times New Roman" w:eastAsia="Times New Roman" w:hAnsi="Times New Roman" w:cs="Times New Roman"/>
                <w:color w:val="000000"/>
                <w:sz w:val="22"/>
                <w:szCs w:val="22"/>
              </w:rPr>
            </w:pPr>
            <w:r w:rsidRPr="00631E19">
              <w:rPr>
                <w:rFonts w:ascii="Times New Roman" w:hAnsi="Times New Roman" w:cs="Times New Roman"/>
                <w:sz w:val="22"/>
                <w:szCs w:val="22"/>
              </w:rPr>
              <w:t>100.00%</w:t>
            </w:r>
          </w:p>
        </w:tc>
        <w:tc>
          <w:tcPr>
            <w:tcW w:w="1350" w:type="dxa"/>
            <w:tcBorders>
              <w:top w:val="dashed" w:sz="4" w:space="0" w:color="auto"/>
              <w:left w:val="nil"/>
              <w:bottom w:val="single" w:sz="8" w:space="0" w:color="auto"/>
              <w:right w:val="single" w:sz="4" w:space="0" w:color="auto"/>
            </w:tcBorders>
            <w:shd w:val="clear" w:color="auto" w:fill="auto"/>
            <w:noWrap/>
            <w:vAlign w:val="center"/>
          </w:tcPr>
          <w:p w14:paraId="6AF0E6BA" w14:textId="6C5C4E59" w:rsidR="00631E19" w:rsidRPr="00631E19" w:rsidRDefault="00631E19" w:rsidP="00631E19">
            <w:pPr>
              <w:spacing w:after="0" w:line="240" w:lineRule="auto"/>
              <w:jc w:val="center"/>
              <w:rPr>
                <w:rFonts w:ascii="Times New Roman" w:eastAsia="Times New Roman" w:hAnsi="Times New Roman" w:cs="Times New Roman"/>
                <w:color w:val="000000"/>
                <w:sz w:val="22"/>
                <w:szCs w:val="22"/>
              </w:rPr>
            </w:pPr>
            <w:r w:rsidRPr="00631E19">
              <w:rPr>
                <w:rFonts w:ascii="Times New Roman" w:hAnsi="Times New Roman" w:cs="Times New Roman"/>
                <w:sz w:val="22"/>
                <w:szCs w:val="22"/>
              </w:rPr>
              <w:t>100%</w:t>
            </w:r>
          </w:p>
        </w:tc>
        <w:tc>
          <w:tcPr>
            <w:tcW w:w="1530" w:type="dxa"/>
            <w:tcBorders>
              <w:top w:val="dashed" w:sz="4" w:space="0" w:color="auto"/>
              <w:left w:val="nil"/>
              <w:bottom w:val="single" w:sz="8" w:space="0" w:color="auto"/>
              <w:right w:val="single" w:sz="12" w:space="0" w:color="auto"/>
            </w:tcBorders>
            <w:shd w:val="clear" w:color="auto" w:fill="auto"/>
            <w:noWrap/>
            <w:vAlign w:val="center"/>
          </w:tcPr>
          <w:p w14:paraId="36D04EAE" w14:textId="2C36A724" w:rsidR="00631E19" w:rsidRPr="00631E19" w:rsidRDefault="00631E19" w:rsidP="00631E19">
            <w:pPr>
              <w:spacing w:after="0" w:line="240" w:lineRule="auto"/>
              <w:jc w:val="center"/>
              <w:rPr>
                <w:rFonts w:ascii="Times New Roman" w:eastAsia="Times New Roman" w:hAnsi="Times New Roman" w:cs="Times New Roman"/>
                <w:color w:val="000000"/>
                <w:sz w:val="22"/>
                <w:szCs w:val="22"/>
              </w:rPr>
            </w:pPr>
            <w:r w:rsidRPr="00631E19">
              <w:rPr>
                <w:rFonts w:ascii="Times New Roman" w:hAnsi="Times New Roman" w:cs="Times New Roman"/>
                <w:sz w:val="22"/>
                <w:szCs w:val="22"/>
              </w:rPr>
              <w:t>100%</w:t>
            </w:r>
          </w:p>
        </w:tc>
        <w:tc>
          <w:tcPr>
            <w:tcW w:w="1440" w:type="dxa"/>
            <w:tcBorders>
              <w:top w:val="dashed" w:sz="4" w:space="0" w:color="auto"/>
              <w:left w:val="single" w:sz="12" w:space="0" w:color="auto"/>
              <w:bottom w:val="single" w:sz="8" w:space="0" w:color="auto"/>
              <w:right w:val="single" w:sz="4" w:space="0" w:color="auto"/>
            </w:tcBorders>
            <w:shd w:val="clear" w:color="auto" w:fill="auto"/>
            <w:noWrap/>
            <w:vAlign w:val="center"/>
          </w:tcPr>
          <w:p w14:paraId="70672C45" w14:textId="339190F3" w:rsidR="00631E19" w:rsidRPr="00631E19" w:rsidRDefault="004004D1" w:rsidP="00631E19">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11.56%</w:t>
            </w:r>
          </w:p>
        </w:tc>
        <w:tc>
          <w:tcPr>
            <w:tcW w:w="1440" w:type="dxa"/>
            <w:tcBorders>
              <w:top w:val="dashed" w:sz="4" w:space="0" w:color="auto"/>
              <w:left w:val="nil"/>
              <w:bottom w:val="single" w:sz="8" w:space="0" w:color="auto"/>
              <w:right w:val="single" w:sz="4" w:space="0" w:color="auto"/>
            </w:tcBorders>
            <w:shd w:val="clear" w:color="auto" w:fill="auto"/>
            <w:noWrap/>
            <w:vAlign w:val="center"/>
          </w:tcPr>
          <w:p w14:paraId="411A42B6" w14:textId="2E30B106" w:rsidR="00631E19" w:rsidRPr="00631E19" w:rsidRDefault="004004D1" w:rsidP="00631E19">
            <w:pPr>
              <w:spacing w:after="0" w:line="240" w:lineRule="auto"/>
              <w:jc w:val="center"/>
              <w:rPr>
                <w:rFonts w:ascii="Times New Roman" w:eastAsia="Times New Roman" w:hAnsi="Times New Roman" w:cs="Times New Roman"/>
                <w:color w:val="000000"/>
                <w:sz w:val="22"/>
                <w:szCs w:val="22"/>
              </w:rPr>
            </w:pPr>
            <w:r>
              <w:rPr>
                <w:rFonts w:ascii="Times New Roman" w:hAnsi="Times New Roman" w:cs="Times New Roman"/>
                <w:sz w:val="22"/>
                <w:szCs w:val="22"/>
              </w:rPr>
              <w:t>100</w:t>
            </w:r>
            <w:r w:rsidR="00631E19" w:rsidRPr="00631E19">
              <w:rPr>
                <w:rFonts w:ascii="Times New Roman" w:hAnsi="Times New Roman" w:cs="Times New Roman"/>
                <w:sz w:val="22"/>
                <w:szCs w:val="22"/>
              </w:rPr>
              <w:t>%</w:t>
            </w:r>
          </w:p>
        </w:tc>
        <w:tc>
          <w:tcPr>
            <w:tcW w:w="1440" w:type="dxa"/>
            <w:tcBorders>
              <w:top w:val="dashed" w:sz="4" w:space="0" w:color="auto"/>
              <w:left w:val="nil"/>
              <w:bottom w:val="single" w:sz="8" w:space="0" w:color="auto"/>
              <w:right w:val="single" w:sz="4" w:space="0" w:color="auto"/>
            </w:tcBorders>
            <w:shd w:val="clear" w:color="auto" w:fill="auto"/>
            <w:noWrap/>
            <w:vAlign w:val="center"/>
          </w:tcPr>
          <w:p w14:paraId="277E0C79" w14:textId="3D4C6352" w:rsidR="00631E19" w:rsidRPr="00631E19" w:rsidRDefault="004004D1" w:rsidP="00631E19">
            <w:pPr>
              <w:spacing w:after="0" w:line="240" w:lineRule="auto"/>
              <w:jc w:val="center"/>
              <w:rPr>
                <w:rFonts w:ascii="Times New Roman" w:eastAsia="Times New Roman" w:hAnsi="Times New Roman" w:cs="Times New Roman"/>
                <w:color w:val="000000"/>
                <w:sz w:val="22"/>
                <w:szCs w:val="22"/>
              </w:rPr>
            </w:pPr>
            <w:r>
              <w:rPr>
                <w:rFonts w:ascii="Times New Roman" w:hAnsi="Times New Roman" w:cs="Times New Roman"/>
                <w:sz w:val="22"/>
                <w:szCs w:val="22"/>
              </w:rPr>
              <w:t>100</w:t>
            </w:r>
            <w:r w:rsidR="00631E19" w:rsidRPr="00631E19">
              <w:rPr>
                <w:rFonts w:ascii="Times New Roman" w:hAnsi="Times New Roman" w:cs="Times New Roman"/>
                <w:sz w:val="22"/>
                <w:szCs w:val="22"/>
              </w:rPr>
              <w:t>%</w:t>
            </w:r>
          </w:p>
        </w:tc>
        <w:tc>
          <w:tcPr>
            <w:tcW w:w="1530" w:type="dxa"/>
            <w:tcBorders>
              <w:top w:val="dashed" w:sz="4" w:space="0" w:color="auto"/>
              <w:left w:val="nil"/>
              <w:bottom w:val="single" w:sz="8" w:space="0" w:color="auto"/>
              <w:right w:val="double" w:sz="4" w:space="0" w:color="auto"/>
            </w:tcBorders>
            <w:shd w:val="clear" w:color="auto" w:fill="auto"/>
            <w:noWrap/>
            <w:vAlign w:val="center"/>
          </w:tcPr>
          <w:p w14:paraId="29B134F5" w14:textId="0C12072F" w:rsidR="00631E19" w:rsidRPr="00631E19" w:rsidRDefault="00631E19" w:rsidP="00631E19">
            <w:pPr>
              <w:spacing w:after="0" w:line="240" w:lineRule="auto"/>
              <w:jc w:val="center"/>
              <w:rPr>
                <w:rFonts w:ascii="Times New Roman" w:eastAsia="Times New Roman" w:hAnsi="Times New Roman" w:cs="Times New Roman"/>
                <w:color w:val="000000"/>
                <w:sz w:val="22"/>
                <w:szCs w:val="22"/>
              </w:rPr>
            </w:pPr>
            <w:r w:rsidRPr="00631E19">
              <w:rPr>
                <w:rFonts w:ascii="Times New Roman" w:hAnsi="Times New Roman" w:cs="Times New Roman"/>
                <w:sz w:val="22"/>
                <w:szCs w:val="22"/>
              </w:rPr>
              <w:t>100%</w:t>
            </w:r>
          </w:p>
        </w:tc>
      </w:tr>
      <w:tr w:rsidR="00631E19" w:rsidRPr="00FD7A51" w14:paraId="324596F3" w14:textId="77777777" w:rsidTr="00631E19">
        <w:trPr>
          <w:trHeight w:val="430"/>
        </w:trPr>
        <w:tc>
          <w:tcPr>
            <w:tcW w:w="585" w:type="dxa"/>
            <w:tcBorders>
              <w:top w:val="nil"/>
              <w:right w:val="double" w:sz="4" w:space="0" w:color="auto"/>
            </w:tcBorders>
            <w:shd w:val="clear" w:color="auto" w:fill="auto"/>
            <w:noWrap/>
            <w:vAlign w:val="bottom"/>
            <w:hideMark/>
          </w:tcPr>
          <w:p w14:paraId="2F31C0E4" w14:textId="77777777" w:rsidR="00631E19" w:rsidRPr="00FD7A51" w:rsidRDefault="00631E19" w:rsidP="00631E19">
            <w:pPr>
              <w:spacing w:after="0" w:line="240" w:lineRule="auto"/>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 </w:t>
            </w:r>
          </w:p>
        </w:tc>
        <w:tc>
          <w:tcPr>
            <w:tcW w:w="2010" w:type="dxa"/>
            <w:vMerge w:val="restart"/>
            <w:tcBorders>
              <w:top w:val="nil"/>
              <w:left w:val="double" w:sz="4" w:space="0" w:color="auto"/>
              <w:bottom w:val="single" w:sz="8" w:space="0" w:color="000000"/>
              <w:right w:val="single" w:sz="12" w:space="0" w:color="000000"/>
            </w:tcBorders>
            <w:shd w:val="clear" w:color="000000" w:fill="E2EFDA"/>
            <w:vAlign w:val="center"/>
            <w:hideMark/>
          </w:tcPr>
          <w:p w14:paraId="22C1A44D" w14:textId="77777777" w:rsidR="00631E19" w:rsidRPr="00FD7A51" w:rsidRDefault="00631E19" w:rsidP="00631E19">
            <w:pPr>
              <w:spacing w:after="0" w:line="240" w:lineRule="auto"/>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 xml:space="preserve">Blocks With </w:t>
            </w:r>
            <w:r w:rsidRPr="00FD7A51">
              <w:rPr>
                <w:rFonts w:ascii="Times New Roman" w:eastAsia="Times New Roman" w:hAnsi="Times New Roman" w:cs="Times New Roman"/>
                <w:i/>
                <w:iCs/>
                <w:color w:val="000000"/>
                <w:sz w:val="22"/>
                <w:szCs w:val="22"/>
              </w:rPr>
              <w:t>NO LTE SERVICE</w:t>
            </w:r>
            <w:r w:rsidRPr="00FD7A51">
              <w:rPr>
                <w:rFonts w:ascii="Times New Roman" w:eastAsia="Times New Roman" w:hAnsi="Times New Roman" w:cs="Times New Roman"/>
                <w:color w:val="000000"/>
                <w:sz w:val="22"/>
                <w:szCs w:val="22"/>
              </w:rPr>
              <w:t xml:space="preserve"> </w:t>
            </w:r>
          </w:p>
        </w:tc>
        <w:tc>
          <w:tcPr>
            <w:tcW w:w="1445" w:type="dxa"/>
            <w:tcBorders>
              <w:top w:val="single" w:sz="8" w:space="0" w:color="auto"/>
              <w:left w:val="single" w:sz="12" w:space="0" w:color="000000"/>
              <w:bottom w:val="dashed" w:sz="4" w:space="0" w:color="auto"/>
              <w:right w:val="single" w:sz="4" w:space="0" w:color="auto"/>
            </w:tcBorders>
            <w:shd w:val="clear" w:color="auto" w:fill="auto"/>
            <w:noWrap/>
            <w:vAlign w:val="center"/>
          </w:tcPr>
          <w:p w14:paraId="79C8DDA9" w14:textId="17B7E0B5" w:rsidR="00631E19" w:rsidRPr="00631E19" w:rsidRDefault="00631E19" w:rsidP="00631E19">
            <w:pPr>
              <w:spacing w:after="0" w:line="240" w:lineRule="auto"/>
              <w:jc w:val="center"/>
              <w:rPr>
                <w:rFonts w:ascii="Times New Roman" w:eastAsia="Times New Roman" w:hAnsi="Times New Roman" w:cs="Times New Roman"/>
                <w:color w:val="000000"/>
                <w:sz w:val="22"/>
                <w:szCs w:val="22"/>
              </w:rPr>
            </w:pPr>
          </w:p>
        </w:tc>
        <w:tc>
          <w:tcPr>
            <w:tcW w:w="1170" w:type="dxa"/>
            <w:tcBorders>
              <w:top w:val="single" w:sz="8" w:space="0" w:color="auto"/>
              <w:left w:val="nil"/>
              <w:bottom w:val="dashed" w:sz="4" w:space="0" w:color="auto"/>
              <w:right w:val="single" w:sz="4" w:space="0" w:color="auto"/>
            </w:tcBorders>
            <w:shd w:val="clear" w:color="auto" w:fill="auto"/>
            <w:noWrap/>
            <w:vAlign w:val="center"/>
          </w:tcPr>
          <w:p w14:paraId="29EC855F" w14:textId="6A8046CC" w:rsidR="00631E19" w:rsidRPr="00631E19" w:rsidRDefault="00631E19" w:rsidP="00631E19">
            <w:pPr>
              <w:spacing w:after="0" w:line="240" w:lineRule="auto"/>
              <w:jc w:val="center"/>
              <w:rPr>
                <w:rFonts w:ascii="Times New Roman" w:eastAsia="Times New Roman" w:hAnsi="Times New Roman" w:cs="Times New Roman"/>
                <w:color w:val="000000"/>
                <w:sz w:val="22"/>
                <w:szCs w:val="22"/>
              </w:rPr>
            </w:pPr>
            <w:r w:rsidRPr="00631E19">
              <w:rPr>
                <w:rFonts w:ascii="Times New Roman" w:hAnsi="Times New Roman" w:cs="Times New Roman"/>
                <w:sz w:val="22"/>
                <w:szCs w:val="22"/>
              </w:rPr>
              <w:t>24,292</w:t>
            </w:r>
          </w:p>
        </w:tc>
        <w:tc>
          <w:tcPr>
            <w:tcW w:w="1350" w:type="dxa"/>
            <w:tcBorders>
              <w:top w:val="single" w:sz="8" w:space="0" w:color="auto"/>
              <w:left w:val="nil"/>
              <w:bottom w:val="dashed" w:sz="4" w:space="0" w:color="auto"/>
              <w:right w:val="single" w:sz="4" w:space="0" w:color="auto"/>
            </w:tcBorders>
            <w:shd w:val="clear" w:color="auto" w:fill="auto"/>
            <w:noWrap/>
            <w:vAlign w:val="center"/>
          </w:tcPr>
          <w:p w14:paraId="71C5536B" w14:textId="2B418657" w:rsidR="00631E19" w:rsidRPr="00631E19" w:rsidRDefault="00631E19" w:rsidP="00631E19">
            <w:pPr>
              <w:spacing w:after="0" w:line="240" w:lineRule="auto"/>
              <w:jc w:val="center"/>
              <w:rPr>
                <w:rFonts w:ascii="Times New Roman" w:eastAsia="Times New Roman" w:hAnsi="Times New Roman" w:cs="Times New Roman"/>
                <w:color w:val="000000"/>
                <w:sz w:val="22"/>
                <w:szCs w:val="22"/>
              </w:rPr>
            </w:pPr>
          </w:p>
        </w:tc>
        <w:tc>
          <w:tcPr>
            <w:tcW w:w="1530" w:type="dxa"/>
            <w:tcBorders>
              <w:top w:val="single" w:sz="8" w:space="0" w:color="auto"/>
              <w:left w:val="nil"/>
              <w:bottom w:val="dashed" w:sz="4" w:space="0" w:color="auto"/>
              <w:right w:val="single" w:sz="12" w:space="0" w:color="auto"/>
            </w:tcBorders>
            <w:shd w:val="clear" w:color="auto" w:fill="auto"/>
            <w:noWrap/>
            <w:vAlign w:val="center"/>
          </w:tcPr>
          <w:p w14:paraId="3A1E1BC5" w14:textId="5628E915" w:rsidR="00631E19" w:rsidRPr="00631E19" w:rsidRDefault="00631E19" w:rsidP="00631E19">
            <w:pPr>
              <w:spacing w:after="0" w:line="240" w:lineRule="auto"/>
              <w:jc w:val="center"/>
              <w:rPr>
                <w:rFonts w:ascii="Times New Roman" w:eastAsia="Times New Roman" w:hAnsi="Times New Roman" w:cs="Times New Roman"/>
                <w:color w:val="000000"/>
                <w:sz w:val="22"/>
                <w:szCs w:val="22"/>
              </w:rPr>
            </w:pPr>
            <w:r w:rsidRPr="00631E19">
              <w:rPr>
                <w:rFonts w:ascii="Times New Roman" w:hAnsi="Times New Roman" w:cs="Times New Roman"/>
                <w:sz w:val="22"/>
                <w:szCs w:val="22"/>
              </w:rPr>
              <w:t>24,292</w:t>
            </w:r>
          </w:p>
        </w:tc>
        <w:tc>
          <w:tcPr>
            <w:tcW w:w="1440" w:type="dxa"/>
            <w:tcBorders>
              <w:top w:val="single" w:sz="8" w:space="0" w:color="auto"/>
              <w:left w:val="single" w:sz="12" w:space="0" w:color="auto"/>
              <w:bottom w:val="dashed" w:sz="4" w:space="0" w:color="auto"/>
              <w:right w:val="single" w:sz="4" w:space="0" w:color="auto"/>
            </w:tcBorders>
            <w:shd w:val="clear" w:color="auto" w:fill="auto"/>
            <w:noWrap/>
            <w:vAlign w:val="center"/>
          </w:tcPr>
          <w:p w14:paraId="301C1D9F" w14:textId="13AE9F7F" w:rsidR="00631E19" w:rsidRPr="00631E19" w:rsidRDefault="00631E19" w:rsidP="00631E19">
            <w:pPr>
              <w:spacing w:after="0" w:line="240" w:lineRule="auto"/>
              <w:jc w:val="center"/>
              <w:rPr>
                <w:rFonts w:ascii="Times New Roman" w:eastAsia="Times New Roman" w:hAnsi="Times New Roman" w:cs="Times New Roman"/>
                <w:color w:val="000000"/>
                <w:sz w:val="22"/>
                <w:szCs w:val="22"/>
              </w:rPr>
            </w:pPr>
          </w:p>
        </w:tc>
        <w:tc>
          <w:tcPr>
            <w:tcW w:w="1440" w:type="dxa"/>
            <w:tcBorders>
              <w:top w:val="single" w:sz="8" w:space="0" w:color="auto"/>
              <w:left w:val="nil"/>
              <w:bottom w:val="dashed" w:sz="4" w:space="0" w:color="auto"/>
              <w:right w:val="single" w:sz="4" w:space="0" w:color="auto"/>
            </w:tcBorders>
            <w:shd w:val="clear" w:color="auto" w:fill="auto"/>
            <w:noWrap/>
            <w:vAlign w:val="center"/>
          </w:tcPr>
          <w:p w14:paraId="41A93A6C" w14:textId="7A82B6D2" w:rsidR="00631E19" w:rsidRPr="00631E19" w:rsidRDefault="00631E19" w:rsidP="00631E19">
            <w:pPr>
              <w:spacing w:after="0" w:line="240" w:lineRule="auto"/>
              <w:jc w:val="center"/>
              <w:rPr>
                <w:rFonts w:ascii="Times New Roman" w:eastAsia="Times New Roman" w:hAnsi="Times New Roman" w:cs="Times New Roman"/>
                <w:color w:val="000000"/>
                <w:sz w:val="22"/>
                <w:szCs w:val="22"/>
              </w:rPr>
            </w:pPr>
            <w:r w:rsidRPr="00631E19">
              <w:rPr>
                <w:rFonts w:ascii="Times New Roman" w:hAnsi="Times New Roman" w:cs="Times New Roman"/>
                <w:sz w:val="22"/>
                <w:szCs w:val="22"/>
              </w:rPr>
              <w:t>85,304</w:t>
            </w:r>
          </w:p>
        </w:tc>
        <w:tc>
          <w:tcPr>
            <w:tcW w:w="1440" w:type="dxa"/>
            <w:tcBorders>
              <w:top w:val="single" w:sz="8" w:space="0" w:color="auto"/>
              <w:left w:val="nil"/>
              <w:bottom w:val="dashed" w:sz="4" w:space="0" w:color="auto"/>
              <w:right w:val="single" w:sz="4" w:space="0" w:color="auto"/>
            </w:tcBorders>
            <w:shd w:val="clear" w:color="auto" w:fill="auto"/>
            <w:noWrap/>
            <w:vAlign w:val="center"/>
          </w:tcPr>
          <w:p w14:paraId="14331D06" w14:textId="209D8105" w:rsidR="00631E19" w:rsidRPr="00631E19" w:rsidRDefault="00631E19" w:rsidP="00631E19">
            <w:pPr>
              <w:spacing w:after="0" w:line="240" w:lineRule="auto"/>
              <w:jc w:val="center"/>
              <w:rPr>
                <w:rFonts w:ascii="Times New Roman" w:eastAsia="Times New Roman" w:hAnsi="Times New Roman" w:cs="Times New Roman"/>
                <w:color w:val="000000"/>
                <w:sz w:val="22"/>
                <w:szCs w:val="22"/>
              </w:rPr>
            </w:pPr>
          </w:p>
        </w:tc>
        <w:tc>
          <w:tcPr>
            <w:tcW w:w="1530" w:type="dxa"/>
            <w:tcBorders>
              <w:top w:val="single" w:sz="8" w:space="0" w:color="auto"/>
              <w:left w:val="nil"/>
              <w:bottom w:val="dashed" w:sz="4" w:space="0" w:color="auto"/>
              <w:right w:val="double" w:sz="4" w:space="0" w:color="auto"/>
            </w:tcBorders>
            <w:shd w:val="clear" w:color="auto" w:fill="auto"/>
            <w:noWrap/>
            <w:vAlign w:val="center"/>
          </w:tcPr>
          <w:p w14:paraId="07ED3637" w14:textId="03ACA196" w:rsidR="00631E19" w:rsidRPr="00631E19" w:rsidRDefault="00631E19" w:rsidP="00631E19">
            <w:pPr>
              <w:spacing w:after="0" w:line="240" w:lineRule="auto"/>
              <w:jc w:val="center"/>
              <w:rPr>
                <w:rFonts w:ascii="Times New Roman" w:eastAsia="Times New Roman" w:hAnsi="Times New Roman" w:cs="Times New Roman"/>
                <w:color w:val="000000"/>
                <w:sz w:val="22"/>
                <w:szCs w:val="22"/>
              </w:rPr>
            </w:pPr>
            <w:r w:rsidRPr="00631E19">
              <w:rPr>
                <w:rFonts w:ascii="Times New Roman" w:hAnsi="Times New Roman" w:cs="Times New Roman"/>
                <w:sz w:val="22"/>
                <w:szCs w:val="22"/>
              </w:rPr>
              <w:t>85,304</w:t>
            </w:r>
          </w:p>
        </w:tc>
      </w:tr>
      <w:tr w:rsidR="00631E19" w:rsidRPr="00FD7A51" w14:paraId="420AD98F" w14:textId="77777777" w:rsidTr="00631E19">
        <w:trPr>
          <w:trHeight w:val="430"/>
        </w:trPr>
        <w:tc>
          <w:tcPr>
            <w:tcW w:w="585" w:type="dxa"/>
            <w:tcBorders>
              <w:top w:val="nil"/>
              <w:bottom w:val="nil"/>
              <w:right w:val="double" w:sz="4" w:space="0" w:color="auto"/>
            </w:tcBorders>
            <w:shd w:val="clear" w:color="auto" w:fill="auto"/>
            <w:vAlign w:val="center"/>
            <w:hideMark/>
          </w:tcPr>
          <w:p w14:paraId="32BCC03F" w14:textId="77777777" w:rsidR="00631E19" w:rsidRPr="00FD7A51" w:rsidRDefault="00631E19" w:rsidP="00631E19">
            <w:pPr>
              <w:spacing w:after="0" w:line="240" w:lineRule="auto"/>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 </w:t>
            </w:r>
          </w:p>
        </w:tc>
        <w:tc>
          <w:tcPr>
            <w:tcW w:w="2010" w:type="dxa"/>
            <w:vMerge/>
            <w:tcBorders>
              <w:top w:val="nil"/>
              <w:left w:val="double" w:sz="4" w:space="0" w:color="auto"/>
              <w:bottom w:val="single" w:sz="8" w:space="0" w:color="000000"/>
              <w:right w:val="single" w:sz="12" w:space="0" w:color="000000"/>
            </w:tcBorders>
            <w:vAlign w:val="center"/>
            <w:hideMark/>
          </w:tcPr>
          <w:p w14:paraId="0E27EDCF" w14:textId="77777777" w:rsidR="00631E19" w:rsidRPr="00FD7A51" w:rsidRDefault="00631E19" w:rsidP="00631E19">
            <w:pPr>
              <w:spacing w:after="0" w:line="240" w:lineRule="auto"/>
              <w:rPr>
                <w:rFonts w:ascii="Times New Roman" w:eastAsia="Times New Roman" w:hAnsi="Times New Roman" w:cs="Times New Roman"/>
                <w:color w:val="000000"/>
                <w:sz w:val="22"/>
                <w:szCs w:val="22"/>
              </w:rPr>
            </w:pPr>
          </w:p>
        </w:tc>
        <w:tc>
          <w:tcPr>
            <w:tcW w:w="1445" w:type="dxa"/>
            <w:tcBorders>
              <w:top w:val="dashed" w:sz="4" w:space="0" w:color="auto"/>
              <w:left w:val="single" w:sz="12" w:space="0" w:color="000000"/>
              <w:bottom w:val="single" w:sz="8" w:space="0" w:color="auto"/>
              <w:right w:val="single" w:sz="4" w:space="0" w:color="auto"/>
            </w:tcBorders>
            <w:shd w:val="clear" w:color="auto" w:fill="auto"/>
            <w:noWrap/>
            <w:vAlign w:val="center"/>
          </w:tcPr>
          <w:p w14:paraId="2CDAC52A" w14:textId="460D79A1" w:rsidR="00631E19" w:rsidRPr="00631E19" w:rsidRDefault="00631E19" w:rsidP="00631E19">
            <w:pPr>
              <w:spacing w:after="0" w:line="240" w:lineRule="auto"/>
              <w:jc w:val="center"/>
              <w:rPr>
                <w:rFonts w:ascii="Times New Roman" w:eastAsia="Times New Roman" w:hAnsi="Times New Roman" w:cs="Times New Roman"/>
                <w:color w:val="000000"/>
                <w:sz w:val="22"/>
                <w:szCs w:val="22"/>
              </w:rPr>
            </w:pPr>
          </w:p>
        </w:tc>
        <w:tc>
          <w:tcPr>
            <w:tcW w:w="1170" w:type="dxa"/>
            <w:tcBorders>
              <w:top w:val="dashed" w:sz="4" w:space="0" w:color="auto"/>
              <w:left w:val="nil"/>
              <w:bottom w:val="single" w:sz="4" w:space="0" w:color="auto"/>
              <w:right w:val="single" w:sz="4" w:space="0" w:color="auto"/>
            </w:tcBorders>
            <w:shd w:val="clear" w:color="auto" w:fill="auto"/>
            <w:noWrap/>
            <w:vAlign w:val="center"/>
          </w:tcPr>
          <w:p w14:paraId="5FCAA11E" w14:textId="4CABAA5B" w:rsidR="00631E19" w:rsidRPr="00631E19" w:rsidRDefault="00631E19" w:rsidP="00631E19">
            <w:pPr>
              <w:spacing w:after="0" w:line="240" w:lineRule="auto"/>
              <w:jc w:val="center"/>
              <w:rPr>
                <w:rFonts w:ascii="Times New Roman" w:eastAsia="Times New Roman" w:hAnsi="Times New Roman" w:cs="Times New Roman"/>
                <w:color w:val="000000"/>
                <w:sz w:val="22"/>
                <w:szCs w:val="22"/>
              </w:rPr>
            </w:pPr>
            <w:r w:rsidRPr="00631E19">
              <w:rPr>
                <w:rFonts w:ascii="Times New Roman" w:hAnsi="Times New Roman" w:cs="Times New Roman"/>
                <w:sz w:val="22"/>
                <w:szCs w:val="22"/>
              </w:rPr>
              <w:t>47</w:t>
            </w:r>
            <w:r w:rsidR="004004D1">
              <w:rPr>
                <w:rFonts w:ascii="Times New Roman" w:hAnsi="Times New Roman" w:cs="Times New Roman"/>
                <w:sz w:val="22"/>
                <w:szCs w:val="22"/>
              </w:rPr>
              <w:t>.17</w:t>
            </w:r>
            <w:r w:rsidRPr="00631E19">
              <w:rPr>
                <w:rFonts w:ascii="Times New Roman" w:hAnsi="Times New Roman" w:cs="Times New Roman"/>
                <w:sz w:val="22"/>
                <w:szCs w:val="22"/>
              </w:rPr>
              <w:t>%</w:t>
            </w:r>
          </w:p>
        </w:tc>
        <w:tc>
          <w:tcPr>
            <w:tcW w:w="1350" w:type="dxa"/>
            <w:tcBorders>
              <w:top w:val="dashed" w:sz="4" w:space="0" w:color="auto"/>
              <w:left w:val="nil"/>
              <w:bottom w:val="single" w:sz="4" w:space="0" w:color="auto"/>
              <w:right w:val="single" w:sz="4" w:space="0" w:color="auto"/>
            </w:tcBorders>
            <w:shd w:val="clear" w:color="auto" w:fill="auto"/>
            <w:noWrap/>
            <w:vAlign w:val="center"/>
          </w:tcPr>
          <w:p w14:paraId="7B93D2F6" w14:textId="0DFFFAB8" w:rsidR="00631E19" w:rsidRPr="00631E19" w:rsidRDefault="00631E19" w:rsidP="00631E19">
            <w:pPr>
              <w:spacing w:after="0" w:line="240" w:lineRule="auto"/>
              <w:jc w:val="center"/>
              <w:rPr>
                <w:rFonts w:ascii="Times New Roman" w:eastAsia="Times New Roman" w:hAnsi="Times New Roman" w:cs="Times New Roman"/>
                <w:color w:val="000000"/>
                <w:sz w:val="22"/>
                <w:szCs w:val="22"/>
              </w:rPr>
            </w:pPr>
          </w:p>
        </w:tc>
        <w:tc>
          <w:tcPr>
            <w:tcW w:w="1530" w:type="dxa"/>
            <w:tcBorders>
              <w:top w:val="dashed" w:sz="4" w:space="0" w:color="auto"/>
              <w:left w:val="nil"/>
              <w:bottom w:val="single" w:sz="4" w:space="0" w:color="auto"/>
              <w:right w:val="single" w:sz="12" w:space="0" w:color="auto"/>
            </w:tcBorders>
            <w:shd w:val="clear" w:color="auto" w:fill="auto"/>
            <w:noWrap/>
            <w:vAlign w:val="center"/>
          </w:tcPr>
          <w:p w14:paraId="71112A1D" w14:textId="47D0B061" w:rsidR="00631E19" w:rsidRPr="00631E19" w:rsidRDefault="00631E19" w:rsidP="00631E19">
            <w:pPr>
              <w:spacing w:after="0" w:line="240" w:lineRule="auto"/>
              <w:jc w:val="center"/>
              <w:rPr>
                <w:rFonts w:ascii="Times New Roman" w:eastAsia="Times New Roman" w:hAnsi="Times New Roman" w:cs="Times New Roman"/>
                <w:color w:val="000000"/>
                <w:sz w:val="22"/>
                <w:szCs w:val="22"/>
              </w:rPr>
            </w:pPr>
            <w:r w:rsidRPr="00631E19">
              <w:rPr>
                <w:rFonts w:ascii="Times New Roman" w:hAnsi="Times New Roman" w:cs="Times New Roman"/>
                <w:sz w:val="22"/>
                <w:szCs w:val="22"/>
              </w:rPr>
              <w:t>39%</w:t>
            </w:r>
          </w:p>
        </w:tc>
        <w:tc>
          <w:tcPr>
            <w:tcW w:w="1440" w:type="dxa"/>
            <w:tcBorders>
              <w:top w:val="dashed" w:sz="4" w:space="0" w:color="auto"/>
              <w:left w:val="single" w:sz="12" w:space="0" w:color="auto"/>
              <w:bottom w:val="single" w:sz="4" w:space="0" w:color="auto"/>
              <w:right w:val="single" w:sz="4" w:space="0" w:color="auto"/>
            </w:tcBorders>
            <w:shd w:val="clear" w:color="auto" w:fill="auto"/>
            <w:noWrap/>
            <w:vAlign w:val="center"/>
          </w:tcPr>
          <w:p w14:paraId="3A899964" w14:textId="42DDEF8D" w:rsidR="00631E19" w:rsidRPr="00631E19" w:rsidRDefault="00631E19" w:rsidP="00631E19">
            <w:pPr>
              <w:spacing w:after="0" w:line="240" w:lineRule="auto"/>
              <w:jc w:val="center"/>
              <w:rPr>
                <w:rFonts w:ascii="Times New Roman" w:eastAsia="Times New Roman" w:hAnsi="Times New Roman" w:cs="Times New Roman"/>
                <w:color w:val="000000"/>
                <w:sz w:val="22"/>
                <w:szCs w:val="22"/>
              </w:rPr>
            </w:pPr>
          </w:p>
        </w:tc>
        <w:tc>
          <w:tcPr>
            <w:tcW w:w="1440" w:type="dxa"/>
            <w:tcBorders>
              <w:top w:val="dashed" w:sz="4" w:space="0" w:color="auto"/>
              <w:left w:val="nil"/>
              <w:bottom w:val="single" w:sz="4" w:space="0" w:color="auto"/>
              <w:right w:val="single" w:sz="4" w:space="0" w:color="auto"/>
            </w:tcBorders>
            <w:shd w:val="clear" w:color="auto" w:fill="auto"/>
            <w:noWrap/>
            <w:vAlign w:val="center"/>
          </w:tcPr>
          <w:p w14:paraId="4BCE58BC" w14:textId="1EFFEE92" w:rsidR="00631E19" w:rsidRPr="00631E19" w:rsidRDefault="006D7F77" w:rsidP="00631E19">
            <w:pPr>
              <w:spacing w:after="0" w:line="240" w:lineRule="auto"/>
              <w:jc w:val="center"/>
              <w:rPr>
                <w:rFonts w:ascii="Times New Roman" w:eastAsia="Times New Roman" w:hAnsi="Times New Roman" w:cs="Times New Roman"/>
                <w:color w:val="000000"/>
                <w:sz w:val="22"/>
                <w:szCs w:val="22"/>
              </w:rPr>
            </w:pPr>
            <w:r>
              <w:rPr>
                <w:rFonts w:ascii="Times New Roman" w:hAnsi="Times New Roman" w:cs="Times New Roman"/>
                <w:sz w:val="22"/>
                <w:szCs w:val="22"/>
              </w:rPr>
              <w:t>69.96</w:t>
            </w:r>
            <w:r w:rsidR="00631E19" w:rsidRPr="00631E19">
              <w:rPr>
                <w:rFonts w:ascii="Times New Roman" w:hAnsi="Times New Roman" w:cs="Times New Roman"/>
                <w:sz w:val="22"/>
                <w:szCs w:val="22"/>
              </w:rPr>
              <w:t>%</w:t>
            </w:r>
          </w:p>
        </w:tc>
        <w:tc>
          <w:tcPr>
            <w:tcW w:w="1440" w:type="dxa"/>
            <w:tcBorders>
              <w:top w:val="dashed" w:sz="4" w:space="0" w:color="auto"/>
              <w:left w:val="nil"/>
              <w:bottom w:val="single" w:sz="4" w:space="0" w:color="auto"/>
              <w:right w:val="single" w:sz="4" w:space="0" w:color="auto"/>
            </w:tcBorders>
            <w:shd w:val="clear" w:color="auto" w:fill="auto"/>
            <w:noWrap/>
            <w:vAlign w:val="center"/>
          </w:tcPr>
          <w:p w14:paraId="462F021B" w14:textId="0467B7F7" w:rsidR="00631E19" w:rsidRPr="00631E19" w:rsidRDefault="00631E19" w:rsidP="00631E19">
            <w:pPr>
              <w:spacing w:after="0" w:line="240" w:lineRule="auto"/>
              <w:jc w:val="center"/>
              <w:rPr>
                <w:rFonts w:ascii="Times New Roman" w:eastAsia="Times New Roman" w:hAnsi="Times New Roman" w:cs="Times New Roman"/>
                <w:color w:val="000000"/>
                <w:sz w:val="22"/>
                <w:szCs w:val="22"/>
              </w:rPr>
            </w:pPr>
          </w:p>
        </w:tc>
        <w:tc>
          <w:tcPr>
            <w:tcW w:w="1530" w:type="dxa"/>
            <w:tcBorders>
              <w:top w:val="dashed" w:sz="4" w:space="0" w:color="auto"/>
              <w:left w:val="nil"/>
              <w:bottom w:val="single" w:sz="4" w:space="0" w:color="auto"/>
              <w:right w:val="double" w:sz="4" w:space="0" w:color="auto"/>
            </w:tcBorders>
            <w:shd w:val="clear" w:color="auto" w:fill="auto"/>
            <w:noWrap/>
            <w:vAlign w:val="center"/>
          </w:tcPr>
          <w:p w14:paraId="1470AF89" w14:textId="14C19800" w:rsidR="00631E19" w:rsidRPr="00631E19" w:rsidRDefault="00631E19" w:rsidP="00631E19">
            <w:pPr>
              <w:spacing w:after="0" w:line="240" w:lineRule="auto"/>
              <w:jc w:val="center"/>
              <w:rPr>
                <w:rFonts w:ascii="Times New Roman" w:eastAsia="Times New Roman" w:hAnsi="Times New Roman" w:cs="Times New Roman"/>
                <w:color w:val="000000"/>
                <w:sz w:val="22"/>
                <w:szCs w:val="22"/>
              </w:rPr>
            </w:pPr>
            <w:r w:rsidRPr="00631E19">
              <w:rPr>
                <w:rFonts w:ascii="Times New Roman" w:hAnsi="Times New Roman" w:cs="Times New Roman"/>
                <w:sz w:val="22"/>
                <w:szCs w:val="22"/>
              </w:rPr>
              <w:t>49</w:t>
            </w:r>
            <w:r w:rsidR="006D7F77">
              <w:rPr>
                <w:rFonts w:ascii="Times New Roman" w:hAnsi="Times New Roman" w:cs="Times New Roman"/>
                <w:sz w:val="22"/>
                <w:szCs w:val="22"/>
              </w:rPr>
              <w:t>.04</w:t>
            </w:r>
            <w:r w:rsidRPr="00631E19">
              <w:rPr>
                <w:rFonts w:ascii="Times New Roman" w:hAnsi="Times New Roman" w:cs="Times New Roman"/>
                <w:sz w:val="22"/>
                <w:szCs w:val="22"/>
              </w:rPr>
              <w:t>%</w:t>
            </w:r>
          </w:p>
        </w:tc>
      </w:tr>
      <w:tr w:rsidR="00631E19" w:rsidRPr="00FD7A51" w14:paraId="6A1D96AC" w14:textId="77777777" w:rsidTr="00631E19">
        <w:trPr>
          <w:trHeight w:val="430"/>
        </w:trPr>
        <w:tc>
          <w:tcPr>
            <w:tcW w:w="585" w:type="dxa"/>
            <w:tcBorders>
              <w:top w:val="nil"/>
              <w:bottom w:val="nil"/>
              <w:right w:val="double" w:sz="4" w:space="0" w:color="auto"/>
            </w:tcBorders>
            <w:shd w:val="clear" w:color="auto" w:fill="auto"/>
            <w:noWrap/>
            <w:vAlign w:val="bottom"/>
            <w:hideMark/>
          </w:tcPr>
          <w:p w14:paraId="35492508" w14:textId="77777777" w:rsidR="00631E19" w:rsidRPr="00FD7A51" w:rsidRDefault="00631E19" w:rsidP="00631E19">
            <w:pPr>
              <w:spacing w:after="0" w:line="240" w:lineRule="auto"/>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 </w:t>
            </w:r>
          </w:p>
        </w:tc>
        <w:tc>
          <w:tcPr>
            <w:tcW w:w="2010" w:type="dxa"/>
            <w:vMerge w:val="restart"/>
            <w:tcBorders>
              <w:top w:val="nil"/>
              <w:left w:val="double" w:sz="4" w:space="0" w:color="auto"/>
              <w:bottom w:val="single" w:sz="8" w:space="0" w:color="000000"/>
              <w:right w:val="single" w:sz="12" w:space="0" w:color="000000"/>
            </w:tcBorders>
            <w:shd w:val="clear" w:color="000000" w:fill="E2EFDA"/>
            <w:vAlign w:val="center"/>
            <w:hideMark/>
          </w:tcPr>
          <w:p w14:paraId="521E74D4" w14:textId="77777777" w:rsidR="00631E19" w:rsidRPr="00FD7A51" w:rsidRDefault="00631E19" w:rsidP="00631E19">
            <w:pPr>
              <w:spacing w:after="0" w:line="240" w:lineRule="auto"/>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 xml:space="preserve">Blocks With </w:t>
            </w:r>
            <w:r w:rsidRPr="00FD7A51">
              <w:rPr>
                <w:rFonts w:ascii="Times New Roman" w:eastAsia="Times New Roman" w:hAnsi="Times New Roman" w:cs="Times New Roman"/>
                <w:i/>
                <w:iCs/>
                <w:color w:val="000000"/>
                <w:sz w:val="22"/>
                <w:szCs w:val="22"/>
              </w:rPr>
              <w:t>LESS THAN 100%  LTE Coverage</w:t>
            </w:r>
          </w:p>
        </w:tc>
        <w:tc>
          <w:tcPr>
            <w:tcW w:w="1445" w:type="dxa"/>
            <w:tcBorders>
              <w:top w:val="single" w:sz="8" w:space="0" w:color="auto"/>
              <w:left w:val="single" w:sz="12" w:space="0" w:color="000000"/>
              <w:bottom w:val="dashed" w:sz="4" w:space="0" w:color="auto"/>
              <w:right w:val="single" w:sz="4" w:space="0" w:color="auto"/>
            </w:tcBorders>
            <w:shd w:val="clear" w:color="auto" w:fill="auto"/>
            <w:noWrap/>
            <w:vAlign w:val="center"/>
          </w:tcPr>
          <w:p w14:paraId="7574C972" w14:textId="2A17BC5C" w:rsidR="00631E19" w:rsidRPr="00631E19" w:rsidRDefault="00631E19" w:rsidP="00631E19">
            <w:pPr>
              <w:spacing w:after="0" w:line="240" w:lineRule="auto"/>
              <w:jc w:val="center"/>
              <w:rPr>
                <w:rFonts w:ascii="Times New Roman" w:eastAsia="Times New Roman" w:hAnsi="Times New Roman" w:cs="Times New Roman"/>
                <w:color w:val="000000"/>
                <w:sz w:val="22"/>
                <w:szCs w:val="22"/>
              </w:rPr>
            </w:pPr>
            <w:r w:rsidRPr="00631E19">
              <w:rPr>
                <w:rFonts w:ascii="Times New Roman" w:hAnsi="Times New Roman" w:cs="Times New Roman"/>
                <w:sz w:val="22"/>
                <w:szCs w:val="22"/>
              </w:rPr>
              <w:t>37,598</w:t>
            </w:r>
          </w:p>
        </w:tc>
        <w:tc>
          <w:tcPr>
            <w:tcW w:w="1170" w:type="dxa"/>
            <w:tcBorders>
              <w:top w:val="nil"/>
              <w:left w:val="nil"/>
              <w:bottom w:val="dashed" w:sz="4" w:space="0" w:color="auto"/>
              <w:right w:val="single" w:sz="4" w:space="0" w:color="auto"/>
            </w:tcBorders>
            <w:shd w:val="clear" w:color="auto" w:fill="auto"/>
            <w:noWrap/>
            <w:vAlign w:val="center"/>
          </w:tcPr>
          <w:p w14:paraId="1C6111DA" w14:textId="6BA1DFE6" w:rsidR="00631E19" w:rsidRPr="00631E19" w:rsidRDefault="00631E19" w:rsidP="00631E19">
            <w:pPr>
              <w:spacing w:after="0" w:line="240" w:lineRule="auto"/>
              <w:jc w:val="center"/>
              <w:rPr>
                <w:rFonts w:ascii="Times New Roman" w:eastAsia="Times New Roman" w:hAnsi="Times New Roman" w:cs="Times New Roman"/>
                <w:color w:val="000000"/>
                <w:sz w:val="22"/>
                <w:szCs w:val="22"/>
              </w:rPr>
            </w:pPr>
            <w:r w:rsidRPr="00631E19">
              <w:rPr>
                <w:rFonts w:ascii="Times New Roman" w:hAnsi="Times New Roman" w:cs="Times New Roman"/>
                <w:sz w:val="22"/>
                <w:szCs w:val="22"/>
              </w:rPr>
              <w:t>27,209</w:t>
            </w:r>
          </w:p>
        </w:tc>
        <w:tc>
          <w:tcPr>
            <w:tcW w:w="1350" w:type="dxa"/>
            <w:tcBorders>
              <w:top w:val="nil"/>
              <w:left w:val="nil"/>
              <w:bottom w:val="dashed" w:sz="4" w:space="0" w:color="auto"/>
              <w:right w:val="single" w:sz="4" w:space="0" w:color="auto"/>
            </w:tcBorders>
            <w:shd w:val="clear" w:color="auto" w:fill="auto"/>
            <w:noWrap/>
            <w:vAlign w:val="center"/>
          </w:tcPr>
          <w:p w14:paraId="52F6A05A" w14:textId="3C176986" w:rsidR="00631E19" w:rsidRPr="00631E19" w:rsidRDefault="00631E19" w:rsidP="00631E19">
            <w:pPr>
              <w:spacing w:after="0" w:line="240" w:lineRule="auto"/>
              <w:jc w:val="center"/>
              <w:rPr>
                <w:rFonts w:ascii="Times New Roman" w:eastAsia="Times New Roman" w:hAnsi="Times New Roman" w:cs="Times New Roman"/>
                <w:color w:val="000000"/>
                <w:sz w:val="22"/>
                <w:szCs w:val="22"/>
              </w:rPr>
            </w:pPr>
            <w:r w:rsidRPr="00631E19">
              <w:rPr>
                <w:rFonts w:ascii="Times New Roman" w:hAnsi="Times New Roman" w:cs="Times New Roman"/>
                <w:sz w:val="22"/>
                <w:szCs w:val="22"/>
              </w:rPr>
              <w:t>4,746</w:t>
            </w:r>
          </w:p>
        </w:tc>
        <w:tc>
          <w:tcPr>
            <w:tcW w:w="1530" w:type="dxa"/>
            <w:tcBorders>
              <w:top w:val="nil"/>
              <w:left w:val="nil"/>
              <w:bottom w:val="dashed" w:sz="4" w:space="0" w:color="auto"/>
              <w:right w:val="single" w:sz="12" w:space="0" w:color="auto"/>
            </w:tcBorders>
            <w:shd w:val="clear" w:color="auto" w:fill="auto"/>
            <w:noWrap/>
            <w:vAlign w:val="center"/>
          </w:tcPr>
          <w:p w14:paraId="5A727376" w14:textId="693813F7" w:rsidR="00631E19" w:rsidRPr="00631E19" w:rsidRDefault="00631E19" w:rsidP="00631E19">
            <w:pPr>
              <w:spacing w:after="0" w:line="240" w:lineRule="auto"/>
              <w:jc w:val="center"/>
              <w:rPr>
                <w:rFonts w:ascii="Times New Roman" w:eastAsia="Times New Roman" w:hAnsi="Times New Roman" w:cs="Times New Roman"/>
                <w:color w:val="000000"/>
                <w:sz w:val="22"/>
                <w:szCs w:val="22"/>
              </w:rPr>
            </w:pPr>
            <w:r w:rsidRPr="00631E19">
              <w:rPr>
                <w:rFonts w:ascii="Times New Roman" w:hAnsi="Times New Roman" w:cs="Times New Roman"/>
                <w:sz w:val="22"/>
                <w:szCs w:val="22"/>
              </w:rPr>
              <w:t>31,954</w:t>
            </w:r>
          </w:p>
        </w:tc>
        <w:tc>
          <w:tcPr>
            <w:tcW w:w="1440" w:type="dxa"/>
            <w:tcBorders>
              <w:top w:val="nil"/>
              <w:left w:val="single" w:sz="12" w:space="0" w:color="auto"/>
              <w:bottom w:val="dashed" w:sz="4" w:space="0" w:color="auto"/>
              <w:right w:val="single" w:sz="4" w:space="0" w:color="auto"/>
            </w:tcBorders>
            <w:shd w:val="clear" w:color="auto" w:fill="auto"/>
            <w:noWrap/>
            <w:vAlign w:val="center"/>
          </w:tcPr>
          <w:p w14:paraId="73C45CBE" w14:textId="2762E637" w:rsidR="00631E19" w:rsidRPr="00631E19" w:rsidRDefault="00631E19" w:rsidP="00631E19">
            <w:pPr>
              <w:spacing w:after="0" w:line="240" w:lineRule="auto"/>
              <w:jc w:val="center"/>
              <w:rPr>
                <w:rFonts w:ascii="Times New Roman" w:eastAsia="Times New Roman" w:hAnsi="Times New Roman" w:cs="Times New Roman"/>
                <w:color w:val="000000"/>
                <w:sz w:val="22"/>
                <w:szCs w:val="22"/>
              </w:rPr>
            </w:pPr>
            <w:r w:rsidRPr="00631E19">
              <w:rPr>
                <w:rFonts w:ascii="Times New Roman" w:hAnsi="Times New Roman" w:cs="Times New Roman"/>
                <w:sz w:val="22"/>
                <w:szCs w:val="22"/>
              </w:rPr>
              <w:t>70,199</w:t>
            </w:r>
          </w:p>
        </w:tc>
        <w:tc>
          <w:tcPr>
            <w:tcW w:w="1440" w:type="dxa"/>
            <w:tcBorders>
              <w:top w:val="nil"/>
              <w:left w:val="nil"/>
              <w:bottom w:val="dashed" w:sz="4" w:space="0" w:color="auto"/>
              <w:right w:val="single" w:sz="4" w:space="0" w:color="auto"/>
            </w:tcBorders>
            <w:shd w:val="clear" w:color="auto" w:fill="auto"/>
            <w:noWrap/>
            <w:vAlign w:val="center"/>
          </w:tcPr>
          <w:p w14:paraId="4F26CDEC" w14:textId="18268CA5" w:rsidR="00631E19" w:rsidRPr="00631E19" w:rsidRDefault="00631E19" w:rsidP="00631E19">
            <w:pPr>
              <w:spacing w:after="0" w:line="240" w:lineRule="auto"/>
              <w:jc w:val="center"/>
              <w:rPr>
                <w:rFonts w:ascii="Times New Roman" w:eastAsia="Times New Roman" w:hAnsi="Times New Roman" w:cs="Times New Roman"/>
                <w:color w:val="000000"/>
                <w:sz w:val="22"/>
                <w:szCs w:val="22"/>
              </w:rPr>
            </w:pPr>
            <w:r w:rsidRPr="00631E19">
              <w:rPr>
                <w:rFonts w:ascii="Times New Roman" w:hAnsi="Times New Roman" w:cs="Times New Roman"/>
                <w:sz w:val="22"/>
                <w:szCs w:val="22"/>
              </w:rPr>
              <w:t>36,621</w:t>
            </w:r>
          </w:p>
        </w:tc>
        <w:tc>
          <w:tcPr>
            <w:tcW w:w="1440" w:type="dxa"/>
            <w:tcBorders>
              <w:top w:val="nil"/>
              <w:left w:val="nil"/>
              <w:bottom w:val="dashed" w:sz="4" w:space="0" w:color="auto"/>
              <w:right w:val="single" w:sz="4" w:space="0" w:color="auto"/>
            </w:tcBorders>
            <w:shd w:val="clear" w:color="auto" w:fill="auto"/>
            <w:noWrap/>
            <w:vAlign w:val="center"/>
          </w:tcPr>
          <w:p w14:paraId="1EB6BBF7" w14:textId="1E7A420E" w:rsidR="00631E19" w:rsidRPr="00631E19" w:rsidRDefault="00631E19" w:rsidP="00631E19">
            <w:pPr>
              <w:spacing w:after="0" w:line="240" w:lineRule="auto"/>
              <w:jc w:val="center"/>
              <w:rPr>
                <w:rFonts w:ascii="Times New Roman" w:eastAsia="Times New Roman" w:hAnsi="Times New Roman" w:cs="Times New Roman"/>
                <w:color w:val="000000"/>
                <w:sz w:val="22"/>
                <w:szCs w:val="22"/>
              </w:rPr>
            </w:pPr>
            <w:r w:rsidRPr="00631E19">
              <w:rPr>
                <w:rFonts w:ascii="Times New Roman" w:hAnsi="Times New Roman" w:cs="Times New Roman"/>
                <w:sz w:val="22"/>
                <w:szCs w:val="22"/>
              </w:rPr>
              <w:t>6,159</w:t>
            </w:r>
          </w:p>
        </w:tc>
        <w:tc>
          <w:tcPr>
            <w:tcW w:w="1530" w:type="dxa"/>
            <w:tcBorders>
              <w:top w:val="nil"/>
              <w:left w:val="nil"/>
              <w:bottom w:val="dashed" w:sz="4" w:space="0" w:color="auto"/>
              <w:right w:val="double" w:sz="4" w:space="0" w:color="auto"/>
            </w:tcBorders>
            <w:shd w:val="clear" w:color="auto" w:fill="auto"/>
            <w:noWrap/>
            <w:vAlign w:val="center"/>
          </w:tcPr>
          <w:p w14:paraId="6355B56A" w14:textId="69DBCD7E" w:rsidR="00631E19" w:rsidRPr="00631E19" w:rsidRDefault="00631E19" w:rsidP="00631E19">
            <w:pPr>
              <w:spacing w:after="0" w:line="240" w:lineRule="auto"/>
              <w:jc w:val="center"/>
              <w:rPr>
                <w:rFonts w:ascii="Times New Roman" w:eastAsia="Times New Roman" w:hAnsi="Times New Roman" w:cs="Times New Roman"/>
                <w:color w:val="000000"/>
                <w:sz w:val="22"/>
                <w:szCs w:val="22"/>
              </w:rPr>
            </w:pPr>
            <w:r w:rsidRPr="00631E19">
              <w:rPr>
                <w:rFonts w:ascii="Times New Roman" w:hAnsi="Times New Roman" w:cs="Times New Roman"/>
                <w:sz w:val="22"/>
                <w:szCs w:val="22"/>
              </w:rPr>
              <w:t>42,780</w:t>
            </w:r>
          </w:p>
        </w:tc>
      </w:tr>
      <w:tr w:rsidR="00631E19" w:rsidRPr="00FD7A51" w14:paraId="68A1D973" w14:textId="77777777" w:rsidTr="00631E19">
        <w:trPr>
          <w:trHeight w:val="300"/>
        </w:trPr>
        <w:tc>
          <w:tcPr>
            <w:tcW w:w="585" w:type="dxa"/>
            <w:tcBorders>
              <w:top w:val="nil"/>
              <w:bottom w:val="nil"/>
              <w:right w:val="double" w:sz="4" w:space="0" w:color="auto"/>
            </w:tcBorders>
            <w:shd w:val="clear" w:color="auto" w:fill="auto"/>
            <w:vAlign w:val="center"/>
            <w:hideMark/>
          </w:tcPr>
          <w:p w14:paraId="0C2A254C" w14:textId="77777777" w:rsidR="00631E19" w:rsidRPr="00FD7A51" w:rsidRDefault="00631E19" w:rsidP="00631E19">
            <w:pPr>
              <w:spacing w:after="0" w:line="240" w:lineRule="auto"/>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 </w:t>
            </w:r>
          </w:p>
        </w:tc>
        <w:tc>
          <w:tcPr>
            <w:tcW w:w="2010" w:type="dxa"/>
            <w:vMerge/>
            <w:tcBorders>
              <w:top w:val="nil"/>
              <w:left w:val="double" w:sz="4" w:space="0" w:color="auto"/>
              <w:bottom w:val="single" w:sz="8" w:space="0" w:color="000000"/>
              <w:right w:val="single" w:sz="12" w:space="0" w:color="000000"/>
            </w:tcBorders>
            <w:vAlign w:val="center"/>
            <w:hideMark/>
          </w:tcPr>
          <w:p w14:paraId="47E57BCC" w14:textId="77777777" w:rsidR="00631E19" w:rsidRPr="00FD7A51" w:rsidRDefault="00631E19" w:rsidP="00631E19">
            <w:pPr>
              <w:spacing w:after="0" w:line="240" w:lineRule="auto"/>
              <w:rPr>
                <w:rFonts w:ascii="Times New Roman" w:eastAsia="Times New Roman" w:hAnsi="Times New Roman" w:cs="Times New Roman"/>
                <w:color w:val="000000"/>
                <w:sz w:val="22"/>
                <w:szCs w:val="22"/>
              </w:rPr>
            </w:pPr>
          </w:p>
        </w:tc>
        <w:tc>
          <w:tcPr>
            <w:tcW w:w="1445" w:type="dxa"/>
            <w:tcBorders>
              <w:top w:val="dashed" w:sz="4" w:space="0" w:color="auto"/>
              <w:left w:val="single" w:sz="12" w:space="0" w:color="000000"/>
              <w:bottom w:val="single" w:sz="8" w:space="0" w:color="auto"/>
              <w:right w:val="single" w:sz="4" w:space="0" w:color="auto"/>
            </w:tcBorders>
            <w:shd w:val="clear" w:color="auto" w:fill="auto"/>
            <w:noWrap/>
            <w:vAlign w:val="center"/>
          </w:tcPr>
          <w:p w14:paraId="49CB1AE0" w14:textId="725637F0" w:rsidR="00631E19" w:rsidRPr="00631E19" w:rsidRDefault="00631E19" w:rsidP="00631E19">
            <w:pPr>
              <w:spacing w:after="0" w:line="240" w:lineRule="auto"/>
              <w:jc w:val="center"/>
              <w:rPr>
                <w:rFonts w:ascii="Times New Roman" w:eastAsia="Times New Roman" w:hAnsi="Times New Roman" w:cs="Times New Roman"/>
                <w:color w:val="000000"/>
                <w:sz w:val="22"/>
                <w:szCs w:val="22"/>
              </w:rPr>
            </w:pPr>
            <w:r w:rsidRPr="00631E19">
              <w:rPr>
                <w:rFonts w:ascii="Times New Roman" w:hAnsi="Times New Roman" w:cs="Times New Roman"/>
                <w:sz w:val="22"/>
                <w:szCs w:val="22"/>
              </w:rPr>
              <w:t>27</w:t>
            </w:r>
            <w:r w:rsidR="00E527C7">
              <w:rPr>
                <w:rFonts w:ascii="Times New Roman" w:hAnsi="Times New Roman" w:cs="Times New Roman"/>
                <w:sz w:val="22"/>
                <w:szCs w:val="22"/>
              </w:rPr>
              <w:t>.48</w:t>
            </w:r>
            <w:r w:rsidRPr="00631E19">
              <w:rPr>
                <w:rFonts w:ascii="Times New Roman" w:hAnsi="Times New Roman" w:cs="Times New Roman"/>
                <w:sz w:val="22"/>
                <w:szCs w:val="22"/>
              </w:rPr>
              <w:t>%</w:t>
            </w:r>
          </w:p>
        </w:tc>
        <w:tc>
          <w:tcPr>
            <w:tcW w:w="1170" w:type="dxa"/>
            <w:tcBorders>
              <w:top w:val="dashed" w:sz="4" w:space="0" w:color="auto"/>
              <w:left w:val="nil"/>
              <w:bottom w:val="single" w:sz="4" w:space="0" w:color="auto"/>
              <w:right w:val="single" w:sz="4" w:space="0" w:color="auto"/>
            </w:tcBorders>
            <w:shd w:val="clear" w:color="auto" w:fill="auto"/>
            <w:noWrap/>
            <w:vAlign w:val="center"/>
          </w:tcPr>
          <w:p w14:paraId="0FD2CE15" w14:textId="25504872" w:rsidR="00631E19" w:rsidRPr="00631E19" w:rsidRDefault="004004D1" w:rsidP="00631E19">
            <w:pPr>
              <w:spacing w:after="0" w:line="240" w:lineRule="auto"/>
              <w:jc w:val="center"/>
              <w:rPr>
                <w:rFonts w:ascii="Times New Roman" w:eastAsia="Times New Roman" w:hAnsi="Times New Roman" w:cs="Times New Roman"/>
                <w:color w:val="000000"/>
                <w:sz w:val="22"/>
                <w:szCs w:val="22"/>
              </w:rPr>
            </w:pPr>
            <w:r>
              <w:rPr>
                <w:rFonts w:ascii="Times New Roman" w:hAnsi="Times New Roman" w:cs="Times New Roman"/>
                <w:sz w:val="22"/>
                <w:szCs w:val="22"/>
              </w:rPr>
              <w:t>52.83</w:t>
            </w:r>
            <w:r w:rsidR="00631E19" w:rsidRPr="00631E19">
              <w:rPr>
                <w:rFonts w:ascii="Times New Roman" w:hAnsi="Times New Roman" w:cs="Times New Roman"/>
                <w:sz w:val="22"/>
                <w:szCs w:val="22"/>
              </w:rPr>
              <w:t>%</w:t>
            </w:r>
          </w:p>
        </w:tc>
        <w:tc>
          <w:tcPr>
            <w:tcW w:w="1350" w:type="dxa"/>
            <w:tcBorders>
              <w:top w:val="dashed" w:sz="4" w:space="0" w:color="auto"/>
              <w:left w:val="nil"/>
              <w:bottom w:val="single" w:sz="4" w:space="0" w:color="auto"/>
              <w:right w:val="single" w:sz="4" w:space="0" w:color="auto"/>
            </w:tcBorders>
            <w:shd w:val="clear" w:color="auto" w:fill="auto"/>
            <w:noWrap/>
            <w:vAlign w:val="center"/>
          </w:tcPr>
          <w:p w14:paraId="2538B2C7" w14:textId="2F44EE6D" w:rsidR="00631E19" w:rsidRPr="00631E19" w:rsidRDefault="004004D1" w:rsidP="00631E19">
            <w:pPr>
              <w:spacing w:after="0" w:line="240" w:lineRule="auto"/>
              <w:jc w:val="center"/>
              <w:rPr>
                <w:rFonts w:ascii="Times New Roman" w:eastAsia="Times New Roman" w:hAnsi="Times New Roman" w:cs="Times New Roman"/>
                <w:color w:val="000000"/>
                <w:sz w:val="22"/>
                <w:szCs w:val="22"/>
              </w:rPr>
            </w:pPr>
            <w:r>
              <w:rPr>
                <w:rFonts w:ascii="Times New Roman" w:hAnsi="Times New Roman" w:cs="Times New Roman"/>
                <w:sz w:val="22"/>
                <w:szCs w:val="22"/>
              </w:rPr>
              <w:t>45.65</w:t>
            </w:r>
            <w:r w:rsidR="00631E19" w:rsidRPr="00631E19">
              <w:rPr>
                <w:rFonts w:ascii="Times New Roman" w:hAnsi="Times New Roman" w:cs="Times New Roman"/>
                <w:sz w:val="22"/>
                <w:szCs w:val="22"/>
              </w:rPr>
              <w:t>%</w:t>
            </w:r>
          </w:p>
        </w:tc>
        <w:tc>
          <w:tcPr>
            <w:tcW w:w="1530" w:type="dxa"/>
            <w:tcBorders>
              <w:top w:val="dashed" w:sz="4" w:space="0" w:color="auto"/>
              <w:left w:val="nil"/>
              <w:bottom w:val="single" w:sz="4" w:space="0" w:color="auto"/>
              <w:right w:val="single" w:sz="12" w:space="0" w:color="auto"/>
            </w:tcBorders>
            <w:shd w:val="clear" w:color="auto" w:fill="auto"/>
            <w:noWrap/>
            <w:vAlign w:val="center"/>
          </w:tcPr>
          <w:p w14:paraId="0B2F4A26" w14:textId="6131A5DB" w:rsidR="00631E19" w:rsidRPr="00631E19" w:rsidRDefault="00631E19" w:rsidP="00631E19">
            <w:pPr>
              <w:spacing w:after="0" w:line="240" w:lineRule="auto"/>
              <w:jc w:val="center"/>
              <w:rPr>
                <w:rFonts w:ascii="Times New Roman" w:eastAsia="Times New Roman" w:hAnsi="Times New Roman" w:cs="Times New Roman"/>
                <w:color w:val="000000"/>
                <w:sz w:val="22"/>
                <w:szCs w:val="22"/>
              </w:rPr>
            </w:pPr>
            <w:r w:rsidRPr="00631E19">
              <w:rPr>
                <w:rFonts w:ascii="Times New Roman" w:hAnsi="Times New Roman" w:cs="Times New Roman"/>
                <w:sz w:val="22"/>
                <w:szCs w:val="22"/>
              </w:rPr>
              <w:t>52%</w:t>
            </w:r>
          </w:p>
        </w:tc>
        <w:tc>
          <w:tcPr>
            <w:tcW w:w="1440" w:type="dxa"/>
            <w:tcBorders>
              <w:top w:val="dashed" w:sz="4" w:space="0" w:color="auto"/>
              <w:left w:val="single" w:sz="12" w:space="0" w:color="auto"/>
              <w:bottom w:val="single" w:sz="4" w:space="0" w:color="auto"/>
              <w:right w:val="single" w:sz="4" w:space="0" w:color="auto"/>
            </w:tcBorders>
            <w:shd w:val="clear" w:color="auto" w:fill="auto"/>
            <w:noWrap/>
            <w:vAlign w:val="center"/>
          </w:tcPr>
          <w:p w14:paraId="303C3CB8" w14:textId="74A3D362" w:rsidR="00631E19" w:rsidRPr="00631E19" w:rsidRDefault="004004D1" w:rsidP="00631E19">
            <w:pPr>
              <w:spacing w:after="0" w:line="240" w:lineRule="auto"/>
              <w:jc w:val="center"/>
              <w:rPr>
                <w:rFonts w:ascii="Times New Roman" w:eastAsia="Times New Roman" w:hAnsi="Times New Roman" w:cs="Times New Roman"/>
                <w:color w:val="000000"/>
                <w:sz w:val="22"/>
                <w:szCs w:val="22"/>
              </w:rPr>
            </w:pPr>
            <w:r>
              <w:rPr>
                <w:rFonts w:ascii="Times New Roman" w:hAnsi="Times New Roman" w:cs="Times New Roman"/>
                <w:sz w:val="22"/>
                <w:szCs w:val="22"/>
              </w:rPr>
              <w:t>7.65</w:t>
            </w:r>
            <w:r w:rsidR="00631E19" w:rsidRPr="00631E19">
              <w:rPr>
                <w:rFonts w:ascii="Times New Roman" w:hAnsi="Times New Roman" w:cs="Times New Roman"/>
                <w:sz w:val="22"/>
                <w:szCs w:val="22"/>
              </w:rPr>
              <w:t>%</w:t>
            </w:r>
          </w:p>
        </w:tc>
        <w:tc>
          <w:tcPr>
            <w:tcW w:w="1440" w:type="dxa"/>
            <w:tcBorders>
              <w:top w:val="dashed" w:sz="4" w:space="0" w:color="auto"/>
              <w:left w:val="nil"/>
              <w:bottom w:val="single" w:sz="4" w:space="0" w:color="auto"/>
              <w:right w:val="single" w:sz="4" w:space="0" w:color="auto"/>
            </w:tcBorders>
            <w:shd w:val="clear" w:color="auto" w:fill="auto"/>
            <w:noWrap/>
            <w:vAlign w:val="center"/>
          </w:tcPr>
          <w:p w14:paraId="11F21911" w14:textId="5B701381" w:rsidR="00631E19" w:rsidRPr="00631E19" w:rsidRDefault="00631E19" w:rsidP="00631E19">
            <w:pPr>
              <w:spacing w:after="0" w:line="240" w:lineRule="auto"/>
              <w:jc w:val="center"/>
              <w:rPr>
                <w:rFonts w:ascii="Times New Roman" w:eastAsia="Times New Roman" w:hAnsi="Times New Roman" w:cs="Times New Roman"/>
                <w:color w:val="000000"/>
                <w:sz w:val="22"/>
                <w:szCs w:val="22"/>
              </w:rPr>
            </w:pPr>
            <w:r w:rsidRPr="00631E19">
              <w:rPr>
                <w:rFonts w:ascii="Times New Roman" w:hAnsi="Times New Roman" w:cs="Times New Roman"/>
                <w:sz w:val="22"/>
                <w:szCs w:val="22"/>
              </w:rPr>
              <w:t>30</w:t>
            </w:r>
            <w:r w:rsidR="006D7F77">
              <w:rPr>
                <w:rFonts w:ascii="Times New Roman" w:hAnsi="Times New Roman" w:cs="Times New Roman"/>
                <w:sz w:val="22"/>
                <w:szCs w:val="22"/>
              </w:rPr>
              <w:t>.04</w:t>
            </w:r>
            <w:r w:rsidRPr="00631E19">
              <w:rPr>
                <w:rFonts w:ascii="Times New Roman" w:hAnsi="Times New Roman" w:cs="Times New Roman"/>
                <w:sz w:val="22"/>
                <w:szCs w:val="22"/>
              </w:rPr>
              <w:t>%</w:t>
            </w:r>
          </w:p>
        </w:tc>
        <w:tc>
          <w:tcPr>
            <w:tcW w:w="1440" w:type="dxa"/>
            <w:tcBorders>
              <w:top w:val="dashed" w:sz="4" w:space="0" w:color="auto"/>
              <w:left w:val="nil"/>
              <w:bottom w:val="single" w:sz="4" w:space="0" w:color="auto"/>
              <w:right w:val="single" w:sz="4" w:space="0" w:color="auto"/>
            </w:tcBorders>
            <w:shd w:val="clear" w:color="auto" w:fill="auto"/>
            <w:noWrap/>
            <w:vAlign w:val="center"/>
          </w:tcPr>
          <w:p w14:paraId="0FB859D3" w14:textId="760DE564" w:rsidR="00631E19" w:rsidRPr="00631E19" w:rsidRDefault="006D7F77" w:rsidP="00631E19">
            <w:pPr>
              <w:spacing w:after="0" w:line="240" w:lineRule="auto"/>
              <w:jc w:val="center"/>
              <w:rPr>
                <w:rFonts w:ascii="Times New Roman" w:eastAsia="Times New Roman" w:hAnsi="Times New Roman" w:cs="Times New Roman"/>
                <w:color w:val="000000"/>
                <w:sz w:val="22"/>
                <w:szCs w:val="22"/>
              </w:rPr>
            </w:pPr>
            <w:r>
              <w:rPr>
                <w:rFonts w:ascii="Times New Roman" w:hAnsi="Times New Roman" w:cs="Times New Roman"/>
                <w:sz w:val="22"/>
                <w:szCs w:val="22"/>
              </w:rPr>
              <w:t>11.84</w:t>
            </w:r>
            <w:r w:rsidR="00631E19" w:rsidRPr="00631E19">
              <w:rPr>
                <w:rFonts w:ascii="Times New Roman" w:hAnsi="Times New Roman" w:cs="Times New Roman"/>
                <w:sz w:val="22"/>
                <w:szCs w:val="22"/>
              </w:rPr>
              <w:t>%</w:t>
            </w:r>
          </w:p>
        </w:tc>
        <w:tc>
          <w:tcPr>
            <w:tcW w:w="1530" w:type="dxa"/>
            <w:tcBorders>
              <w:top w:val="dashed" w:sz="4" w:space="0" w:color="auto"/>
              <w:left w:val="nil"/>
              <w:bottom w:val="single" w:sz="4" w:space="0" w:color="auto"/>
              <w:right w:val="double" w:sz="4" w:space="0" w:color="auto"/>
            </w:tcBorders>
            <w:shd w:val="clear" w:color="auto" w:fill="auto"/>
            <w:noWrap/>
            <w:vAlign w:val="center"/>
          </w:tcPr>
          <w:p w14:paraId="2E5AB36B" w14:textId="75D0B319" w:rsidR="00631E19" w:rsidRPr="00631E19" w:rsidRDefault="00631E19" w:rsidP="006D7F77">
            <w:pPr>
              <w:spacing w:after="0" w:line="240" w:lineRule="auto"/>
              <w:jc w:val="center"/>
              <w:rPr>
                <w:rFonts w:ascii="Times New Roman" w:eastAsia="Times New Roman" w:hAnsi="Times New Roman" w:cs="Times New Roman"/>
                <w:color w:val="000000"/>
                <w:sz w:val="22"/>
                <w:szCs w:val="22"/>
              </w:rPr>
            </w:pPr>
            <w:r w:rsidRPr="00631E19">
              <w:rPr>
                <w:rFonts w:ascii="Times New Roman" w:hAnsi="Times New Roman" w:cs="Times New Roman"/>
                <w:sz w:val="22"/>
                <w:szCs w:val="22"/>
              </w:rPr>
              <w:t>2</w:t>
            </w:r>
            <w:r w:rsidR="006D7F77">
              <w:rPr>
                <w:rFonts w:ascii="Times New Roman" w:hAnsi="Times New Roman" w:cs="Times New Roman"/>
                <w:sz w:val="22"/>
                <w:szCs w:val="22"/>
              </w:rPr>
              <w:t>4.60</w:t>
            </w:r>
            <w:r w:rsidRPr="00631E19">
              <w:rPr>
                <w:rFonts w:ascii="Times New Roman" w:hAnsi="Times New Roman" w:cs="Times New Roman"/>
                <w:sz w:val="22"/>
                <w:szCs w:val="22"/>
              </w:rPr>
              <w:t>%</w:t>
            </w:r>
          </w:p>
        </w:tc>
      </w:tr>
      <w:tr w:rsidR="00AC0135" w:rsidRPr="00FD7A51" w14:paraId="1C6A52BD" w14:textId="77777777" w:rsidTr="00631E19">
        <w:trPr>
          <w:trHeight w:val="565"/>
        </w:trPr>
        <w:tc>
          <w:tcPr>
            <w:tcW w:w="585" w:type="dxa"/>
            <w:tcBorders>
              <w:top w:val="nil"/>
              <w:right w:val="double" w:sz="4" w:space="0" w:color="auto"/>
            </w:tcBorders>
            <w:shd w:val="clear" w:color="auto" w:fill="auto"/>
            <w:noWrap/>
            <w:vAlign w:val="bottom"/>
            <w:hideMark/>
          </w:tcPr>
          <w:p w14:paraId="241FF8DB" w14:textId="77777777" w:rsidR="00AC0135" w:rsidRPr="00FD7A51" w:rsidRDefault="00AC0135" w:rsidP="00AC0135">
            <w:pPr>
              <w:spacing w:after="0" w:line="240" w:lineRule="auto"/>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 </w:t>
            </w:r>
          </w:p>
        </w:tc>
        <w:tc>
          <w:tcPr>
            <w:tcW w:w="2010" w:type="dxa"/>
            <w:vMerge w:val="restart"/>
            <w:tcBorders>
              <w:top w:val="nil"/>
              <w:left w:val="double" w:sz="4" w:space="0" w:color="auto"/>
              <w:bottom w:val="single" w:sz="8" w:space="0" w:color="000000"/>
              <w:right w:val="single" w:sz="12" w:space="0" w:color="000000"/>
            </w:tcBorders>
            <w:shd w:val="clear" w:color="000000" w:fill="E2EFDA"/>
            <w:vAlign w:val="center"/>
            <w:hideMark/>
          </w:tcPr>
          <w:p w14:paraId="799AA87F" w14:textId="4FCB05D8" w:rsidR="00AC0135" w:rsidRPr="00FD7A51" w:rsidRDefault="00AC0135" w:rsidP="00AC0135">
            <w:pPr>
              <w:spacing w:after="0" w:line="240" w:lineRule="auto"/>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 xml:space="preserve">Blocks With </w:t>
            </w:r>
            <w:r w:rsidRPr="00FD7A51">
              <w:rPr>
                <w:rFonts w:ascii="Times New Roman" w:eastAsia="Times New Roman" w:hAnsi="Times New Roman" w:cs="Times New Roman"/>
                <w:i/>
                <w:iCs/>
                <w:color w:val="000000"/>
                <w:sz w:val="22"/>
                <w:szCs w:val="22"/>
              </w:rPr>
              <w:t>100%  LTE COVERAGE,</w:t>
            </w:r>
            <w:r w:rsidRPr="00FD7A51">
              <w:rPr>
                <w:rFonts w:ascii="Times New Roman" w:eastAsia="Times New Roman" w:hAnsi="Times New Roman" w:cs="Times New Roman"/>
                <w:color w:val="000000"/>
                <w:sz w:val="22"/>
                <w:szCs w:val="22"/>
              </w:rPr>
              <w:t xml:space="preserve"> </w:t>
            </w:r>
            <w:r w:rsidRPr="00FD7A51">
              <w:rPr>
                <w:rFonts w:ascii="Times New Roman" w:eastAsia="Times New Roman" w:hAnsi="Times New Roman" w:cs="Times New Roman"/>
                <w:i/>
                <w:iCs/>
                <w:color w:val="000000"/>
                <w:sz w:val="22"/>
                <w:szCs w:val="22"/>
              </w:rPr>
              <w:t xml:space="preserve">BUT </w:t>
            </w:r>
            <w:r>
              <w:rPr>
                <w:rFonts w:ascii="Times New Roman" w:eastAsia="Times New Roman" w:hAnsi="Times New Roman" w:cs="Times New Roman"/>
                <w:i/>
                <w:iCs/>
                <w:color w:val="000000"/>
                <w:sz w:val="22"/>
                <w:szCs w:val="22"/>
              </w:rPr>
              <w:t>WITH</w:t>
            </w:r>
            <w:r w:rsidRPr="003A2898">
              <w:rPr>
                <w:rFonts w:ascii="Times New Roman" w:eastAsia="Times New Roman" w:hAnsi="Times New Roman" w:cs="Times New Roman"/>
                <w:i/>
                <w:iCs/>
                <w:color w:val="000000"/>
                <w:sz w:val="22"/>
                <w:szCs w:val="22"/>
              </w:rPr>
              <w:t xml:space="preserve"> </w:t>
            </w:r>
            <w:r>
              <w:rPr>
                <w:rFonts w:ascii="Times New Roman" w:eastAsia="Times New Roman" w:hAnsi="Times New Roman" w:cs="Times New Roman"/>
                <w:i/>
                <w:iCs/>
                <w:color w:val="000000"/>
                <w:sz w:val="22"/>
                <w:szCs w:val="22"/>
              </w:rPr>
              <w:t>AT LEAST ONE</w:t>
            </w:r>
            <w:r w:rsidRPr="00FD7A51">
              <w:rPr>
                <w:rFonts w:ascii="Times New Roman" w:eastAsia="Times New Roman" w:hAnsi="Times New Roman" w:cs="Times New Roman"/>
                <w:i/>
                <w:iCs/>
                <w:color w:val="000000"/>
                <w:sz w:val="22"/>
                <w:szCs w:val="22"/>
              </w:rPr>
              <w:t>SUBSIDIZED</w:t>
            </w:r>
            <w:r>
              <w:rPr>
                <w:rFonts w:ascii="Times New Roman" w:eastAsia="Times New Roman" w:hAnsi="Times New Roman" w:cs="Times New Roman"/>
                <w:i/>
                <w:iCs/>
                <w:color w:val="000000"/>
                <w:sz w:val="22"/>
                <w:szCs w:val="22"/>
              </w:rPr>
              <w:t xml:space="preserve"> LTE PROVIDER</w:t>
            </w:r>
          </w:p>
        </w:tc>
        <w:tc>
          <w:tcPr>
            <w:tcW w:w="1445" w:type="dxa"/>
            <w:tcBorders>
              <w:top w:val="single" w:sz="8" w:space="0" w:color="auto"/>
              <w:left w:val="single" w:sz="12" w:space="0" w:color="000000"/>
              <w:bottom w:val="dashed" w:sz="4" w:space="0" w:color="000000"/>
              <w:right w:val="single" w:sz="4" w:space="0" w:color="auto"/>
            </w:tcBorders>
            <w:shd w:val="clear" w:color="auto" w:fill="auto"/>
            <w:noWrap/>
            <w:vAlign w:val="center"/>
          </w:tcPr>
          <w:p w14:paraId="3D3F0028" w14:textId="7B81B1A2" w:rsidR="00AC0135" w:rsidRPr="00631E19" w:rsidRDefault="00AC0135" w:rsidP="00AC0135">
            <w:pPr>
              <w:spacing w:after="0" w:line="240" w:lineRule="auto"/>
              <w:jc w:val="center"/>
              <w:rPr>
                <w:rFonts w:ascii="Times New Roman" w:eastAsia="Times New Roman" w:hAnsi="Times New Roman" w:cs="Times New Roman"/>
                <w:color w:val="000000"/>
                <w:sz w:val="22"/>
                <w:szCs w:val="22"/>
              </w:rPr>
            </w:pPr>
            <w:r>
              <w:rPr>
                <w:rFonts w:ascii="Times New Roman" w:hAnsi="Times New Roman" w:cs="Times New Roman"/>
                <w:sz w:val="22"/>
                <w:szCs w:val="22"/>
              </w:rPr>
              <w:t>6,817</w:t>
            </w:r>
          </w:p>
        </w:tc>
        <w:tc>
          <w:tcPr>
            <w:tcW w:w="1170" w:type="dxa"/>
            <w:tcBorders>
              <w:top w:val="nil"/>
              <w:left w:val="nil"/>
              <w:bottom w:val="dashed" w:sz="4" w:space="0" w:color="000000"/>
              <w:right w:val="single" w:sz="4" w:space="0" w:color="auto"/>
            </w:tcBorders>
            <w:shd w:val="clear" w:color="auto" w:fill="auto"/>
            <w:noWrap/>
            <w:vAlign w:val="center"/>
          </w:tcPr>
          <w:p w14:paraId="34F5C74A" w14:textId="6BB139EE" w:rsidR="00AC0135" w:rsidRPr="00631E19" w:rsidRDefault="00AC0135" w:rsidP="00AC0135">
            <w:pPr>
              <w:spacing w:after="0" w:line="240" w:lineRule="auto"/>
              <w:jc w:val="center"/>
              <w:rPr>
                <w:rFonts w:ascii="Times New Roman" w:eastAsia="Times New Roman" w:hAnsi="Times New Roman" w:cs="Times New Roman"/>
                <w:color w:val="000000"/>
                <w:sz w:val="22"/>
                <w:szCs w:val="22"/>
              </w:rPr>
            </w:pPr>
          </w:p>
        </w:tc>
        <w:tc>
          <w:tcPr>
            <w:tcW w:w="1350" w:type="dxa"/>
            <w:tcBorders>
              <w:top w:val="nil"/>
              <w:left w:val="nil"/>
              <w:bottom w:val="dashed" w:sz="4" w:space="0" w:color="000000"/>
              <w:right w:val="single" w:sz="4" w:space="0" w:color="auto"/>
            </w:tcBorders>
            <w:shd w:val="clear" w:color="auto" w:fill="auto"/>
            <w:noWrap/>
            <w:vAlign w:val="center"/>
          </w:tcPr>
          <w:p w14:paraId="53EB23AB" w14:textId="111AAD22" w:rsidR="00AC0135" w:rsidRPr="00631E19" w:rsidRDefault="00AC0135" w:rsidP="00AC0135">
            <w:pPr>
              <w:spacing w:after="0" w:line="240" w:lineRule="auto"/>
              <w:jc w:val="center"/>
              <w:rPr>
                <w:rFonts w:ascii="Times New Roman" w:eastAsia="Times New Roman" w:hAnsi="Times New Roman" w:cs="Times New Roman"/>
                <w:color w:val="000000"/>
                <w:sz w:val="22"/>
                <w:szCs w:val="22"/>
              </w:rPr>
            </w:pPr>
            <w:r w:rsidRPr="00631E19">
              <w:rPr>
                <w:rFonts w:ascii="Times New Roman" w:hAnsi="Times New Roman" w:cs="Times New Roman"/>
                <w:sz w:val="22"/>
                <w:szCs w:val="22"/>
              </w:rPr>
              <w:t>5,649</w:t>
            </w:r>
          </w:p>
        </w:tc>
        <w:tc>
          <w:tcPr>
            <w:tcW w:w="1530" w:type="dxa"/>
            <w:tcBorders>
              <w:top w:val="nil"/>
              <w:left w:val="nil"/>
              <w:bottom w:val="dashed" w:sz="4" w:space="0" w:color="000000"/>
              <w:right w:val="single" w:sz="12" w:space="0" w:color="auto"/>
            </w:tcBorders>
            <w:shd w:val="clear" w:color="auto" w:fill="auto"/>
            <w:noWrap/>
            <w:vAlign w:val="center"/>
          </w:tcPr>
          <w:p w14:paraId="7EC44364" w14:textId="43D9F48A" w:rsidR="00AC0135" w:rsidRPr="00631E19" w:rsidRDefault="00AC0135" w:rsidP="00AC0135">
            <w:pPr>
              <w:spacing w:after="0" w:line="240" w:lineRule="auto"/>
              <w:jc w:val="center"/>
              <w:rPr>
                <w:rFonts w:ascii="Times New Roman" w:eastAsia="Times New Roman" w:hAnsi="Times New Roman" w:cs="Times New Roman"/>
                <w:color w:val="000000"/>
                <w:sz w:val="22"/>
                <w:szCs w:val="22"/>
              </w:rPr>
            </w:pPr>
            <w:r w:rsidRPr="00631E19">
              <w:rPr>
                <w:rFonts w:ascii="Times New Roman" w:hAnsi="Times New Roman" w:cs="Times New Roman"/>
                <w:sz w:val="22"/>
                <w:szCs w:val="22"/>
              </w:rPr>
              <w:t>5,649</w:t>
            </w:r>
          </w:p>
        </w:tc>
        <w:tc>
          <w:tcPr>
            <w:tcW w:w="1440" w:type="dxa"/>
            <w:tcBorders>
              <w:top w:val="nil"/>
              <w:left w:val="single" w:sz="12" w:space="0" w:color="auto"/>
              <w:bottom w:val="dashed" w:sz="4" w:space="0" w:color="000000"/>
              <w:right w:val="single" w:sz="4" w:space="0" w:color="auto"/>
            </w:tcBorders>
            <w:shd w:val="clear" w:color="auto" w:fill="auto"/>
            <w:noWrap/>
            <w:vAlign w:val="center"/>
          </w:tcPr>
          <w:p w14:paraId="4A5A3F39" w14:textId="055F809A" w:rsidR="00AC0135" w:rsidRPr="00631E19" w:rsidRDefault="00AC0135" w:rsidP="00AC0135">
            <w:pPr>
              <w:spacing w:after="0" w:line="240" w:lineRule="auto"/>
              <w:jc w:val="center"/>
              <w:rPr>
                <w:rFonts w:ascii="Times New Roman" w:eastAsia="Times New Roman" w:hAnsi="Times New Roman" w:cs="Times New Roman"/>
                <w:color w:val="000000"/>
                <w:sz w:val="22"/>
                <w:szCs w:val="22"/>
              </w:rPr>
            </w:pPr>
            <w:r>
              <w:rPr>
                <w:rFonts w:ascii="Times New Roman" w:hAnsi="Times New Roman" w:cs="Times New Roman"/>
                <w:sz w:val="22"/>
                <w:szCs w:val="22"/>
              </w:rPr>
              <w:t>35,859</w:t>
            </w:r>
          </w:p>
        </w:tc>
        <w:tc>
          <w:tcPr>
            <w:tcW w:w="1440" w:type="dxa"/>
            <w:tcBorders>
              <w:top w:val="nil"/>
              <w:left w:val="nil"/>
              <w:bottom w:val="dashed" w:sz="4" w:space="0" w:color="000000"/>
              <w:right w:val="single" w:sz="4" w:space="0" w:color="auto"/>
            </w:tcBorders>
            <w:shd w:val="clear" w:color="auto" w:fill="auto"/>
            <w:noWrap/>
            <w:vAlign w:val="center"/>
          </w:tcPr>
          <w:p w14:paraId="03385D21" w14:textId="1A093488" w:rsidR="00AC0135" w:rsidRPr="00631E19" w:rsidRDefault="00AC0135" w:rsidP="00AC0135">
            <w:pPr>
              <w:spacing w:after="0" w:line="240" w:lineRule="auto"/>
              <w:jc w:val="center"/>
              <w:rPr>
                <w:rFonts w:ascii="Times New Roman" w:eastAsia="Times New Roman" w:hAnsi="Times New Roman" w:cs="Times New Roman"/>
                <w:color w:val="000000"/>
                <w:sz w:val="22"/>
                <w:szCs w:val="22"/>
              </w:rPr>
            </w:pPr>
          </w:p>
        </w:tc>
        <w:tc>
          <w:tcPr>
            <w:tcW w:w="1440" w:type="dxa"/>
            <w:tcBorders>
              <w:top w:val="nil"/>
              <w:left w:val="nil"/>
              <w:bottom w:val="dashed" w:sz="4" w:space="0" w:color="000000"/>
              <w:right w:val="single" w:sz="4" w:space="0" w:color="auto"/>
            </w:tcBorders>
            <w:shd w:val="clear" w:color="auto" w:fill="auto"/>
            <w:noWrap/>
            <w:vAlign w:val="center"/>
          </w:tcPr>
          <w:p w14:paraId="2459724A" w14:textId="49223729" w:rsidR="00AC0135" w:rsidRPr="00631E19" w:rsidRDefault="00AC0135" w:rsidP="00AC0135">
            <w:pPr>
              <w:spacing w:after="0" w:line="240" w:lineRule="auto"/>
              <w:jc w:val="center"/>
              <w:rPr>
                <w:rFonts w:ascii="Times New Roman" w:eastAsia="Times New Roman" w:hAnsi="Times New Roman" w:cs="Times New Roman"/>
                <w:color w:val="000000"/>
                <w:sz w:val="22"/>
                <w:szCs w:val="22"/>
              </w:rPr>
            </w:pPr>
            <w:r w:rsidRPr="00631E19">
              <w:rPr>
                <w:rFonts w:ascii="Times New Roman" w:hAnsi="Times New Roman" w:cs="Times New Roman"/>
                <w:sz w:val="22"/>
                <w:szCs w:val="22"/>
              </w:rPr>
              <w:t>45,853</w:t>
            </w:r>
          </w:p>
        </w:tc>
        <w:tc>
          <w:tcPr>
            <w:tcW w:w="1530" w:type="dxa"/>
            <w:tcBorders>
              <w:top w:val="nil"/>
              <w:left w:val="nil"/>
              <w:bottom w:val="dashed" w:sz="4" w:space="0" w:color="000000"/>
              <w:right w:val="double" w:sz="4" w:space="0" w:color="auto"/>
            </w:tcBorders>
            <w:shd w:val="clear" w:color="auto" w:fill="auto"/>
            <w:noWrap/>
            <w:vAlign w:val="center"/>
          </w:tcPr>
          <w:p w14:paraId="16823650" w14:textId="2CF583ED" w:rsidR="00AC0135" w:rsidRPr="00631E19" w:rsidRDefault="00AC0135" w:rsidP="00AC0135">
            <w:pPr>
              <w:spacing w:after="0" w:line="240" w:lineRule="auto"/>
              <w:jc w:val="center"/>
              <w:rPr>
                <w:rFonts w:ascii="Times New Roman" w:eastAsia="Times New Roman" w:hAnsi="Times New Roman" w:cs="Times New Roman"/>
                <w:color w:val="000000"/>
                <w:sz w:val="22"/>
                <w:szCs w:val="22"/>
              </w:rPr>
            </w:pPr>
            <w:r w:rsidRPr="00631E19">
              <w:rPr>
                <w:rFonts w:ascii="Times New Roman" w:hAnsi="Times New Roman" w:cs="Times New Roman"/>
                <w:sz w:val="22"/>
                <w:szCs w:val="22"/>
              </w:rPr>
              <w:t>45,854</w:t>
            </w:r>
          </w:p>
        </w:tc>
      </w:tr>
      <w:tr w:rsidR="00AC0135" w:rsidRPr="00FD7A51" w14:paraId="48D06C95" w14:textId="77777777" w:rsidTr="00631E19">
        <w:trPr>
          <w:trHeight w:val="315"/>
        </w:trPr>
        <w:tc>
          <w:tcPr>
            <w:tcW w:w="585" w:type="dxa"/>
            <w:tcBorders>
              <w:top w:val="nil"/>
              <w:right w:val="double" w:sz="4" w:space="0" w:color="auto"/>
            </w:tcBorders>
            <w:shd w:val="clear" w:color="auto" w:fill="auto"/>
            <w:vAlign w:val="center"/>
            <w:hideMark/>
          </w:tcPr>
          <w:p w14:paraId="35F4CE90" w14:textId="77777777" w:rsidR="00AC0135" w:rsidRPr="00FD7A51" w:rsidRDefault="00AC0135" w:rsidP="00AC0135">
            <w:pPr>
              <w:spacing w:after="0" w:line="240" w:lineRule="auto"/>
              <w:rPr>
                <w:rFonts w:ascii="Times New Roman" w:eastAsia="Times New Roman" w:hAnsi="Times New Roman" w:cs="Times New Roman"/>
                <w:color w:val="000000"/>
                <w:sz w:val="22"/>
                <w:szCs w:val="22"/>
              </w:rPr>
            </w:pPr>
            <w:r w:rsidRPr="00FD7A51">
              <w:rPr>
                <w:rFonts w:ascii="Times New Roman" w:eastAsia="Times New Roman" w:hAnsi="Times New Roman" w:cs="Times New Roman"/>
                <w:color w:val="000000"/>
                <w:sz w:val="22"/>
                <w:szCs w:val="22"/>
              </w:rPr>
              <w:t> </w:t>
            </w:r>
          </w:p>
        </w:tc>
        <w:tc>
          <w:tcPr>
            <w:tcW w:w="2010" w:type="dxa"/>
            <w:vMerge/>
            <w:tcBorders>
              <w:top w:val="nil"/>
              <w:left w:val="double" w:sz="4" w:space="0" w:color="auto"/>
              <w:bottom w:val="single" w:sz="8" w:space="0" w:color="000000"/>
              <w:right w:val="single" w:sz="12" w:space="0" w:color="000000"/>
            </w:tcBorders>
            <w:vAlign w:val="center"/>
            <w:hideMark/>
          </w:tcPr>
          <w:p w14:paraId="0BA5431B" w14:textId="77777777" w:rsidR="00AC0135" w:rsidRPr="00FD7A51" w:rsidRDefault="00AC0135" w:rsidP="00AC0135">
            <w:pPr>
              <w:spacing w:after="0" w:line="240" w:lineRule="auto"/>
              <w:rPr>
                <w:rFonts w:ascii="Times New Roman" w:eastAsia="Times New Roman" w:hAnsi="Times New Roman" w:cs="Times New Roman"/>
                <w:color w:val="000000"/>
                <w:sz w:val="22"/>
                <w:szCs w:val="22"/>
              </w:rPr>
            </w:pPr>
          </w:p>
        </w:tc>
        <w:tc>
          <w:tcPr>
            <w:tcW w:w="1445" w:type="dxa"/>
            <w:tcBorders>
              <w:top w:val="dashed" w:sz="4" w:space="0" w:color="000000"/>
              <w:left w:val="single" w:sz="12" w:space="0" w:color="000000"/>
              <w:bottom w:val="double" w:sz="4" w:space="0" w:color="auto"/>
              <w:right w:val="single" w:sz="4" w:space="0" w:color="auto"/>
            </w:tcBorders>
            <w:shd w:val="clear" w:color="auto" w:fill="auto"/>
            <w:noWrap/>
            <w:vAlign w:val="center"/>
          </w:tcPr>
          <w:p w14:paraId="5E0C1FA6" w14:textId="56EC920C" w:rsidR="00AC0135" w:rsidRPr="00631E19" w:rsidRDefault="00AC0135" w:rsidP="00AC0135">
            <w:pPr>
              <w:spacing w:after="0" w:line="240" w:lineRule="auto"/>
              <w:jc w:val="center"/>
              <w:rPr>
                <w:rFonts w:ascii="Times New Roman" w:eastAsia="Times New Roman" w:hAnsi="Times New Roman" w:cs="Times New Roman"/>
                <w:color w:val="000000"/>
                <w:sz w:val="22"/>
                <w:szCs w:val="22"/>
              </w:rPr>
            </w:pPr>
            <w:r>
              <w:rPr>
                <w:rFonts w:ascii="Times New Roman" w:hAnsi="Times New Roman" w:cs="Times New Roman"/>
                <w:sz w:val="22"/>
                <w:szCs w:val="22"/>
              </w:rPr>
              <w:t>4.98</w:t>
            </w:r>
            <w:r w:rsidRPr="00631E19">
              <w:rPr>
                <w:rFonts w:ascii="Times New Roman" w:hAnsi="Times New Roman" w:cs="Times New Roman"/>
                <w:sz w:val="22"/>
                <w:szCs w:val="22"/>
              </w:rPr>
              <w:t>%</w:t>
            </w:r>
          </w:p>
        </w:tc>
        <w:tc>
          <w:tcPr>
            <w:tcW w:w="1170" w:type="dxa"/>
            <w:tcBorders>
              <w:top w:val="dashed" w:sz="4" w:space="0" w:color="000000"/>
              <w:left w:val="single" w:sz="4" w:space="0" w:color="auto"/>
              <w:bottom w:val="double" w:sz="4" w:space="0" w:color="auto"/>
              <w:right w:val="single" w:sz="4" w:space="0" w:color="auto"/>
            </w:tcBorders>
            <w:shd w:val="clear" w:color="auto" w:fill="auto"/>
            <w:noWrap/>
            <w:vAlign w:val="center"/>
          </w:tcPr>
          <w:p w14:paraId="12271007" w14:textId="6E3108EA" w:rsidR="00AC0135" w:rsidRPr="00631E19" w:rsidRDefault="00AC0135" w:rsidP="00AC0135">
            <w:pPr>
              <w:spacing w:after="0" w:line="240" w:lineRule="auto"/>
              <w:jc w:val="center"/>
              <w:rPr>
                <w:rFonts w:ascii="Times New Roman" w:eastAsia="Times New Roman" w:hAnsi="Times New Roman" w:cs="Times New Roman"/>
                <w:color w:val="000000"/>
                <w:sz w:val="22"/>
                <w:szCs w:val="22"/>
              </w:rPr>
            </w:pPr>
          </w:p>
        </w:tc>
        <w:tc>
          <w:tcPr>
            <w:tcW w:w="1350" w:type="dxa"/>
            <w:tcBorders>
              <w:top w:val="dashed" w:sz="4" w:space="0" w:color="000000"/>
              <w:left w:val="nil"/>
              <w:bottom w:val="double" w:sz="4" w:space="0" w:color="auto"/>
              <w:right w:val="single" w:sz="4" w:space="0" w:color="auto"/>
            </w:tcBorders>
            <w:shd w:val="clear" w:color="auto" w:fill="auto"/>
            <w:noWrap/>
            <w:vAlign w:val="center"/>
          </w:tcPr>
          <w:p w14:paraId="7F9EA585" w14:textId="59397161" w:rsidR="00AC0135" w:rsidRPr="00631E19" w:rsidRDefault="00AC0135" w:rsidP="00AC0135">
            <w:pPr>
              <w:spacing w:after="0" w:line="240" w:lineRule="auto"/>
              <w:jc w:val="center"/>
              <w:rPr>
                <w:rFonts w:ascii="Times New Roman" w:eastAsia="Times New Roman" w:hAnsi="Times New Roman" w:cs="Times New Roman"/>
                <w:color w:val="000000"/>
                <w:sz w:val="22"/>
                <w:szCs w:val="22"/>
              </w:rPr>
            </w:pPr>
            <w:r>
              <w:rPr>
                <w:rFonts w:ascii="Times New Roman" w:hAnsi="Times New Roman" w:cs="Times New Roman"/>
                <w:sz w:val="22"/>
                <w:szCs w:val="22"/>
              </w:rPr>
              <w:t>54.35</w:t>
            </w:r>
            <w:r w:rsidRPr="00631E19">
              <w:rPr>
                <w:rFonts w:ascii="Times New Roman" w:hAnsi="Times New Roman" w:cs="Times New Roman"/>
                <w:sz w:val="22"/>
                <w:szCs w:val="22"/>
              </w:rPr>
              <w:t>%</w:t>
            </w:r>
          </w:p>
        </w:tc>
        <w:tc>
          <w:tcPr>
            <w:tcW w:w="1530" w:type="dxa"/>
            <w:tcBorders>
              <w:top w:val="dashed" w:sz="4" w:space="0" w:color="000000"/>
              <w:left w:val="single" w:sz="4" w:space="0" w:color="auto"/>
              <w:bottom w:val="double" w:sz="4" w:space="0" w:color="auto"/>
              <w:right w:val="single" w:sz="12" w:space="0" w:color="auto"/>
            </w:tcBorders>
            <w:shd w:val="clear" w:color="auto" w:fill="auto"/>
            <w:noWrap/>
            <w:vAlign w:val="center"/>
          </w:tcPr>
          <w:p w14:paraId="0440DC60" w14:textId="03207FA8" w:rsidR="00AC0135" w:rsidRPr="00631E19" w:rsidRDefault="00AC0135" w:rsidP="00AC0135">
            <w:pPr>
              <w:spacing w:after="0" w:line="240" w:lineRule="auto"/>
              <w:jc w:val="center"/>
              <w:rPr>
                <w:rFonts w:ascii="Times New Roman" w:eastAsia="Times New Roman" w:hAnsi="Times New Roman" w:cs="Times New Roman"/>
                <w:color w:val="000000"/>
                <w:sz w:val="22"/>
                <w:szCs w:val="22"/>
              </w:rPr>
            </w:pPr>
            <w:r w:rsidRPr="00631E19">
              <w:rPr>
                <w:rFonts w:ascii="Times New Roman" w:hAnsi="Times New Roman" w:cs="Times New Roman"/>
                <w:sz w:val="22"/>
                <w:szCs w:val="22"/>
              </w:rPr>
              <w:t>9</w:t>
            </w:r>
            <w:r>
              <w:rPr>
                <w:rFonts w:ascii="Times New Roman" w:hAnsi="Times New Roman" w:cs="Times New Roman"/>
                <w:sz w:val="22"/>
                <w:szCs w:val="22"/>
              </w:rPr>
              <w:t>.13</w:t>
            </w:r>
            <w:r w:rsidRPr="00631E19">
              <w:rPr>
                <w:rFonts w:ascii="Times New Roman" w:hAnsi="Times New Roman" w:cs="Times New Roman"/>
                <w:sz w:val="22"/>
                <w:szCs w:val="22"/>
              </w:rPr>
              <w:t>%</w:t>
            </w:r>
          </w:p>
        </w:tc>
        <w:tc>
          <w:tcPr>
            <w:tcW w:w="1440" w:type="dxa"/>
            <w:tcBorders>
              <w:top w:val="dashed" w:sz="4" w:space="0" w:color="000000"/>
              <w:left w:val="single" w:sz="12" w:space="0" w:color="auto"/>
              <w:bottom w:val="double" w:sz="4" w:space="0" w:color="auto"/>
              <w:right w:val="single" w:sz="4" w:space="0" w:color="auto"/>
            </w:tcBorders>
            <w:shd w:val="clear" w:color="auto" w:fill="auto"/>
            <w:noWrap/>
            <w:vAlign w:val="center"/>
          </w:tcPr>
          <w:p w14:paraId="4753087F" w14:textId="4BF14CEA" w:rsidR="00AC0135" w:rsidRPr="00631E19" w:rsidRDefault="00AC0135" w:rsidP="00AC0135">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3.91%</w:t>
            </w:r>
          </w:p>
        </w:tc>
        <w:tc>
          <w:tcPr>
            <w:tcW w:w="1440" w:type="dxa"/>
            <w:tcBorders>
              <w:top w:val="dashed" w:sz="4" w:space="0" w:color="000000"/>
              <w:left w:val="single" w:sz="4" w:space="0" w:color="auto"/>
              <w:bottom w:val="double" w:sz="4" w:space="0" w:color="auto"/>
              <w:right w:val="single" w:sz="4" w:space="0" w:color="auto"/>
            </w:tcBorders>
            <w:shd w:val="clear" w:color="auto" w:fill="auto"/>
            <w:noWrap/>
            <w:vAlign w:val="center"/>
          </w:tcPr>
          <w:p w14:paraId="5779BDC3" w14:textId="6A2FEC18" w:rsidR="00AC0135" w:rsidRPr="00631E19" w:rsidRDefault="00AC0135" w:rsidP="00AC0135">
            <w:pPr>
              <w:spacing w:after="0" w:line="240" w:lineRule="auto"/>
              <w:jc w:val="center"/>
              <w:rPr>
                <w:rFonts w:ascii="Times New Roman" w:eastAsia="Times New Roman" w:hAnsi="Times New Roman" w:cs="Times New Roman"/>
                <w:color w:val="000000"/>
                <w:sz w:val="22"/>
                <w:szCs w:val="22"/>
              </w:rPr>
            </w:pPr>
          </w:p>
        </w:tc>
        <w:tc>
          <w:tcPr>
            <w:tcW w:w="1440" w:type="dxa"/>
            <w:tcBorders>
              <w:top w:val="dashed" w:sz="4" w:space="0" w:color="000000"/>
              <w:left w:val="nil"/>
              <w:bottom w:val="double" w:sz="4" w:space="0" w:color="auto"/>
              <w:right w:val="single" w:sz="4" w:space="0" w:color="auto"/>
            </w:tcBorders>
            <w:shd w:val="clear" w:color="auto" w:fill="auto"/>
            <w:noWrap/>
            <w:vAlign w:val="center"/>
          </w:tcPr>
          <w:p w14:paraId="7471C292" w14:textId="725FA54D" w:rsidR="00AC0135" w:rsidRPr="00631E19" w:rsidRDefault="00AC0135" w:rsidP="00AC0135">
            <w:pPr>
              <w:spacing w:after="0" w:line="240" w:lineRule="auto"/>
              <w:jc w:val="center"/>
              <w:rPr>
                <w:rFonts w:ascii="Times New Roman" w:eastAsia="Times New Roman" w:hAnsi="Times New Roman" w:cs="Times New Roman"/>
                <w:color w:val="000000"/>
                <w:sz w:val="22"/>
                <w:szCs w:val="22"/>
              </w:rPr>
            </w:pPr>
            <w:r w:rsidRPr="00631E19">
              <w:rPr>
                <w:rFonts w:ascii="Times New Roman" w:hAnsi="Times New Roman" w:cs="Times New Roman"/>
                <w:sz w:val="22"/>
                <w:szCs w:val="22"/>
              </w:rPr>
              <w:t>88.16%</w:t>
            </w:r>
          </w:p>
        </w:tc>
        <w:tc>
          <w:tcPr>
            <w:tcW w:w="1530" w:type="dxa"/>
            <w:tcBorders>
              <w:top w:val="dashed" w:sz="4" w:space="0" w:color="000000"/>
              <w:left w:val="single" w:sz="4" w:space="0" w:color="auto"/>
              <w:bottom w:val="double" w:sz="4" w:space="0" w:color="auto"/>
              <w:right w:val="double" w:sz="4" w:space="0" w:color="auto"/>
            </w:tcBorders>
            <w:shd w:val="clear" w:color="auto" w:fill="auto"/>
            <w:noWrap/>
            <w:vAlign w:val="center"/>
          </w:tcPr>
          <w:p w14:paraId="4B4247FC" w14:textId="6273B3A0" w:rsidR="00AC0135" w:rsidRPr="00631E19" w:rsidRDefault="00AC0135" w:rsidP="00AC0135">
            <w:pPr>
              <w:spacing w:after="0" w:line="240" w:lineRule="auto"/>
              <w:jc w:val="center"/>
              <w:rPr>
                <w:rFonts w:ascii="Times New Roman" w:eastAsia="Times New Roman" w:hAnsi="Times New Roman" w:cs="Times New Roman"/>
                <w:color w:val="000000"/>
                <w:sz w:val="22"/>
                <w:szCs w:val="22"/>
              </w:rPr>
            </w:pPr>
            <w:r w:rsidRPr="00631E19">
              <w:rPr>
                <w:rFonts w:ascii="Times New Roman" w:hAnsi="Times New Roman" w:cs="Times New Roman"/>
                <w:sz w:val="22"/>
                <w:szCs w:val="22"/>
              </w:rPr>
              <w:t>26</w:t>
            </w:r>
            <w:r>
              <w:rPr>
                <w:rFonts w:ascii="Times New Roman" w:hAnsi="Times New Roman" w:cs="Times New Roman"/>
                <w:sz w:val="22"/>
                <w:szCs w:val="22"/>
              </w:rPr>
              <w:t>.36</w:t>
            </w:r>
            <w:r w:rsidRPr="00631E19">
              <w:rPr>
                <w:rFonts w:ascii="Times New Roman" w:hAnsi="Times New Roman" w:cs="Times New Roman"/>
                <w:sz w:val="22"/>
                <w:szCs w:val="22"/>
              </w:rPr>
              <w:t>%</w:t>
            </w:r>
          </w:p>
        </w:tc>
      </w:tr>
    </w:tbl>
    <w:p w14:paraId="6BDAAF88" w14:textId="77777777" w:rsidR="004054D4" w:rsidRDefault="004054D4" w:rsidP="0041725B">
      <w:pPr>
        <w:spacing w:after="0" w:line="240" w:lineRule="auto"/>
        <w:ind w:right="-86"/>
        <w:rPr>
          <w:rFonts w:ascii="Times New Roman" w:hAnsi="Times New Roman" w:cs="Times New Roman"/>
          <w:sz w:val="22"/>
          <w:szCs w:val="22"/>
        </w:rPr>
      </w:pPr>
    </w:p>
    <w:p w14:paraId="5BBCDC51" w14:textId="73845CB2" w:rsidR="006114DE" w:rsidRPr="006114DE" w:rsidRDefault="0041725B" w:rsidP="006114DE">
      <w:pPr>
        <w:spacing w:after="0" w:line="240" w:lineRule="auto"/>
        <w:ind w:right="-86"/>
        <w:rPr>
          <w:rFonts w:ascii="Times New Roman" w:hAnsi="Times New Roman" w:cs="Times New Roman"/>
          <w:sz w:val="22"/>
          <w:szCs w:val="22"/>
        </w:rPr>
        <w:sectPr w:rsidR="006114DE" w:rsidRPr="006114DE" w:rsidSect="006114DE">
          <w:headerReference w:type="default" r:id="rId20"/>
          <w:pgSz w:w="15840" w:h="12240" w:orient="landscape"/>
          <w:pgMar w:top="1008" w:right="720" w:bottom="1008" w:left="720" w:header="720" w:footer="720" w:gutter="0"/>
          <w:cols w:space="720"/>
          <w:docGrid w:linePitch="360"/>
        </w:sectPr>
      </w:pPr>
      <w:r w:rsidRPr="009D6679">
        <w:rPr>
          <w:rFonts w:ascii="Times New Roman" w:hAnsi="Times New Roman" w:cs="Times New Roman"/>
          <w:sz w:val="22"/>
          <w:szCs w:val="22"/>
        </w:rPr>
        <w:t>Note: Based on Form 477 December 2015 coverage data. 2010 Census data on population and road</w:t>
      </w:r>
      <w:r w:rsidR="007F13A4">
        <w:rPr>
          <w:rFonts w:ascii="Times New Roman" w:hAnsi="Times New Roman" w:cs="Times New Roman"/>
          <w:sz w:val="22"/>
          <w:szCs w:val="22"/>
        </w:rPr>
        <w:t xml:space="preserve"> </w:t>
      </w:r>
      <w:r w:rsidRPr="009D6679">
        <w:rPr>
          <w:rFonts w:ascii="Times New Roman" w:hAnsi="Times New Roman" w:cs="Times New Roman"/>
          <w:sz w:val="22"/>
          <w:szCs w:val="22"/>
        </w:rPr>
        <w:t xml:space="preserve">miles. </w:t>
      </w:r>
      <w:r>
        <w:rPr>
          <w:rFonts w:ascii="Times New Roman" w:hAnsi="Times New Roman" w:cs="Times New Roman"/>
          <w:sz w:val="22"/>
          <w:szCs w:val="22"/>
        </w:rPr>
        <w:t xml:space="preserve">Subsidy data is from USAC’s December 2015 High-cost database and </w:t>
      </w:r>
      <w:r w:rsidR="00B524E8">
        <w:rPr>
          <w:rFonts w:ascii="Times New Roman" w:hAnsi="Times New Roman" w:cs="Times New Roman"/>
          <w:sz w:val="22"/>
          <w:szCs w:val="22"/>
        </w:rPr>
        <w:t>MF-I</w:t>
      </w:r>
      <w:r>
        <w:rPr>
          <w:rFonts w:ascii="Times New Roman" w:hAnsi="Times New Roman" w:cs="Times New Roman"/>
          <w:sz w:val="22"/>
          <w:szCs w:val="22"/>
        </w:rPr>
        <w:t xml:space="preserve"> auction data. Tribal b</w:t>
      </w:r>
      <w:r w:rsidRPr="009D6679">
        <w:rPr>
          <w:rFonts w:ascii="Times New Roman" w:hAnsi="Times New Roman" w:cs="Times New Roman"/>
          <w:sz w:val="22"/>
          <w:szCs w:val="22"/>
        </w:rPr>
        <w:t xml:space="preserve">locks exclude Alaska and </w:t>
      </w:r>
      <w:r w:rsidR="00904BE8">
        <w:rPr>
          <w:rFonts w:ascii="Times New Roman" w:hAnsi="Times New Roman" w:cs="Times New Roman"/>
          <w:sz w:val="22"/>
          <w:szCs w:val="22"/>
        </w:rPr>
        <w:t>water-</w:t>
      </w:r>
      <w:r w:rsidR="00904BE8" w:rsidRPr="00E4790D">
        <w:rPr>
          <w:rFonts w:ascii="Times New Roman" w:hAnsi="Times New Roman" w:cs="Times New Roman"/>
          <w:sz w:val="22"/>
          <w:szCs w:val="22"/>
        </w:rPr>
        <w:t xml:space="preserve">only </w:t>
      </w:r>
      <w:r w:rsidRPr="009D6679">
        <w:rPr>
          <w:rFonts w:ascii="Times New Roman" w:hAnsi="Times New Roman" w:cs="Times New Roman"/>
          <w:sz w:val="22"/>
          <w:szCs w:val="22"/>
        </w:rPr>
        <w:t>blocks. 100% service is actually calculated as 99.9% service to tak</w:t>
      </w:r>
      <w:r w:rsidR="006114DE">
        <w:rPr>
          <w:rFonts w:ascii="Times New Roman" w:hAnsi="Times New Roman" w:cs="Times New Roman"/>
          <w:sz w:val="22"/>
          <w:szCs w:val="22"/>
        </w:rPr>
        <w:t xml:space="preserve">e coverage bleed into account. </w:t>
      </w:r>
    </w:p>
    <w:p w14:paraId="3F460054" w14:textId="02DE6B87" w:rsidR="008664AC" w:rsidRPr="006A51A9" w:rsidRDefault="008664AC" w:rsidP="008326C9">
      <w:pPr>
        <w:pStyle w:val="ListParagraph"/>
        <w:keepNext/>
        <w:keepLines/>
        <w:numPr>
          <w:ilvl w:val="0"/>
          <w:numId w:val="5"/>
        </w:numPr>
        <w:spacing w:before="320" w:after="240" w:line="240" w:lineRule="auto"/>
        <w:ind w:left="450" w:hanging="446"/>
        <w:contextualSpacing w:val="0"/>
        <w:jc w:val="center"/>
        <w:outlineLvl w:val="0"/>
        <w:rPr>
          <w:rFonts w:ascii="Times New Roman" w:eastAsiaTheme="majorEastAsia" w:hAnsi="Times New Roman" w:cs="Times New Roman"/>
          <w:color w:val="365F91" w:themeColor="accent1" w:themeShade="BF"/>
          <w:sz w:val="40"/>
          <w:szCs w:val="40"/>
        </w:rPr>
      </w:pPr>
      <w:bookmarkStart w:id="7" w:name="_Toc463007282"/>
      <w:r w:rsidRPr="006A51A9">
        <w:rPr>
          <w:rFonts w:ascii="Times New Roman" w:eastAsiaTheme="majorEastAsia" w:hAnsi="Times New Roman" w:cs="Times New Roman"/>
          <w:color w:val="365F91" w:themeColor="accent1" w:themeShade="BF"/>
          <w:sz w:val="40"/>
          <w:szCs w:val="40"/>
        </w:rPr>
        <w:t xml:space="preserve">Methodology for Allocating Legacy CETC </w:t>
      </w:r>
      <w:r w:rsidR="00A725D2" w:rsidRPr="006A51A9">
        <w:rPr>
          <w:rFonts w:ascii="Times New Roman" w:eastAsiaTheme="majorEastAsia" w:hAnsi="Times New Roman" w:cs="Times New Roman"/>
          <w:color w:val="365F91" w:themeColor="accent1" w:themeShade="BF"/>
          <w:sz w:val="40"/>
          <w:szCs w:val="40"/>
        </w:rPr>
        <w:br/>
      </w:r>
      <w:r w:rsidRPr="006A51A9">
        <w:rPr>
          <w:rFonts w:ascii="Times New Roman" w:eastAsiaTheme="majorEastAsia" w:hAnsi="Times New Roman" w:cs="Times New Roman"/>
          <w:color w:val="365F91" w:themeColor="accent1" w:themeShade="BF"/>
          <w:sz w:val="40"/>
          <w:szCs w:val="40"/>
        </w:rPr>
        <w:t>and MF-I Support Amounts</w:t>
      </w:r>
      <w:bookmarkEnd w:id="7"/>
    </w:p>
    <w:p w14:paraId="17CB4F44" w14:textId="34BABB20" w:rsidR="008664AC" w:rsidRPr="008664AC" w:rsidRDefault="008664AC" w:rsidP="00702196">
      <w:pPr>
        <w:numPr>
          <w:ilvl w:val="0"/>
          <w:numId w:val="16"/>
        </w:numPr>
        <w:spacing w:line="360" w:lineRule="auto"/>
        <w:ind w:hanging="450"/>
        <w:rPr>
          <w:rFonts w:ascii="Times New Roman" w:hAnsi="Times New Roman" w:cs="Times New Roman"/>
          <w:sz w:val="24"/>
          <w:szCs w:val="24"/>
        </w:rPr>
      </w:pPr>
      <w:r w:rsidRPr="008664AC">
        <w:rPr>
          <w:rFonts w:ascii="Times New Roman" w:hAnsi="Times New Roman" w:cs="Times New Roman"/>
          <w:sz w:val="24"/>
          <w:szCs w:val="24"/>
        </w:rPr>
        <w:t xml:space="preserve">Certain MF-II-related analyses may require allocating specific amounts of current high-cost legacy CETC disbursements and MF-I support to particular census blocks.  For instance, in many of the geographic areas in which CETCs currently receive legacy ongoing support, there is provision of 4G LTE on an unsubsidized basis by other providers.  It is not reasonable to assume that every dollar of CETC support being provided to a recipient for its entire wireless study area is needed to ensure the continuation of </w:t>
      </w:r>
      <w:r w:rsidR="00107DFF">
        <w:rPr>
          <w:rFonts w:ascii="Times New Roman" w:hAnsi="Times New Roman" w:cs="Times New Roman"/>
          <w:sz w:val="24"/>
          <w:szCs w:val="24"/>
        </w:rPr>
        <w:t xml:space="preserve">LTE </w:t>
      </w:r>
      <w:r w:rsidR="00EF510A">
        <w:rPr>
          <w:rFonts w:ascii="Times New Roman" w:hAnsi="Times New Roman" w:cs="Times New Roman"/>
          <w:sz w:val="24"/>
          <w:szCs w:val="24"/>
        </w:rPr>
        <w:t>coverage</w:t>
      </w:r>
      <w:r w:rsidR="00EF510A" w:rsidRPr="008664AC">
        <w:rPr>
          <w:rFonts w:ascii="Times New Roman" w:hAnsi="Times New Roman" w:cs="Times New Roman"/>
          <w:sz w:val="24"/>
          <w:szCs w:val="24"/>
        </w:rPr>
        <w:t xml:space="preserve"> </w:t>
      </w:r>
      <w:r w:rsidRPr="008664AC">
        <w:rPr>
          <w:rFonts w:ascii="Times New Roman" w:hAnsi="Times New Roman" w:cs="Times New Roman"/>
          <w:sz w:val="24"/>
          <w:szCs w:val="24"/>
        </w:rPr>
        <w:t xml:space="preserve">in those portions of the study area that lack unsubsidized LTE coverage. As discussed in the previous section, staff has identified for each provider the census blocks in which its </w:t>
      </w:r>
      <w:r w:rsidR="00107DFF">
        <w:rPr>
          <w:rFonts w:ascii="Times New Roman" w:hAnsi="Times New Roman" w:cs="Times New Roman"/>
          <w:sz w:val="24"/>
          <w:szCs w:val="24"/>
        </w:rPr>
        <w:t xml:space="preserve">LTE </w:t>
      </w:r>
      <w:r w:rsidRPr="008664AC">
        <w:rPr>
          <w:rFonts w:ascii="Times New Roman" w:hAnsi="Times New Roman" w:cs="Times New Roman"/>
          <w:sz w:val="24"/>
          <w:szCs w:val="24"/>
        </w:rPr>
        <w:t xml:space="preserve">coverage is currently being subsidized.  Here staff describes its methodology for allocating the support dollars being received among the census blocks in the area receiving support. </w:t>
      </w:r>
    </w:p>
    <w:p w14:paraId="6DAC9D2C" w14:textId="23F6E089" w:rsidR="008664AC" w:rsidRPr="008664AC" w:rsidRDefault="008664AC" w:rsidP="00702196">
      <w:pPr>
        <w:numPr>
          <w:ilvl w:val="0"/>
          <w:numId w:val="16"/>
        </w:numPr>
        <w:spacing w:line="360" w:lineRule="auto"/>
        <w:ind w:hanging="450"/>
        <w:rPr>
          <w:rFonts w:ascii="Times New Roman" w:hAnsi="Times New Roman" w:cs="Times New Roman"/>
          <w:sz w:val="24"/>
          <w:szCs w:val="24"/>
        </w:rPr>
      </w:pPr>
      <w:r w:rsidRPr="008664AC">
        <w:rPr>
          <w:rFonts w:ascii="Times New Roman" w:hAnsi="Times New Roman" w:cs="Times New Roman"/>
          <w:sz w:val="24"/>
          <w:szCs w:val="24"/>
        </w:rPr>
        <w:t>As described above, ongoing legacy CETC support is a continuation of support that had been based on the number of subscribers anywhere in that area.  The support provided was not associated with mobile coverage of any particular census blocks within that area.  As a result, staff has to make certain assumptions to allocate this support to blocks.</w:t>
      </w:r>
    </w:p>
    <w:p w14:paraId="1216870A" w14:textId="1021BF22" w:rsidR="008664AC" w:rsidRPr="008664AC" w:rsidRDefault="008664AC" w:rsidP="00702196">
      <w:pPr>
        <w:numPr>
          <w:ilvl w:val="0"/>
          <w:numId w:val="16"/>
        </w:numPr>
        <w:spacing w:line="360" w:lineRule="auto"/>
        <w:ind w:hanging="450"/>
        <w:rPr>
          <w:rFonts w:ascii="Times New Roman" w:hAnsi="Times New Roman" w:cs="Times New Roman"/>
          <w:sz w:val="24"/>
          <w:szCs w:val="24"/>
        </w:rPr>
      </w:pPr>
      <w:r w:rsidRPr="008664AC">
        <w:rPr>
          <w:rFonts w:ascii="Times New Roman" w:hAnsi="Times New Roman" w:cs="Times New Roman"/>
          <w:sz w:val="24"/>
          <w:szCs w:val="24"/>
        </w:rPr>
        <w:t xml:space="preserve">We allocate CETC dollars using three different metrics for allocating support among blocks – covered population, covered road miles, covered area. Below we discuss the rationale for each in brief.  Given that high-cost support was originally provided on a per-subscriber basis, we first use population to allocate the amount of a provider’s support among individual census blocks based on estimates of covered population. To estimate covered population in each block, staff multiplied the fraction of the area covered by the subsidized carrier by the population of the block. Then for each wireless study area receiving support, staff allocated a provider’s legacy support among blocks based on the fraction of estimated covered population in each block relative to the total covered population in the entire study area. </w:t>
      </w:r>
    </w:p>
    <w:p w14:paraId="05474D66" w14:textId="13D2488E" w:rsidR="008664AC" w:rsidRPr="008664AC" w:rsidRDefault="008664AC" w:rsidP="00702196">
      <w:pPr>
        <w:numPr>
          <w:ilvl w:val="0"/>
          <w:numId w:val="16"/>
        </w:numPr>
        <w:spacing w:line="360" w:lineRule="auto"/>
        <w:ind w:hanging="450"/>
        <w:rPr>
          <w:rFonts w:ascii="Times New Roman" w:hAnsi="Times New Roman" w:cs="Times New Roman"/>
          <w:sz w:val="24"/>
          <w:szCs w:val="24"/>
        </w:rPr>
      </w:pPr>
      <w:r w:rsidRPr="008664AC">
        <w:rPr>
          <w:rFonts w:ascii="Times New Roman" w:hAnsi="Times New Roman" w:cs="Times New Roman"/>
          <w:sz w:val="24"/>
          <w:szCs w:val="24"/>
        </w:rPr>
        <w:t>For example, assume a study area of CETC entity X is composed of three blocks, A, B and C. For this study area, X receives $100. In Block A, there are four people, with 75% covered by any type of technology by X.  In Block B, there are five people, with 80% covered by any type of technology by X. And in block C, there are seven people with 50% covered by any type of technology by X. Total coverage in the SAC is estimated to be 75%*4+80%*5+50%*7=10.5 people, or 3 people in Block A, 4 people in Block B, and 3.5 people in Block C.  Thus, 28.57% of the total estimated population falls in Block A (3/10.5); 38.10% falls in in Block B (4/10.5), and 33.33% falls in Block C (3.5/10.5). With $100 in total support, this translates to $28.57 assigned to A, $38.10 assigned to B and $33.33 assigned to C.</w:t>
      </w:r>
    </w:p>
    <w:p w14:paraId="1B70EF77" w14:textId="3EB973A7" w:rsidR="008664AC" w:rsidRPr="008664AC" w:rsidRDefault="008664AC" w:rsidP="00702196">
      <w:pPr>
        <w:numPr>
          <w:ilvl w:val="0"/>
          <w:numId w:val="16"/>
        </w:numPr>
        <w:spacing w:line="360" w:lineRule="auto"/>
        <w:ind w:hanging="450"/>
        <w:rPr>
          <w:rFonts w:ascii="Times New Roman" w:hAnsi="Times New Roman" w:cs="Times New Roman"/>
          <w:sz w:val="24"/>
          <w:szCs w:val="24"/>
        </w:rPr>
      </w:pPr>
      <w:r w:rsidRPr="008664AC">
        <w:rPr>
          <w:rFonts w:ascii="Times New Roman" w:hAnsi="Times New Roman" w:cs="Times New Roman"/>
          <w:sz w:val="24"/>
          <w:szCs w:val="24"/>
        </w:rPr>
        <w:t>Staff used a similar approach when using road miles to allocate CETC support. To estimate covered road miles in each block, staff multiplied the fraction of the area covered by the subsidized carrier by the road miles of the block. Then for each wireless study area, staff assigned a provider’s legacy support among blocks based on the fraction of estimated covered road miles in each block relative to the total covered road miles in the entire study area. For area, staff used the actual area covered in each block to allocate the support based on the fraction of covered area in each block to the total covered area in the study area.</w:t>
      </w:r>
    </w:p>
    <w:p w14:paraId="569F5E8D" w14:textId="1FD6460F" w:rsidR="008664AC" w:rsidRPr="008664AC" w:rsidRDefault="008664AC" w:rsidP="00702196">
      <w:pPr>
        <w:numPr>
          <w:ilvl w:val="0"/>
          <w:numId w:val="16"/>
        </w:numPr>
        <w:spacing w:line="360" w:lineRule="auto"/>
        <w:ind w:hanging="450"/>
        <w:rPr>
          <w:rFonts w:ascii="Times New Roman" w:hAnsi="Times New Roman" w:cs="Times New Roman"/>
          <w:sz w:val="24"/>
          <w:szCs w:val="24"/>
        </w:rPr>
      </w:pPr>
      <w:r w:rsidRPr="008664AC">
        <w:rPr>
          <w:rFonts w:ascii="Times New Roman" w:hAnsi="Times New Roman" w:cs="Times New Roman"/>
          <w:sz w:val="24"/>
          <w:szCs w:val="24"/>
        </w:rPr>
        <w:t>Certain results flowing from all three allocation methodologies are shown in Tables 4a and 4b. Table 4a shows the allocation of support to census blocks based on the extent of LTE coverage (no coverage, partial coverage and full coverage), while Table 4b represents the allocation of support to census blocks that already receive complete unsubsidized LTE coverage from one or more providers.  For instance, Table 4a shows that blocks without any LTE service receive less than 1% of CETC support under all three allocation methodologies. In addition, blocks that lack 100% LTE coverage irrespective of subsidy, receive only 2% of the CETC support under the population methodology and 10% and 16% respectively under the road miles and area methodologies.</w:t>
      </w:r>
    </w:p>
    <w:p w14:paraId="3AFB3B83" w14:textId="1FAF78E8" w:rsidR="008664AC" w:rsidRPr="008664AC" w:rsidRDefault="008664AC" w:rsidP="00702196">
      <w:pPr>
        <w:numPr>
          <w:ilvl w:val="0"/>
          <w:numId w:val="16"/>
        </w:numPr>
        <w:spacing w:line="360" w:lineRule="auto"/>
        <w:ind w:hanging="450"/>
        <w:rPr>
          <w:rFonts w:ascii="Times New Roman" w:hAnsi="Times New Roman" w:cs="Times New Roman"/>
          <w:sz w:val="24"/>
          <w:szCs w:val="24"/>
        </w:rPr>
      </w:pPr>
      <w:r w:rsidRPr="008664AC">
        <w:rPr>
          <w:rFonts w:ascii="Times New Roman" w:hAnsi="Times New Roman" w:cs="Times New Roman"/>
          <w:sz w:val="24"/>
          <w:szCs w:val="24"/>
        </w:rPr>
        <w:t>Table 4b shows that under all three metrics, a substantial majority of current ongoing legacy CETC support is allocated to census blocks that already have complete LTE coverage from one or more service providers not receiving any support.</w:t>
      </w:r>
      <w:r w:rsidRPr="008664AC">
        <w:rPr>
          <w:rFonts w:ascii="Times New Roman" w:hAnsi="Times New Roman" w:cs="Times New Roman"/>
          <w:sz w:val="20"/>
          <w:szCs w:val="24"/>
          <w:vertAlign w:val="superscript"/>
        </w:rPr>
        <w:footnoteReference w:id="39"/>
      </w:r>
      <w:r w:rsidR="00D42D11">
        <w:rPr>
          <w:rFonts w:ascii="Times New Roman" w:hAnsi="Times New Roman" w:cs="Times New Roman"/>
          <w:sz w:val="24"/>
          <w:szCs w:val="24"/>
        </w:rPr>
        <w:t xml:space="preserve">  </w:t>
      </w:r>
      <w:r w:rsidRPr="008664AC">
        <w:rPr>
          <w:rFonts w:ascii="Times New Roman" w:hAnsi="Times New Roman" w:cs="Times New Roman"/>
          <w:sz w:val="24"/>
          <w:szCs w:val="24"/>
        </w:rPr>
        <w:t>For instance, those blocks receive 88.7% of CETC support when the allocation is done using population. The comparable metric is 73.7% when using road miles as the metric and 64.3% when using area.</w:t>
      </w:r>
      <w:r w:rsidR="00D42D11">
        <w:rPr>
          <w:rFonts w:ascii="Times New Roman" w:hAnsi="Times New Roman" w:cs="Times New Roman"/>
          <w:sz w:val="24"/>
          <w:szCs w:val="24"/>
        </w:rPr>
        <w:t xml:space="preserve">  </w:t>
      </w:r>
    </w:p>
    <w:p w14:paraId="5326E6D5" w14:textId="12E7ED60" w:rsidR="008664AC" w:rsidRPr="008664AC" w:rsidRDefault="008664AC" w:rsidP="00702196">
      <w:pPr>
        <w:numPr>
          <w:ilvl w:val="0"/>
          <w:numId w:val="16"/>
        </w:numPr>
        <w:spacing w:line="360" w:lineRule="auto"/>
        <w:ind w:hanging="450"/>
        <w:rPr>
          <w:rFonts w:ascii="Times New Roman" w:hAnsi="Times New Roman" w:cs="Times New Roman"/>
          <w:sz w:val="24"/>
          <w:szCs w:val="24"/>
        </w:rPr>
      </w:pPr>
      <w:r w:rsidRPr="008664AC">
        <w:rPr>
          <w:rFonts w:ascii="Times New Roman" w:hAnsi="Times New Roman" w:cs="Times New Roman"/>
          <w:sz w:val="24"/>
          <w:szCs w:val="24"/>
        </w:rPr>
        <w:t xml:space="preserve">Using each of these methodologies has its own advantages and drawbacks. For instance, when using covered population, zero dollars are assigned to unpopulated blocks although the area and road miles contained in these blocks may have LTE coverage because a provider chooses to cover roads in that census block. Using covered area to allocate the CETC support has the opposite bias. This methodology has the potential to allocate CETC dollars in blocks that have no road miles and no population.  Allocating CETC subsidies by road miles reflects the Commission’s approach to the provision of mobile support under MF-I.  Based on the road miles methodology, approximately 73.7% of ongoing CETC support is going to blocks with 100% unsubsidized LTE coverage. </w:t>
      </w:r>
    </w:p>
    <w:p w14:paraId="1F70B605" w14:textId="00A7FB04" w:rsidR="008664AC" w:rsidRPr="00702196" w:rsidRDefault="008664AC" w:rsidP="00702196">
      <w:pPr>
        <w:numPr>
          <w:ilvl w:val="0"/>
          <w:numId w:val="16"/>
        </w:numPr>
        <w:spacing w:line="360" w:lineRule="auto"/>
        <w:ind w:hanging="450"/>
        <w:rPr>
          <w:rFonts w:ascii="Times New Roman" w:hAnsi="Times New Roman" w:cs="Times New Roman"/>
          <w:sz w:val="24"/>
          <w:szCs w:val="24"/>
        </w:rPr>
      </w:pPr>
      <w:r w:rsidRPr="008664AC">
        <w:rPr>
          <w:rFonts w:ascii="Times New Roman" w:hAnsi="Times New Roman" w:cs="Times New Roman"/>
          <w:sz w:val="24"/>
          <w:szCs w:val="24"/>
        </w:rPr>
        <w:t>Winning bids for one-time MF-I support covered the specific number of road miles in the eligible census blocks within particular census tracts on which the bid was placed at auction.  As a result, for purposes of this Report, staff allocated MF-I support among census blocks in a tract based on the per-road-mile winning bid for that tract. The distribution of one-time support provided under MF-I differs significantly from that of ongoing legacy support discussed above.  For instance, approximately 60% of the MF I support goes to blocks without 100% LTE coverage irrespective of subsidy.  And less that 20% of MF-I support is allocated to census blocks that already have complete LTE coverage from one or more service providers not receiving any support.</w:t>
      </w:r>
      <w:r w:rsidR="00D42D11">
        <w:rPr>
          <w:rFonts w:ascii="Times New Roman" w:hAnsi="Times New Roman" w:cs="Times New Roman"/>
          <w:sz w:val="24"/>
          <w:szCs w:val="24"/>
        </w:rPr>
        <w:t xml:space="preserve">  </w:t>
      </w:r>
    </w:p>
    <w:p w14:paraId="420392CA" w14:textId="779930A7" w:rsidR="008664AC" w:rsidRPr="008664AC" w:rsidRDefault="008664AC" w:rsidP="008664AC">
      <w:pPr>
        <w:spacing w:after="200" w:line="276" w:lineRule="auto"/>
        <w:rPr>
          <w:rFonts w:ascii="Times New Roman" w:hAnsi="Times New Roman" w:cs="Times New Roman"/>
          <w:b/>
          <w:sz w:val="24"/>
          <w:szCs w:val="24"/>
        </w:rPr>
      </w:pPr>
    </w:p>
    <w:p w14:paraId="1E233955" w14:textId="77777777" w:rsidR="008664AC" w:rsidRPr="008664AC" w:rsidRDefault="008664AC" w:rsidP="008664AC">
      <w:pPr>
        <w:spacing w:after="0" w:line="240" w:lineRule="auto"/>
        <w:jc w:val="center"/>
        <w:rPr>
          <w:rFonts w:ascii="Times New Roman" w:hAnsi="Times New Roman" w:cs="Times New Roman"/>
          <w:b/>
          <w:sz w:val="24"/>
          <w:szCs w:val="24"/>
        </w:rPr>
        <w:sectPr w:rsidR="008664AC" w:rsidRPr="008664AC" w:rsidSect="00524A86">
          <w:headerReference w:type="default" r:id="rId21"/>
          <w:pgSz w:w="12240" w:h="15840"/>
          <w:pgMar w:top="720" w:right="1008" w:bottom="720" w:left="1008" w:header="720" w:footer="720" w:gutter="0"/>
          <w:cols w:space="720"/>
          <w:docGrid w:linePitch="360"/>
        </w:sectPr>
      </w:pPr>
    </w:p>
    <w:p w14:paraId="5023ED4F" w14:textId="77777777" w:rsidR="008664AC" w:rsidRPr="008664AC" w:rsidRDefault="008664AC" w:rsidP="00744C36">
      <w:pPr>
        <w:spacing w:line="240" w:lineRule="auto"/>
        <w:jc w:val="center"/>
        <w:rPr>
          <w:rFonts w:ascii="Times New Roman" w:hAnsi="Times New Roman" w:cs="Times New Roman"/>
          <w:b/>
          <w:sz w:val="24"/>
          <w:szCs w:val="24"/>
          <w:u w:val="single"/>
        </w:rPr>
      </w:pPr>
      <w:r w:rsidRPr="008664AC">
        <w:rPr>
          <w:rFonts w:ascii="Times New Roman" w:hAnsi="Times New Roman" w:cs="Times New Roman"/>
          <w:b/>
          <w:sz w:val="24"/>
          <w:szCs w:val="24"/>
        </w:rPr>
        <w:t>Table 4a</w:t>
      </w:r>
      <w:r w:rsidRPr="008664AC">
        <w:rPr>
          <w:rFonts w:ascii="Times New Roman" w:hAnsi="Times New Roman" w:cs="Times New Roman"/>
          <w:b/>
          <w:sz w:val="24"/>
          <w:szCs w:val="24"/>
          <w:u w:val="single"/>
        </w:rPr>
        <w:t xml:space="preserve"> </w:t>
      </w:r>
    </w:p>
    <w:p w14:paraId="0D53C5A5" w14:textId="77777777" w:rsidR="008664AC" w:rsidRPr="008664AC" w:rsidRDefault="008664AC" w:rsidP="00554A93">
      <w:pPr>
        <w:spacing w:after="240" w:line="240" w:lineRule="auto"/>
        <w:jc w:val="center"/>
        <w:rPr>
          <w:rFonts w:ascii="Times New Roman" w:hAnsi="Times New Roman" w:cs="Times New Roman"/>
          <w:b/>
          <w:sz w:val="24"/>
          <w:szCs w:val="24"/>
          <w:u w:val="single"/>
        </w:rPr>
      </w:pPr>
      <w:r w:rsidRPr="008664AC">
        <w:rPr>
          <w:rFonts w:ascii="Times New Roman" w:hAnsi="Times New Roman" w:cs="Times New Roman"/>
          <w:b/>
          <w:sz w:val="24"/>
          <w:szCs w:val="24"/>
          <w:u w:val="single"/>
        </w:rPr>
        <w:t>CETC Subsidy and LTE Coverage (Excluding Alaska)</w:t>
      </w:r>
    </w:p>
    <w:tbl>
      <w:tblPr>
        <w:tblW w:w="13500" w:type="dxa"/>
        <w:tblInd w:w="345" w:type="dxa"/>
        <w:tblLayout w:type="fixed"/>
        <w:tblLook w:val="04A0" w:firstRow="1" w:lastRow="0" w:firstColumn="1" w:lastColumn="0" w:noHBand="0" w:noVBand="1"/>
      </w:tblPr>
      <w:tblGrid>
        <w:gridCol w:w="1620"/>
        <w:gridCol w:w="1393"/>
        <w:gridCol w:w="1182"/>
        <w:gridCol w:w="1235"/>
        <w:gridCol w:w="1260"/>
        <w:gridCol w:w="1350"/>
        <w:gridCol w:w="1500"/>
        <w:gridCol w:w="1620"/>
        <w:gridCol w:w="2340"/>
      </w:tblGrid>
      <w:tr w:rsidR="008664AC" w:rsidRPr="008664AC" w14:paraId="2D2701F6" w14:textId="77777777" w:rsidTr="00754FA9">
        <w:trPr>
          <w:trHeight w:val="987"/>
        </w:trPr>
        <w:tc>
          <w:tcPr>
            <w:tcW w:w="1620" w:type="dxa"/>
            <w:vMerge w:val="restart"/>
            <w:tcBorders>
              <w:top w:val="double" w:sz="4" w:space="0" w:color="auto"/>
              <w:left w:val="double" w:sz="4" w:space="0" w:color="auto"/>
              <w:bottom w:val="nil"/>
              <w:right w:val="nil"/>
            </w:tcBorders>
            <w:shd w:val="clear" w:color="auto" w:fill="auto"/>
            <w:vAlign w:val="center"/>
            <w:hideMark/>
          </w:tcPr>
          <w:p w14:paraId="7781B0C0" w14:textId="77777777" w:rsidR="008664AC" w:rsidRPr="008664AC" w:rsidRDefault="008664AC" w:rsidP="008664AC">
            <w:pPr>
              <w:spacing w:after="0" w:line="240" w:lineRule="auto"/>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 </w:t>
            </w:r>
          </w:p>
          <w:p w14:paraId="45669F2D" w14:textId="77777777" w:rsidR="008664AC" w:rsidRPr="008664AC" w:rsidRDefault="008664AC" w:rsidP="008664AC">
            <w:pPr>
              <w:spacing w:after="0" w:line="240" w:lineRule="auto"/>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 </w:t>
            </w:r>
          </w:p>
        </w:tc>
        <w:tc>
          <w:tcPr>
            <w:tcW w:w="1393" w:type="dxa"/>
            <w:vMerge w:val="restart"/>
            <w:tcBorders>
              <w:top w:val="double" w:sz="4" w:space="0" w:color="auto"/>
              <w:left w:val="single" w:sz="8" w:space="0" w:color="auto"/>
              <w:bottom w:val="nil"/>
              <w:right w:val="single" w:sz="8" w:space="0" w:color="auto"/>
            </w:tcBorders>
            <w:shd w:val="clear" w:color="000000" w:fill="E2EFDA"/>
            <w:vAlign w:val="center"/>
            <w:hideMark/>
          </w:tcPr>
          <w:p w14:paraId="0CF54AB5"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Blocks</w:t>
            </w:r>
          </w:p>
        </w:tc>
        <w:tc>
          <w:tcPr>
            <w:tcW w:w="1182" w:type="dxa"/>
            <w:vMerge w:val="restart"/>
            <w:tcBorders>
              <w:top w:val="double" w:sz="4" w:space="0" w:color="auto"/>
              <w:left w:val="single" w:sz="8" w:space="0" w:color="auto"/>
              <w:bottom w:val="nil"/>
              <w:right w:val="single" w:sz="8" w:space="0" w:color="auto"/>
            </w:tcBorders>
            <w:shd w:val="clear" w:color="000000" w:fill="E2EFDA"/>
            <w:vAlign w:val="center"/>
            <w:hideMark/>
          </w:tcPr>
          <w:p w14:paraId="393FAE90"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 xml:space="preserve">LTE Uncovered Area </w:t>
            </w:r>
          </w:p>
          <w:p w14:paraId="5B18959D"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(sq mi)</w:t>
            </w:r>
          </w:p>
        </w:tc>
        <w:tc>
          <w:tcPr>
            <w:tcW w:w="1235" w:type="dxa"/>
            <w:vMerge w:val="restart"/>
            <w:tcBorders>
              <w:top w:val="double" w:sz="4" w:space="0" w:color="auto"/>
              <w:left w:val="single" w:sz="8" w:space="0" w:color="auto"/>
              <w:bottom w:val="nil"/>
              <w:right w:val="single" w:sz="8" w:space="0" w:color="auto"/>
            </w:tcBorders>
            <w:shd w:val="clear" w:color="000000" w:fill="E2EFDA"/>
            <w:vAlign w:val="center"/>
            <w:hideMark/>
          </w:tcPr>
          <w:p w14:paraId="593096EE"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LTE Uncovered Road Miles</w:t>
            </w:r>
          </w:p>
        </w:tc>
        <w:tc>
          <w:tcPr>
            <w:tcW w:w="1260" w:type="dxa"/>
            <w:vMerge w:val="restart"/>
            <w:tcBorders>
              <w:top w:val="double" w:sz="4" w:space="0" w:color="auto"/>
              <w:left w:val="single" w:sz="8" w:space="0" w:color="auto"/>
              <w:bottom w:val="nil"/>
              <w:right w:val="single" w:sz="8" w:space="0" w:color="auto"/>
            </w:tcBorders>
            <w:shd w:val="clear" w:color="000000" w:fill="E2EFDA"/>
            <w:vAlign w:val="center"/>
            <w:hideMark/>
          </w:tcPr>
          <w:p w14:paraId="381AFBB5"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LTE Uncovered Population</w:t>
            </w:r>
          </w:p>
        </w:tc>
        <w:tc>
          <w:tcPr>
            <w:tcW w:w="4470" w:type="dxa"/>
            <w:gridSpan w:val="3"/>
            <w:tcBorders>
              <w:top w:val="double" w:sz="4" w:space="0" w:color="auto"/>
              <w:left w:val="single" w:sz="8" w:space="0" w:color="auto"/>
              <w:bottom w:val="double" w:sz="4" w:space="0" w:color="000000"/>
              <w:right w:val="single" w:sz="8" w:space="0" w:color="auto"/>
            </w:tcBorders>
            <w:shd w:val="clear" w:color="000000" w:fill="E2EFDA"/>
            <w:vAlign w:val="center"/>
            <w:hideMark/>
          </w:tcPr>
          <w:p w14:paraId="23FACDF4"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p>
        </w:tc>
        <w:tc>
          <w:tcPr>
            <w:tcW w:w="2340" w:type="dxa"/>
            <w:vMerge w:val="restart"/>
            <w:tcBorders>
              <w:top w:val="double" w:sz="4" w:space="0" w:color="auto"/>
              <w:left w:val="single" w:sz="8" w:space="0" w:color="auto"/>
              <w:bottom w:val="nil"/>
              <w:right w:val="double" w:sz="4" w:space="0" w:color="auto"/>
            </w:tcBorders>
            <w:shd w:val="clear" w:color="000000" w:fill="E2EFDA"/>
            <w:vAlign w:val="center"/>
            <w:hideMark/>
          </w:tcPr>
          <w:p w14:paraId="67BBDD55" w14:textId="0C9A6F91"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sidDel="00B524E8">
              <w:rPr>
                <w:rFonts w:ascii="Times New Roman" w:eastAsia="Times New Roman" w:hAnsi="Times New Roman" w:cs="Times New Roman"/>
                <w:color w:val="000000"/>
                <w:sz w:val="22"/>
                <w:szCs w:val="22"/>
              </w:rPr>
              <w:t>M</w:t>
            </w:r>
            <w:r w:rsidRPr="008664AC">
              <w:rPr>
                <w:rFonts w:ascii="Times New Roman" w:eastAsia="Times New Roman" w:hAnsi="Times New Roman" w:cs="Times New Roman"/>
                <w:color w:val="000000"/>
                <w:sz w:val="22"/>
                <w:szCs w:val="22"/>
              </w:rPr>
              <w:t>MF-I Subsidy</w:t>
            </w:r>
          </w:p>
        </w:tc>
      </w:tr>
      <w:tr w:rsidR="008664AC" w:rsidRPr="008664AC" w14:paraId="1FDA991D" w14:textId="77777777" w:rsidTr="00754FA9">
        <w:trPr>
          <w:trHeight w:val="790"/>
        </w:trPr>
        <w:tc>
          <w:tcPr>
            <w:tcW w:w="1620" w:type="dxa"/>
            <w:vMerge/>
            <w:tcBorders>
              <w:left w:val="double" w:sz="4" w:space="0" w:color="auto"/>
              <w:bottom w:val="single" w:sz="4" w:space="0" w:color="auto"/>
              <w:right w:val="nil"/>
            </w:tcBorders>
            <w:shd w:val="clear" w:color="auto" w:fill="auto"/>
            <w:vAlign w:val="center"/>
          </w:tcPr>
          <w:p w14:paraId="4C830C6A" w14:textId="77777777" w:rsidR="008664AC" w:rsidRPr="008664AC" w:rsidRDefault="008664AC" w:rsidP="008664AC">
            <w:pPr>
              <w:spacing w:after="0" w:line="240" w:lineRule="auto"/>
              <w:rPr>
                <w:rFonts w:ascii="Times New Roman" w:eastAsia="Times New Roman" w:hAnsi="Times New Roman" w:cs="Times New Roman"/>
                <w:color w:val="000000"/>
                <w:sz w:val="22"/>
                <w:szCs w:val="22"/>
              </w:rPr>
            </w:pPr>
          </w:p>
        </w:tc>
        <w:tc>
          <w:tcPr>
            <w:tcW w:w="1393" w:type="dxa"/>
            <w:vMerge/>
            <w:tcBorders>
              <w:left w:val="single" w:sz="8" w:space="0" w:color="auto"/>
              <w:bottom w:val="single" w:sz="4" w:space="0" w:color="auto"/>
              <w:right w:val="single" w:sz="8" w:space="0" w:color="auto"/>
            </w:tcBorders>
            <w:shd w:val="clear" w:color="auto" w:fill="auto"/>
            <w:noWrap/>
            <w:vAlign w:val="center"/>
          </w:tcPr>
          <w:p w14:paraId="5A801460"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p>
        </w:tc>
        <w:tc>
          <w:tcPr>
            <w:tcW w:w="1182" w:type="dxa"/>
            <w:vMerge/>
            <w:tcBorders>
              <w:left w:val="single" w:sz="8" w:space="0" w:color="auto"/>
              <w:bottom w:val="single" w:sz="4" w:space="0" w:color="auto"/>
              <w:right w:val="single" w:sz="8" w:space="0" w:color="auto"/>
            </w:tcBorders>
            <w:shd w:val="clear" w:color="auto" w:fill="auto"/>
            <w:noWrap/>
            <w:vAlign w:val="center"/>
          </w:tcPr>
          <w:p w14:paraId="7E9A86DB"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p>
        </w:tc>
        <w:tc>
          <w:tcPr>
            <w:tcW w:w="1235" w:type="dxa"/>
            <w:vMerge/>
            <w:tcBorders>
              <w:left w:val="single" w:sz="8" w:space="0" w:color="auto"/>
              <w:bottom w:val="single" w:sz="4" w:space="0" w:color="auto"/>
              <w:right w:val="single" w:sz="8" w:space="0" w:color="auto"/>
            </w:tcBorders>
            <w:shd w:val="clear" w:color="auto" w:fill="auto"/>
            <w:noWrap/>
            <w:vAlign w:val="center"/>
          </w:tcPr>
          <w:p w14:paraId="0934738D"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p>
        </w:tc>
        <w:tc>
          <w:tcPr>
            <w:tcW w:w="1260" w:type="dxa"/>
            <w:vMerge/>
            <w:tcBorders>
              <w:left w:val="single" w:sz="8" w:space="0" w:color="auto"/>
              <w:bottom w:val="single" w:sz="4" w:space="0" w:color="auto"/>
              <w:right w:val="single" w:sz="8" w:space="0" w:color="auto"/>
            </w:tcBorders>
            <w:shd w:val="clear" w:color="auto" w:fill="auto"/>
            <w:noWrap/>
            <w:vAlign w:val="center"/>
          </w:tcPr>
          <w:p w14:paraId="3C41A298"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p>
        </w:tc>
        <w:tc>
          <w:tcPr>
            <w:tcW w:w="1350" w:type="dxa"/>
            <w:tcBorders>
              <w:top w:val="double" w:sz="4" w:space="0" w:color="000000"/>
              <w:left w:val="single" w:sz="8" w:space="0" w:color="auto"/>
              <w:bottom w:val="single" w:sz="4" w:space="0" w:color="auto"/>
              <w:right w:val="single" w:sz="8" w:space="0" w:color="auto"/>
            </w:tcBorders>
            <w:shd w:val="clear" w:color="auto" w:fill="auto"/>
            <w:vAlign w:val="center"/>
          </w:tcPr>
          <w:p w14:paraId="3D0767CD"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Using Population</w:t>
            </w:r>
          </w:p>
        </w:tc>
        <w:tc>
          <w:tcPr>
            <w:tcW w:w="1500" w:type="dxa"/>
            <w:tcBorders>
              <w:top w:val="double" w:sz="4" w:space="0" w:color="000000"/>
              <w:left w:val="single" w:sz="8" w:space="0" w:color="auto"/>
              <w:bottom w:val="single" w:sz="4" w:space="0" w:color="auto"/>
              <w:right w:val="single" w:sz="8" w:space="0" w:color="auto"/>
            </w:tcBorders>
          </w:tcPr>
          <w:p w14:paraId="6026015B"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Using Road Miles</w:t>
            </w:r>
          </w:p>
        </w:tc>
        <w:tc>
          <w:tcPr>
            <w:tcW w:w="1620" w:type="dxa"/>
            <w:tcBorders>
              <w:top w:val="double" w:sz="4" w:space="0" w:color="000000"/>
              <w:left w:val="single" w:sz="8" w:space="0" w:color="auto"/>
              <w:bottom w:val="single" w:sz="4" w:space="0" w:color="auto"/>
              <w:right w:val="single" w:sz="8" w:space="0" w:color="auto"/>
            </w:tcBorders>
          </w:tcPr>
          <w:p w14:paraId="2D0EF0C1"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Using Area</w:t>
            </w:r>
          </w:p>
        </w:tc>
        <w:tc>
          <w:tcPr>
            <w:tcW w:w="2340" w:type="dxa"/>
            <w:vMerge/>
            <w:tcBorders>
              <w:left w:val="single" w:sz="8" w:space="0" w:color="auto"/>
              <w:bottom w:val="single" w:sz="4" w:space="0" w:color="auto"/>
              <w:right w:val="double" w:sz="4" w:space="0" w:color="auto"/>
            </w:tcBorders>
            <w:shd w:val="clear" w:color="auto" w:fill="auto"/>
            <w:vAlign w:val="center"/>
          </w:tcPr>
          <w:p w14:paraId="3136D6C9"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p>
        </w:tc>
      </w:tr>
      <w:tr w:rsidR="008664AC" w:rsidRPr="008664AC" w14:paraId="033081AD" w14:textId="77777777" w:rsidTr="00754FA9">
        <w:trPr>
          <w:trHeight w:val="900"/>
        </w:trPr>
        <w:tc>
          <w:tcPr>
            <w:tcW w:w="1620" w:type="dxa"/>
            <w:tcBorders>
              <w:top w:val="nil"/>
              <w:left w:val="double" w:sz="4" w:space="0" w:color="auto"/>
              <w:bottom w:val="single" w:sz="4" w:space="0" w:color="auto"/>
              <w:right w:val="nil"/>
            </w:tcBorders>
            <w:shd w:val="clear" w:color="000000" w:fill="C6E0B4"/>
            <w:vAlign w:val="center"/>
            <w:hideMark/>
          </w:tcPr>
          <w:p w14:paraId="2030BAF0" w14:textId="0B2FDFF1" w:rsidR="008664AC" w:rsidRPr="008664AC" w:rsidRDefault="008664AC" w:rsidP="008664AC">
            <w:pPr>
              <w:spacing w:after="0" w:line="240" w:lineRule="auto"/>
              <w:rPr>
                <w:rFonts w:ascii="Times New Roman" w:eastAsia="Times New Roman" w:hAnsi="Times New Roman" w:cs="Times New Roman"/>
                <w:color w:val="000000"/>
                <w:sz w:val="22"/>
                <w:szCs w:val="22"/>
              </w:rPr>
            </w:pPr>
          </w:p>
        </w:tc>
        <w:tc>
          <w:tcPr>
            <w:tcW w:w="1393" w:type="dxa"/>
            <w:tcBorders>
              <w:top w:val="nil"/>
              <w:left w:val="single" w:sz="8" w:space="0" w:color="auto"/>
              <w:bottom w:val="single" w:sz="4" w:space="0" w:color="auto"/>
              <w:right w:val="single" w:sz="8" w:space="0" w:color="auto"/>
            </w:tcBorders>
            <w:shd w:val="clear" w:color="auto" w:fill="auto"/>
            <w:noWrap/>
            <w:vAlign w:val="center"/>
            <w:hideMark/>
          </w:tcPr>
          <w:p w14:paraId="08805505"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10,592,327</w:t>
            </w:r>
          </w:p>
        </w:tc>
        <w:tc>
          <w:tcPr>
            <w:tcW w:w="1182" w:type="dxa"/>
            <w:tcBorders>
              <w:top w:val="nil"/>
              <w:left w:val="nil"/>
              <w:bottom w:val="single" w:sz="4" w:space="0" w:color="auto"/>
              <w:right w:val="single" w:sz="8" w:space="0" w:color="auto"/>
            </w:tcBorders>
            <w:shd w:val="clear" w:color="auto" w:fill="auto"/>
            <w:noWrap/>
            <w:vAlign w:val="center"/>
            <w:hideMark/>
          </w:tcPr>
          <w:p w14:paraId="3E4A4D66"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469,482</w:t>
            </w:r>
          </w:p>
        </w:tc>
        <w:tc>
          <w:tcPr>
            <w:tcW w:w="1235" w:type="dxa"/>
            <w:tcBorders>
              <w:top w:val="nil"/>
              <w:left w:val="nil"/>
              <w:bottom w:val="single" w:sz="4" w:space="0" w:color="auto"/>
              <w:right w:val="single" w:sz="8" w:space="0" w:color="auto"/>
            </w:tcBorders>
            <w:shd w:val="clear" w:color="auto" w:fill="auto"/>
            <w:noWrap/>
            <w:vAlign w:val="center"/>
            <w:hideMark/>
          </w:tcPr>
          <w:p w14:paraId="43881ED1"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557,295</w:t>
            </w:r>
          </w:p>
        </w:tc>
        <w:tc>
          <w:tcPr>
            <w:tcW w:w="1260" w:type="dxa"/>
            <w:tcBorders>
              <w:top w:val="nil"/>
              <w:left w:val="nil"/>
              <w:bottom w:val="single" w:sz="4" w:space="0" w:color="auto"/>
              <w:right w:val="single" w:sz="8" w:space="0" w:color="auto"/>
            </w:tcBorders>
            <w:shd w:val="clear" w:color="auto" w:fill="auto"/>
            <w:noWrap/>
            <w:vAlign w:val="center"/>
            <w:hideMark/>
          </w:tcPr>
          <w:p w14:paraId="58130CD2"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1,433,551</w:t>
            </w:r>
          </w:p>
        </w:tc>
        <w:tc>
          <w:tcPr>
            <w:tcW w:w="1350" w:type="dxa"/>
            <w:tcBorders>
              <w:top w:val="nil"/>
              <w:left w:val="single" w:sz="8" w:space="0" w:color="auto"/>
              <w:bottom w:val="single" w:sz="4" w:space="0" w:color="auto"/>
              <w:right w:val="single" w:sz="8" w:space="0" w:color="auto"/>
            </w:tcBorders>
            <w:shd w:val="clear" w:color="auto" w:fill="auto"/>
            <w:vAlign w:val="center"/>
            <w:hideMark/>
          </w:tcPr>
          <w:p w14:paraId="6DDFA668"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469,733,143</w:t>
            </w:r>
          </w:p>
        </w:tc>
        <w:tc>
          <w:tcPr>
            <w:tcW w:w="1500" w:type="dxa"/>
            <w:tcBorders>
              <w:top w:val="single" w:sz="8" w:space="0" w:color="000000"/>
              <w:left w:val="single" w:sz="8" w:space="0" w:color="auto"/>
              <w:bottom w:val="single" w:sz="4" w:space="0" w:color="auto"/>
              <w:right w:val="single" w:sz="8" w:space="0" w:color="000000"/>
            </w:tcBorders>
            <w:vAlign w:val="center"/>
          </w:tcPr>
          <w:p w14:paraId="37FFE6FB"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hAnsi="Times New Roman" w:cs="Times New Roman"/>
                <w:sz w:val="22"/>
                <w:szCs w:val="22"/>
              </w:rPr>
              <w:t>469,733,143</w:t>
            </w:r>
          </w:p>
        </w:tc>
        <w:tc>
          <w:tcPr>
            <w:tcW w:w="1620" w:type="dxa"/>
            <w:tcBorders>
              <w:top w:val="nil"/>
              <w:left w:val="single" w:sz="8" w:space="0" w:color="000000"/>
              <w:bottom w:val="single" w:sz="4" w:space="0" w:color="auto"/>
              <w:right w:val="single" w:sz="8" w:space="0" w:color="000000"/>
            </w:tcBorders>
            <w:vAlign w:val="center"/>
          </w:tcPr>
          <w:p w14:paraId="6F4D071E"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hAnsi="Times New Roman" w:cs="Times New Roman"/>
                <w:sz w:val="22"/>
                <w:szCs w:val="22"/>
              </w:rPr>
              <w:t>469,733,143</w:t>
            </w:r>
          </w:p>
        </w:tc>
        <w:tc>
          <w:tcPr>
            <w:tcW w:w="2340" w:type="dxa"/>
            <w:tcBorders>
              <w:top w:val="nil"/>
              <w:left w:val="single" w:sz="8" w:space="0" w:color="000000"/>
              <w:bottom w:val="single" w:sz="4" w:space="0" w:color="auto"/>
              <w:right w:val="double" w:sz="4" w:space="0" w:color="auto"/>
            </w:tcBorders>
            <w:shd w:val="clear" w:color="auto" w:fill="auto"/>
            <w:vAlign w:val="center"/>
            <w:hideMark/>
          </w:tcPr>
          <w:p w14:paraId="7917053A"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254,617,864</w:t>
            </w:r>
          </w:p>
        </w:tc>
      </w:tr>
      <w:tr w:rsidR="008664AC" w:rsidRPr="008664AC" w14:paraId="53DE3C4A" w14:textId="77777777" w:rsidTr="00754FA9">
        <w:trPr>
          <w:trHeight w:val="485"/>
        </w:trPr>
        <w:tc>
          <w:tcPr>
            <w:tcW w:w="1620" w:type="dxa"/>
            <w:vMerge w:val="restart"/>
            <w:tcBorders>
              <w:top w:val="single" w:sz="4" w:space="0" w:color="auto"/>
              <w:left w:val="double" w:sz="4" w:space="0" w:color="auto"/>
              <w:bottom w:val="single" w:sz="8" w:space="0" w:color="000000"/>
              <w:right w:val="single" w:sz="8" w:space="0" w:color="auto"/>
            </w:tcBorders>
            <w:shd w:val="clear" w:color="auto" w:fill="EAF1DD" w:themeFill="accent3" w:themeFillTint="33"/>
            <w:vAlign w:val="center"/>
            <w:hideMark/>
          </w:tcPr>
          <w:p w14:paraId="76EB8A35" w14:textId="77777777" w:rsidR="008664AC" w:rsidRPr="008664AC" w:rsidRDefault="008664AC" w:rsidP="008664AC">
            <w:pPr>
              <w:spacing w:after="0" w:line="240" w:lineRule="auto"/>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 xml:space="preserve">Blocks With No LTE Service* </w:t>
            </w:r>
          </w:p>
        </w:tc>
        <w:tc>
          <w:tcPr>
            <w:tcW w:w="1393" w:type="dxa"/>
            <w:tcBorders>
              <w:top w:val="single" w:sz="4" w:space="0" w:color="auto"/>
              <w:left w:val="nil"/>
              <w:bottom w:val="dashed" w:sz="4" w:space="0" w:color="auto"/>
              <w:right w:val="single" w:sz="8" w:space="0" w:color="auto"/>
            </w:tcBorders>
            <w:shd w:val="clear" w:color="auto" w:fill="auto"/>
            <w:noWrap/>
            <w:vAlign w:val="center"/>
            <w:hideMark/>
          </w:tcPr>
          <w:p w14:paraId="45221495"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215,920</w:t>
            </w:r>
          </w:p>
        </w:tc>
        <w:tc>
          <w:tcPr>
            <w:tcW w:w="1182" w:type="dxa"/>
            <w:tcBorders>
              <w:top w:val="single" w:sz="4" w:space="0" w:color="auto"/>
              <w:left w:val="nil"/>
              <w:bottom w:val="dashed" w:sz="4" w:space="0" w:color="auto"/>
              <w:right w:val="single" w:sz="8" w:space="0" w:color="auto"/>
            </w:tcBorders>
            <w:shd w:val="clear" w:color="auto" w:fill="auto"/>
            <w:noWrap/>
            <w:vAlign w:val="center"/>
            <w:hideMark/>
          </w:tcPr>
          <w:p w14:paraId="477C7650"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104,007</w:t>
            </w:r>
          </w:p>
        </w:tc>
        <w:tc>
          <w:tcPr>
            <w:tcW w:w="1235" w:type="dxa"/>
            <w:tcBorders>
              <w:top w:val="single" w:sz="4" w:space="0" w:color="auto"/>
              <w:left w:val="nil"/>
              <w:bottom w:val="dashed" w:sz="4" w:space="0" w:color="auto"/>
              <w:right w:val="single" w:sz="8" w:space="0" w:color="auto"/>
            </w:tcBorders>
            <w:shd w:val="clear" w:color="auto" w:fill="auto"/>
            <w:noWrap/>
            <w:vAlign w:val="center"/>
            <w:hideMark/>
          </w:tcPr>
          <w:p w14:paraId="0CD3C145"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179,411</w:t>
            </w:r>
          </w:p>
        </w:tc>
        <w:tc>
          <w:tcPr>
            <w:tcW w:w="1260" w:type="dxa"/>
            <w:tcBorders>
              <w:top w:val="single" w:sz="4" w:space="0" w:color="auto"/>
              <w:left w:val="nil"/>
              <w:bottom w:val="dashed" w:sz="4" w:space="0" w:color="auto"/>
              <w:right w:val="single" w:sz="8" w:space="0" w:color="auto"/>
            </w:tcBorders>
            <w:shd w:val="clear" w:color="auto" w:fill="auto"/>
            <w:noWrap/>
            <w:vAlign w:val="center"/>
            <w:hideMark/>
          </w:tcPr>
          <w:p w14:paraId="32AA1E41"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712,524</w:t>
            </w:r>
          </w:p>
        </w:tc>
        <w:tc>
          <w:tcPr>
            <w:tcW w:w="1350" w:type="dxa"/>
            <w:tcBorders>
              <w:top w:val="single" w:sz="4" w:space="0" w:color="auto"/>
              <w:left w:val="nil"/>
              <w:bottom w:val="dashed" w:sz="4" w:space="0" w:color="auto"/>
              <w:right w:val="single" w:sz="8" w:space="0" w:color="auto"/>
            </w:tcBorders>
            <w:shd w:val="clear" w:color="auto" w:fill="auto"/>
            <w:vAlign w:val="center"/>
            <w:hideMark/>
          </w:tcPr>
          <w:p w14:paraId="43576134" w14:textId="77777777" w:rsidR="008664AC" w:rsidRPr="008664AC" w:rsidRDefault="008664AC" w:rsidP="008664AC">
            <w:pPr>
              <w:spacing w:after="0" w:line="240" w:lineRule="auto"/>
              <w:jc w:val="center"/>
              <w:rPr>
                <w:rFonts w:ascii="Times New Roman" w:eastAsia="Times New Roman" w:hAnsi="Times New Roman" w:cs="Times New Roman"/>
                <w:color w:val="000000"/>
              </w:rPr>
            </w:pPr>
            <w:r w:rsidRPr="008664AC">
              <w:rPr>
                <w:rFonts w:ascii="Times New Roman" w:eastAsia="Times New Roman" w:hAnsi="Times New Roman" w:cs="Times New Roman"/>
                <w:color w:val="000000"/>
              </w:rPr>
              <w:t>3,375,339</w:t>
            </w:r>
          </w:p>
        </w:tc>
        <w:tc>
          <w:tcPr>
            <w:tcW w:w="1500" w:type="dxa"/>
            <w:tcBorders>
              <w:top w:val="single" w:sz="4" w:space="0" w:color="auto"/>
              <w:left w:val="nil"/>
              <w:bottom w:val="dashed" w:sz="4" w:space="0" w:color="auto"/>
              <w:right w:val="single" w:sz="8" w:space="0" w:color="000000"/>
            </w:tcBorders>
            <w:vAlign w:val="center"/>
          </w:tcPr>
          <w:p w14:paraId="0A38ED92"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3,895,643</w:t>
            </w:r>
          </w:p>
        </w:tc>
        <w:tc>
          <w:tcPr>
            <w:tcW w:w="1620" w:type="dxa"/>
            <w:tcBorders>
              <w:top w:val="single" w:sz="4" w:space="0" w:color="auto"/>
              <w:left w:val="single" w:sz="8" w:space="0" w:color="000000"/>
              <w:bottom w:val="dashed" w:sz="4" w:space="0" w:color="auto"/>
              <w:right w:val="single" w:sz="8" w:space="0" w:color="000000"/>
            </w:tcBorders>
            <w:vAlign w:val="center"/>
          </w:tcPr>
          <w:p w14:paraId="44FEC02C"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3,105,472</w:t>
            </w:r>
          </w:p>
        </w:tc>
        <w:tc>
          <w:tcPr>
            <w:tcW w:w="2340" w:type="dxa"/>
            <w:tcBorders>
              <w:top w:val="single" w:sz="4" w:space="0" w:color="auto"/>
              <w:left w:val="single" w:sz="8" w:space="0" w:color="000000"/>
              <w:bottom w:val="dashed" w:sz="4" w:space="0" w:color="auto"/>
              <w:right w:val="double" w:sz="4" w:space="0" w:color="auto"/>
            </w:tcBorders>
            <w:shd w:val="clear" w:color="auto" w:fill="auto"/>
            <w:vAlign w:val="center"/>
            <w:hideMark/>
          </w:tcPr>
          <w:p w14:paraId="7C1F326B"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15,377,876</w:t>
            </w:r>
          </w:p>
        </w:tc>
      </w:tr>
      <w:tr w:rsidR="008664AC" w:rsidRPr="008664AC" w14:paraId="2B8E2A2F" w14:textId="77777777" w:rsidTr="00754FA9">
        <w:trPr>
          <w:trHeight w:val="520"/>
        </w:trPr>
        <w:tc>
          <w:tcPr>
            <w:tcW w:w="1620" w:type="dxa"/>
            <w:vMerge/>
            <w:tcBorders>
              <w:top w:val="nil"/>
              <w:left w:val="double" w:sz="4" w:space="0" w:color="auto"/>
              <w:bottom w:val="single" w:sz="8" w:space="0" w:color="000000"/>
              <w:right w:val="single" w:sz="8" w:space="0" w:color="auto"/>
            </w:tcBorders>
            <w:shd w:val="clear" w:color="auto" w:fill="EAF1DD" w:themeFill="accent3" w:themeFillTint="33"/>
            <w:vAlign w:val="center"/>
            <w:hideMark/>
          </w:tcPr>
          <w:p w14:paraId="0FBBC1D2" w14:textId="77777777" w:rsidR="008664AC" w:rsidRPr="008664AC" w:rsidRDefault="008664AC" w:rsidP="008664AC">
            <w:pPr>
              <w:spacing w:after="0" w:line="240" w:lineRule="auto"/>
              <w:rPr>
                <w:rFonts w:ascii="Times New Roman" w:eastAsia="Times New Roman" w:hAnsi="Times New Roman" w:cs="Times New Roman"/>
                <w:color w:val="000000"/>
                <w:sz w:val="22"/>
                <w:szCs w:val="22"/>
              </w:rPr>
            </w:pPr>
          </w:p>
        </w:tc>
        <w:tc>
          <w:tcPr>
            <w:tcW w:w="1393" w:type="dxa"/>
            <w:tcBorders>
              <w:top w:val="dashed" w:sz="4" w:space="0" w:color="auto"/>
              <w:left w:val="nil"/>
              <w:bottom w:val="single" w:sz="8" w:space="0" w:color="auto"/>
              <w:right w:val="single" w:sz="8" w:space="0" w:color="auto"/>
            </w:tcBorders>
            <w:shd w:val="clear" w:color="auto" w:fill="auto"/>
            <w:noWrap/>
            <w:vAlign w:val="center"/>
            <w:hideMark/>
          </w:tcPr>
          <w:p w14:paraId="31074E16"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2.04%</w:t>
            </w:r>
          </w:p>
        </w:tc>
        <w:tc>
          <w:tcPr>
            <w:tcW w:w="1182" w:type="dxa"/>
            <w:tcBorders>
              <w:top w:val="dashed" w:sz="4" w:space="0" w:color="auto"/>
              <w:left w:val="nil"/>
              <w:bottom w:val="single" w:sz="8" w:space="0" w:color="auto"/>
              <w:right w:val="single" w:sz="8" w:space="0" w:color="auto"/>
            </w:tcBorders>
            <w:shd w:val="clear" w:color="auto" w:fill="auto"/>
            <w:noWrap/>
            <w:vAlign w:val="center"/>
            <w:hideMark/>
          </w:tcPr>
          <w:p w14:paraId="004B6FB2"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22.15%</w:t>
            </w:r>
          </w:p>
        </w:tc>
        <w:tc>
          <w:tcPr>
            <w:tcW w:w="1235" w:type="dxa"/>
            <w:tcBorders>
              <w:top w:val="dashed" w:sz="4" w:space="0" w:color="auto"/>
              <w:left w:val="nil"/>
              <w:bottom w:val="single" w:sz="8" w:space="0" w:color="auto"/>
              <w:right w:val="single" w:sz="8" w:space="0" w:color="auto"/>
            </w:tcBorders>
            <w:shd w:val="clear" w:color="auto" w:fill="auto"/>
            <w:noWrap/>
            <w:vAlign w:val="center"/>
            <w:hideMark/>
          </w:tcPr>
          <w:p w14:paraId="6908C100"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32.19%</w:t>
            </w:r>
          </w:p>
        </w:tc>
        <w:tc>
          <w:tcPr>
            <w:tcW w:w="1260" w:type="dxa"/>
            <w:tcBorders>
              <w:top w:val="dashed" w:sz="4" w:space="0" w:color="auto"/>
              <w:left w:val="nil"/>
              <w:bottom w:val="single" w:sz="8" w:space="0" w:color="auto"/>
              <w:right w:val="single" w:sz="8" w:space="0" w:color="auto"/>
            </w:tcBorders>
            <w:shd w:val="clear" w:color="auto" w:fill="auto"/>
            <w:noWrap/>
            <w:vAlign w:val="center"/>
            <w:hideMark/>
          </w:tcPr>
          <w:p w14:paraId="0FE105D4"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49.70%</w:t>
            </w:r>
          </w:p>
        </w:tc>
        <w:tc>
          <w:tcPr>
            <w:tcW w:w="1350" w:type="dxa"/>
            <w:tcBorders>
              <w:top w:val="dashed" w:sz="4" w:space="0" w:color="auto"/>
              <w:left w:val="nil"/>
              <w:bottom w:val="single" w:sz="8" w:space="0" w:color="auto"/>
              <w:right w:val="single" w:sz="8" w:space="0" w:color="auto"/>
            </w:tcBorders>
            <w:shd w:val="clear" w:color="auto" w:fill="auto"/>
            <w:noWrap/>
            <w:vAlign w:val="center"/>
            <w:hideMark/>
          </w:tcPr>
          <w:p w14:paraId="46A95C4C"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0.72%</w:t>
            </w:r>
          </w:p>
        </w:tc>
        <w:tc>
          <w:tcPr>
            <w:tcW w:w="1500" w:type="dxa"/>
            <w:tcBorders>
              <w:top w:val="dashed" w:sz="4" w:space="0" w:color="auto"/>
              <w:left w:val="nil"/>
              <w:bottom w:val="single" w:sz="8" w:space="0" w:color="auto"/>
              <w:right w:val="single" w:sz="8" w:space="0" w:color="000000"/>
            </w:tcBorders>
            <w:vAlign w:val="center"/>
          </w:tcPr>
          <w:p w14:paraId="6A46B7FB"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0.83%</w:t>
            </w:r>
          </w:p>
        </w:tc>
        <w:tc>
          <w:tcPr>
            <w:tcW w:w="1620" w:type="dxa"/>
            <w:tcBorders>
              <w:top w:val="dashed" w:sz="4" w:space="0" w:color="auto"/>
              <w:left w:val="single" w:sz="8" w:space="0" w:color="000000"/>
              <w:bottom w:val="single" w:sz="8" w:space="0" w:color="auto"/>
              <w:right w:val="single" w:sz="8" w:space="0" w:color="000000"/>
            </w:tcBorders>
            <w:vAlign w:val="center"/>
          </w:tcPr>
          <w:p w14:paraId="360D195C"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0.66%</w:t>
            </w:r>
          </w:p>
        </w:tc>
        <w:tc>
          <w:tcPr>
            <w:tcW w:w="2340" w:type="dxa"/>
            <w:tcBorders>
              <w:top w:val="dashed" w:sz="4" w:space="0" w:color="auto"/>
              <w:left w:val="single" w:sz="8" w:space="0" w:color="000000"/>
              <w:bottom w:val="single" w:sz="8" w:space="0" w:color="auto"/>
              <w:right w:val="double" w:sz="4" w:space="0" w:color="auto"/>
            </w:tcBorders>
            <w:shd w:val="clear" w:color="auto" w:fill="auto"/>
            <w:noWrap/>
            <w:vAlign w:val="center"/>
            <w:hideMark/>
          </w:tcPr>
          <w:p w14:paraId="2F92BDF5"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6.04%</w:t>
            </w:r>
          </w:p>
        </w:tc>
      </w:tr>
      <w:tr w:rsidR="008664AC" w:rsidRPr="008664AC" w14:paraId="7A356225" w14:textId="77777777" w:rsidTr="00754FA9">
        <w:trPr>
          <w:trHeight w:val="682"/>
        </w:trPr>
        <w:tc>
          <w:tcPr>
            <w:tcW w:w="1620" w:type="dxa"/>
            <w:vMerge w:val="restart"/>
            <w:tcBorders>
              <w:top w:val="nil"/>
              <w:left w:val="double" w:sz="4" w:space="0" w:color="auto"/>
              <w:bottom w:val="single" w:sz="8" w:space="0" w:color="000000"/>
              <w:right w:val="single" w:sz="8" w:space="0" w:color="auto"/>
            </w:tcBorders>
            <w:shd w:val="clear" w:color="000000" w:fill="C6E0B4"/>
            <w:vAlign w:val="center"/>
            <w:hideMark/>
          </w:tcPr>
          <w:p w14:paraId="07F5202C" w14:textId="77777777" w:rsidR="008664AC" w:rsidRPr="008664AC" w:rsidRDefault="008664AC" w:rsidP="008664AC">
            <w:pPr>
              <w:spacing w:after="0" w:line="240" w:lineRule="auto"/>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Blocks Without 100%  LTE Service</w:t>
            </w:r>
          </w:p>
        </w:tc>
        <w:tc>
          <w:tcPr>
            <w:tcW w:w="1393" w:type="dxa"/>
            <w:tcBorders>
              <w:top w:val="single" w:sz="8" w:space="0" w:color="auto"/>
              <w:left w:val="nil"/>
              <w:bottom w:val="dashed" w:sz="4" w:space="0" w:color="auto"/>
              <w:right w:val="single" w:sz="8" w:space="0" w:color="auto"/>
            </w:tcBorders>
            <w:shd w:val="clear" w:color="auto" w:fill="auto"/>
            <w:noWrap/>
            <w:vAlign w:val="center"/>
            <w:hideMark/>
          </w:tcPr>
          <w:p w14:paraId="61DFFC51"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351,511</w:t>
            </w:r>
          </w:p>
        </w:tc>
        <w:tc>
          <w:tcPr>
            <w:tcW w:w="1182" w:type="dxa"/>
            <w:tcBorders>
              <w:top w:val="single" w:sz="8" w:space="0" w:color="auto"/>
              <w:left w:val="nil"/>
              <w:bottom w:val="dashed" w:sz="4" w:space="0" w:color="auto"/>
              <w:right w:val="single" w:sz="8" w:space="0" w:color="auto"/>
            </w:tcBorders>
            <w:shd w:val="clear" w:color="auto" w:fill="auto"/>
            <w:noWrap/>
            <w:vAlign w:val="center"/>
            <w:hideMark/>
          </w:tcPr>
          <w:p w14:paraId="68DFA270"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365,464</w:t>
            </w:r>
          </w:p>
        </w:tc>
        <w:tc>
          <w:tcPr>
            <w:tcW w:w="1235" w:type="dxa"/>
            <w:tcBorders>
              <w:top w:val="single" w:sz="8" w:space="0" w:color="auto"/>
              <w:left w:val="nil"/>
              <w:bottom w:val="dashed" w:sz="4" w:space="0" w:color="auto"/>
              <w:right w:val="single" w:sz="8" w:space="0" w:color="auto"/>
            </w:tcBorders>
            <w:shd w:val="clear" w:color="auto" w:fill="auto"/>
            <w:noWrap/>
            <w:vAlign w:val="center"/>
            <w:hideMark/>
          </w:tcPr>
          <w:p w14:paraId="66679BEB"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377,869</w:t>
            </w:r>
          </w:p>
        </w:tc>
        <w:tc>
          <w:tcPr>
            <w:tcW w:w="1260" w:type="dxa"/>
            <w:tcBorders>
              <w:top w:val="single" w:sz="8" w:space="0" w:color="auto"/>
              <w:left w:val="nil"/>
              <w:bottom w:val="dashed" w:sz="4" w:space="0" w:color="auto"/>
              <w:right w:val="single" w:sz="8" w:space="0" w:color="auto"/>
            </w:tcBorders>
            <w:shd w:val="clear" w:color="auto" w:fill="auto"/>
            <w:noWrap/>
            <w:vAlign w:val="center"/>
            <w:hideMark/>
          </w:tcPr>
          <w:p w14:paraId="2FD58287"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720,926</w:t>
            </w:r>
          </w:p>
        </w:tc>
        <w:tc>
          <w:tcPr>
            <w:tcW w:w="1350" w:type="dxa"/>
            <w:tcBorders>
              <w:top w:val="single" w:sz="8" w:space="0" w:color="auto"/>
              <w:left w:val="nil"/>
              <w:bottom w:val="dashed" w:sz="4" w:space="0" w:color="auto"/>
              <w:right w:val="single" w:sz="8" w:space="0" w:color="auto"/>
            </w:tcBorders>
            <w:shd w:val="clear" w:color="auto" w:fill="auto"/>
            <w:vAlign w:val="center"/>
            <w:hideMark/>
          </w:tcPr>
          <w:p w14:paraId="2CFD4E0F" w14:textId="77777777" w:rsidR="008664AC" w:rsidRPr="008664AC" w:rsidRDefault="008664AC" w:rsidP="008664AC">
            <w:pPr>
              <w:spacing w:after="0" w:line="240" w:lineRule="auto"/>
              <w:jc w:val="center"/>
              <w:rPr>
                <w:rFonts w:ascii="Times New Roman" w:eastAsia="Times New Roman" w:hAnsi="Times New Roman" w:cs="Times New Roman"/>
                <w:color w:val="000000"/>
              </w:rPr>
            </w:pPr>
            <w:r w:rsidRPr="008664AC">
              <w:rPr>
                <w:rFonts w:ascii="Times New Roman" w:eastAsia="Times New Roman" w:hAnsi="Times New Roman" w:cs="Times New Roman"/>
                <w:color w:val="000000"/>
              </w:rPr>
              <w:t>9,769,241</w:t>
            </w:r>
          </w:p>
        </w:tc>
        <w:tc>
          <w:tcPr>
            <w:tcW w:w="1500" w:type="dxa"/>
            <w:tcBorders>
              <w:top w:val="single" w:sz="8" w:space="0" w:color="auto"/>
              <w:left w:val="nil"/>
              <w:bottom w:val="dashed" w:sz="4" w:space="0" w:color="auto"/>
              <w:right w:val="single" w:sz="8" w:space="0" w:color="000000"/>
            </w:tcBorders>
            <w:vAlign w:val="center"/>
          </w:tcPr>
          <w:p w14:paraId="0CA86733"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46,918,857</w:t>
            </w:r>
          </w:p>
        </w:tc>
        <w:tc>
          <w:tcPr>
            <w:tcW w:w="1620" w:type="dxa"/>
            <w:tcBorders>
              <w:top w:val="single" w:sz="8" w:space="0" w:color="auto"/>
              <w:left w:val="single" w:sz="8" w:space="0" w:color="000000"/>
              <w:bottom w:val="dashed" w:sz="4" w:space="0" w:color="auto"/>
              <w:right w:val="single" w:sz="8" w:space="0" w:color="000000"/>
            </w:tcBorders>
            <w:vAlign w:val="center"/>
          </w:tcPr>
          <w:p w14:paraId="338BC986"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75,806,587</w:t>
            </w:r>
          </w:p>
        </w:tc>
        <w:tc>
          <w:tcPr>
            <w:tcW w:w="2340" w:type="dxa"/>
            <w:tcBorders>
              <w:top w:val="single" w:sz="8" w:space="0" w:color="auto"/>
              <w:left w:val="single" w:sz="8" w:space="0" w:color="000000"/>
              <w:bottom w:val="dashed" w:sz="4" w:space="0" w:color="auto"/>
              <w:right w:val="double" w:sz="4" w:space="0" w:color="auto"/>
            </w:tcBorders>
            <w:shd w:val="clear" w:color="auto" w:fill="auto"/>
            <w:vAlign w:val="center"/>
            <w:hideMark/>
          </w:tcPr>
          <w:p w14:paraId="14BEE3C9"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151,647,161</w:t>
            </w:r>
          </w:p>
        </w:tc>
      </w:tr>
      <w:tr w:rsidR="008664AC" w:rsidRPr="008664AC" w14:paraId="43CD2EDB" w14:textId="77777777" w:rsidTr="00754FA9">
        <w:trPr>
          <w:trHeight w:val="457"/>
        </w:trPr>
        <w:tc>
          <w:tcPr>
            <w:tcW w:w="1620" w:type="dxa"/>
            <w:vMerge/>
            <w:tcBorders>
              <w:top w:val="nil"/>
              <w:left w:val="double" w:sz="4" w:space="0" w:color="auto"/>
              <w:bottom w:val="single" w:sz="8" w:space="0" w:color="000000"/>
              <w:right w:val="single" w:sz="8" w:space="0" w:color="auto"/>
            </w:tcBorders>
            <w:vAlign w:val="center"/>
            <w:hideMark/>
          </w:tcPr>
          <w:p w14:paraId="6D031442" w14:textId="77777777" w:rsidR="008664AC" w:rsidRPr="008664AC" w:rsidRDefault="008664AC" w:rsidP="008664AC">
            <w:pPr>
              <w:spacing w:after="0" w:line="240" w:lineRule="auto"/>
              <w:rPr>
                <w:rFonts w:ascii="Times New Roman" w:eastAsia="Times New Roman" w:hAnsi="Times New Roman" w:cs="Times New Roman"/>
                <w:color w:val="000000"/>
                <w:sz w:val="22"/>
                <w:szCs w:val="22"/>
              </w:rPr>
            </w:pPr>
          </w:p>
        </w:tc>
        <w:tc>
          <w:tcPr>
            <w:tcW w:w="1393" w:type="dxa"/>
            <w:tcBorders>
              <w:top w:val="dashed" w:sz="4" w:space="0" w:color="auto"/>
              <w:left w:val="nil"/>
              <w:bottom w:val="single" w:sz="8" w:space="0" w:color="auto"/>
              <w:right w:val="single" w:sz="8" w:space="0" w:color="auto"/>
            </w:tcBorders>
            <w:shd w:val="clear" w:color="auto" w:fill="auto"/>
            <w:noWrap/>
            <w:vAlign w:val="center"/>
            <w:hideMark/>
          </w:tcPr>
          <w:p w14:paraId="2A2D1AB2"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3.32%</w:t>
            </w:r>
          </w:p>
        </w:tc>
        <w:tc>
          <w:tcPr>
            <w:tcW w:w="1182" w:type="dxa"/>
            <w:tcBorders>
              <w:top w:val="dashed" w:sz="4" w:space="0" w:color="auto"/>
              <w:left w:val="nil"/>
              <w:bottom w:val="single" w:sz="8" w:space="0" w:color="auto"/>
              <w:right w:val="single" w:sz="8" w:space="0" w:color="auto"/>
            </w:tcBorders>
            <w:shd w:val="clear" w:color="auto" w:fill="auto"/>
            <w:noWrap/>
            <w:vAlign w:val="center"/>
            <w:hideMark/>
          </w:tcPr>
          <w:p w14:paraId="1F65D5BD"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77.84%</w:t>
            </w:r>
          </w:p>
        </w:tc>
        <w:tc>
          <w:tcPr>
            <w:tcW w:w="1235" w:type="dxa"/>
            <w:tcBorders>
              <w:top w:val="dashed" w:sz="4" w:space="0" w:color="auto"/>
              <w:left w:val="nil"/>
              <w:bottom w:val="single" w:sz="8" w:space="0" w:color="auto"/>
              <w:right w:val="single" w:sz="8" w:space="0" w:color="auto"/>
            </w:tcBorders>
            <w:shd w:val="clear" w:color="auto" w:fill="auto"/>
            <w:noWrap/>
            <w:vAlign w:val="center"/>
            <w:hideMark/>
          </w:tcPr>
          <w:p w14:paraId="20C57A8B"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67.80%</w:t>
            </w:r>
          </w:p>
        </w:tc>
        <w:tc>
          <w:tcPr>
            <w:tcW w:w="1260" w:type="dxa"/>
            <w:tcBorders>
              <w:top w:val="dashed" w:sz="4" w:space="0" w:color="auto"/>
              <w:left w:val="nil"/>
              <w:bottom w:val="single" w:sz="8" w:space="0" w:color="auto"/>
              <w:right w:val="single" w:sz="8" w:space="0" w:color="auto"/>
            </w:tcBorders>
            <w:shd w:val="clear" w:color="auto" w:fill="auto"/>
            <w:noWrap/>
            <w:vAlign w:val="center"/>
            <w:hideMark/>
          </w:tcPr>
          <w:p w14:paraId="52FAF9E4"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50.29%</w:t>
            </w:r>
          </w:p>
        </w:tc>
        <w:tc>
          <w:tcPr>
            <w:tcW w:w="1350" w:type="dxa"/>
            <w:tcBorders>
              <w:top w:val="dashed" w:sz="4" w:space="0" w:color="auto"/>
              <w:left w:val="nil"/>
              <w:bottom w:val="single" w:sz="8" w:space="0" w:color="auto"/>
              <w:right w:val="single" w:sz="8" w:space="0" w:color="auto"/>
            </w:tcBorders>
            <w:shd w:val="clear" w:color="auto" w:fill="auto"/>
            <w:noWrap/>
            <w:vAlign w:val="center"/>
            <w:hideMark/>
          </w:tcPr>
          <w:p w14:paraId="0151800A"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2.08%</w:t>
            </w:r>
          </w:p>
        </w:tc>
        <w:tc>
          <w:tcPr>
            <w:tcW w:w="1500" w:type="dxa"/>
            <w:tcBorders>
              <w:top w:val="dashed" w:sz="4" w:space="0" w:color="auto"/>
              <w:left w:val="nil"/>
              <w:bottom w:val="single" w:sz="8" w:space="0" w:color="auto"/>
              <w:right w:val="single" w:sz="8" w:space="0" w:color="000000"/>
            </w:tcBorders>
            <w:vAlign w:val="center"/>
          </w:tcPr>
          <w:p w14:paraId="2EA9BBCD"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9.99%</w:t>
            </w:r>
          </w:p>
        </w:tc>
        <w:tc>
          <w:tcPr>
            <w:tcW w:w="1620" w:type="dxa"/>
            <w:tcBorders>
              <w:top w:val="dashed" w:sz="4" w:space="0" w:color="auto"/>
              <w:left w:val="single" w:sz="8" w:space="0" w:color="000000"/>
              <w:bottom w:val="single" w:sz="8" w:space="0" w:color="auto"/>
              <w:right w:val="single" w:sz="8" w:space="0" w:color="000000"/>
            </w:tcBorders>
            <w:vAlign w:val="center"/>
          </w:tcPr>
          <w:p w14:paraId="40967BD8"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16.14%</w:t>
            </w:r>
          </w:p>
        </w:tc>
        <w:tc>
          <w:tcPr>
            <w:tcW w:w="2340" w:type="dxa"/>
            <w:tcBorders>
              <w:top w:val="dashed" w:sz="4" w:space="0" w:color="auto"/>
              <w:left w:val="single" w:sz="8" w:space="0" w:color="000000"/>
              <w:bottom w:val="single" w:sz="8" w:space="0" w:color="auto"/>
              <w:right w:val="double" w:sz="4" w:space="0" w:color="auto"/>
            </w:tcBorders>
            <w:shd w:val="clear" w:color="auto" w:fill="auto"/>
            <w:noWrap/>
            <w:vAlign w:val="center"/>
            <w:hideMark/>
          </w:tcPr>
          <w:p w14:paraId="6819E0AD"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59.56%</w:t>
            </w:r>
          </w:p>
        </w:tc>
      </w:tr>
      <w:tr w:rsidR="008664AC" w:rsidRPr="008664AC" w14:paraId="60DE1EB1" w14:textId="77777777" w:rsidTr="00754FA9">
        <w:trPr>
          <w:trHeight w:val="682"/>
        </w:trPr>
        <w:tc>
          <w:tcPr>
            <w:tcW w:w="1620" w:type="dxa"/>
            <w:vMerge w:val="restart"/>
            <w:tcBorders>
              <w:top w:val="nil"/>
              <w:left w:val="double" w:sz="4" w:space="0" w:color="auto"/>
              <w:bottom w:val="single" w:sz="8" w:space="0" w:color="000000"/>
              <w:right w:val="single" w:sz="8" w:space="0" w:color="auto"/>
            </w:tcBorders>
            <w:shd w:val="clear" w:color="000000" w:fill="E2EFDA"/>
            <w:vAlign w:val="center"/>
            <w:hideMark/>
          </w:tcPr>
          <w:p w14:paraId="318B5184" w14:textId="77777777" w:rsidR="008664AC" w:rsidRPr="008664AC" w:rsidRDefault="008664AC" w:rsidP="008664AC">
            <w:pPr>
              <w:spacing w:after="0" w:line="240" w:lineRule="auto"/>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Blocks with 100% LTE Service</w:t>
            </w:r>
          </w:p>
        </w:tc>
        <w:tc>
          <w:tcPr>
            <w:tcW w:w="1393" w:type="dxa"/>
            <w:tcBorders>
              <w:top w:val="single" w:sz="8" w:space="0" w:color="auto"/>
              <w:left w:val="nil"/>
              <w:bottom w:val="dashed" w:sz="4" w:space="0" w:color="auto"/>
              <w:right w:val="single" w:sz="8" w:space="0" w:color="auto"/>
            </w:tcBorders>
            <w:shd w:val="clear" w:color="auto" w:fill="auto"/>
            <w:noWrap/>
            <w:vAlign w:val="center"/>
            <w:hideMark/>
          </w:tcPr>
          <w:p w14:paraId="48C2F325"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10,025,526</w:t>
            </w:r>
          </w:p>
        </w:tc>
        <w:tc>
          <w:tcPr>
            <w:tcW w:w="1182" w:type="dxa"/>
            <w:tcBorders>
              <w:top w:val="single" w:sz="8" w:space="0" w:color="auto"/>
              <w:left w:val="nil"/>
              <w:bottom w:val="dashed" w:sz="4" w:space="0" w:color="auto"/>
              <w:right w:val="single" w:sz="8" w:space="0" w:color="auto"/>
            </w:tcBorders>
            <w:shd w:val="clear" w:color="auto" w:fill="auto"/>
            <w:noWrap/>
            <w:vAlign w:val="center"/>
            <w:hideMark/>
          </w:tcPr>
          <w:p w14:paraId="79F6A323" w14:textId="77777777" w:rsidR="008664AC" w:rsidRPr="008664AC" w:rsidRDefault="008664AC" w:rsidP="008664AC">
            <w:pPr>
              <w:spacing w:after="0" w:line="240" w:lineRule="auto"/>
              <w:rPr>
                <w:rFonts w:ascii="Calibri" w:eastAsia="Times New Roman" w:hAnsi="Calibri" w:cs="Calibri"/>
                <w:color w:val="000000"/>
                <w:sz w:val="22"/>
                <w:szCs w:val="22"/>
              </w:rPr>
            </w:pPr>
            <w:r w:rsidRPr="008664AC">
              <w:rPr>
                <w:rFonts w:ascii="Calibri" w:eastAsia="Times New Roman" w:hAnsi="Calibri" w:cs="Calibri"/>
                <w:color w:val="000000"/>
                <w:sz w:val="22"/>
                <w:szCs w:val="22"/>
              </w:rPr>
              <w:t> </w:t>
            </w:r>
          </w:p>
        </w:tc>
        <w:tc>
          <w:tcPr>
            <w:tcW w:w="1235" w:type="dxa"/>
            <w:tcBorders>
              <w:top w:val="single" w:sz="8" w:space="0" w:color="auto"/>
              <w:left w:val="nil"/>
              <w:bottom w:val="dashed" w:sz="4" w:space="0" w:color="auto"/>
              <w:right w:val="single" w:sz="8" w:space="0" w:color="auto"/>
            </w:tcBorders>
            <w:shd w:val="clear" w:color="auto" w:fill="auto"/>
            <w:noWrap/>
            <w:vAlign w:val="center"/>
            <w:hideMark/>
          </w:tcPr>
          <w:p w14:paraId="05DD679C" w14:textId="77777777" w:rsidR="008664AC" w:rsidRPr="008664AC" w:rsidRDefault="008664AC" w:rsidP="008664AC">
            <w:pPr>
              <w:spacing w:after="0" w:line="240" w:lineRule="auto"/>
              <w:rPr>
                <w:rFonts w:ascii="Calibri" w:eastAsia="Times New Roman" w:hAnsi="Calibri" w:cs="Calibri"/>
                <w:color w:val="000000"/>
                <w:sz w:val="22"/>
                <w:szCs w:val="22"/>
              </w:rPr>
            </w:pPr>
            <w:r w:rsidRPr="008664AC">
              <w:rPr>
                <w:rFonts w:ascii="Calibri" w:eastAsia="Times New Roman" w:hAnsi="Calibri" w:cs="Calibri"/>
                <w:color w:val="000000"/>
                <w:sz w:val="22"/>
                <w:szCs w:val="22"/>
              </w:rPr>
              <w:t> </w:t>
            </w:r>
          </w:p>
        </w:tc>
        <w:tc>
          <w:tcPr>
            <w:tcW w:w="1260" w:type="dxa"/>
            <w:tcBorders>
              <w:top w:val="single" w:sz="8" w:space="0" w:color="auto"/>
              <w:left w:val="nil"/>
              <w:bottom w:val="dashed" w:sz="4" w:space="0" w:color="auto"/>
              <w:right w:val="single" w:sz="8" w:space="0" w:color="auto"/>
            </w:tcBorders>
            <w:shd w:val="clear" w:color="auto" w:fill="auto"/>
            <w:noWrap/>
            <w:vAlign w:val="center"/>
            <w:hideMark/>
          </w:tcPr>
          <w:p w14:paraId="19DC82BF" w14:textId="77777777" w:rsidR="008664AC" w:rsidRPr="008664AC" w:rsidRDefault="008664AC" w:rsidP="008664AC">
            <w:pPr>
              <w:spacing w:after="0" w:line="240" w:lineRule="auto"/>
              <w:rPr>
                <w:rFonts w:ascii="Calibri" w:eastAsia="Times New Roman" w:hAnsi="Calibri" w:cs="Calibri"/>
                <w:color w:val="000000"/>
                <w:sz w:val="22"/>
                <w:szCs w:val="22"/>
              </w:rPr>
            </w:pPr>
            <w:r w:rsidRPr="008664AC">
              <w:rPr>
                <w:rFonts w:ascii="Calibri" w:eastAsia="Times New Roman" w:hAnsi="Calibri" w:cs="Calibri"/>
                <w:color w:val="000000"/>
                <w:sz w:val="22"/>
                <w:szCs w:val="22"/>
              </w:rPr>
              <w:t> </w:t>
            </w:r>
          </w:p>
        </w:tc>
        <w:tc>
          <w:tcPr>
            <w:tcW w:w="1350" w:type="dxa"/>
            <w:tcBorders>
              <w:top w:val="single" w:sz="8" w:space="0" w:color="auto"/>
              <w:left w:val="nil"/>
              <w:bottom w:val="dashed" w:sz="4" w:space="0" w:color="auto"/>
              <w:right w:val="single" w:sz="8" w:space="0" w:color="auto"/>
            </w:tcBorders>
            <w:shd w:val="clear" w:color="auto" w:fill="auto"/>
            <w:vAlign w:val="center"/>
            <w:hideMark/>
          </w:tcPr>
          <w:p w14:paraId="3B90A045"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456,588,563</w:t>
            </w:r>
          </w:p>
        </w:tc>
        <w:tc>
          <w:tcPr>
            <w:tcW w:w="1500" w:type="dxa"/>
            <w:tcBorders>
              <w:top w:val="single" w:sz="8" w:space="0" w:color="auto"/>
              <w:left w:val="nil"/>
              <w:bottom w:val="dashed" w:sz="4" w:space="0" w:color="auto"/>
              <w:right w:val="single" w:sz="8" w:space="0" w:color="000000"/>
            </w:tcBorders>
            <w:vAlign w:val="center"/>
          </w:tcPr>
          <w:p w14:paraId="36614A76"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418,918,641</w:t>
            </w:r>
          </w:p>
        </w:tc>
        <w:tc>
          <w:tcPr>
            <w:tcW w:w="1620" w:type="dxa"/>
            <w:tcBorders>
              <w:top w:val="single" w:sz="8" w:space="0" w:color="auto"/>
              <w:left w:val="single" w:sz="8" w:space="0" w:color="000000"/>
              <w:bottom w:val="dashed" w:sz="4" w:space="0" w:color="auto"/>
              <w:right w:val="single" w:sz="8" w:space="0" w:color="000000"/>
            </w:tcBorders>
            <w:vAlign w:val="center"/>
          </w:tcPr>
          <w:p w14:paraId="4D727113"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390,821,082</w:t>
            </w:r>
          </w:p>
        </w:tc>
        <w:tc>
          <w:tcPr>
            <w:tcW w:w="2340" w:type="dxa"/>
            <w:tcBorders>
              <w:top w:val="single" w:sz="8" w:space="0" w:color="auto"/>
              <w:left w:val="single" w:sz="8" w:space="0" w:color="000000"/>
              <w:bottom w:val="dashed" w:sz="4" w:space="0" w:color="auto"/>
              <w:right w:val="double" w:sz="4" w:space="0" w:color="auto"/>
            </w:tcBorders>
            <w:shd w:val="clear" w:color="auto" w:fill="auto"/>
            <w:vAlign w:val="center"/>
            <w:hideMark/>
          </w:tcPr>
          <w:p w14:paraId="3A68C86F"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87,592,827</w:t>
            </w:r>
          </w:p>
        </w:tc>
      </w:tr>
      <w:tr w:rsidR="008664AC" w:rsidRPr="008664AC" w14:paraId="455F9CB1" w14:textId="77777777" w:rsidTr="00754FA9">
        <w:trPr>
          <w:trHeight w:val="315"/>
        </w:trPr>
        <w:tc>
          <w:tcPr>
            <w:tcW w:w="1620" w:type="dxa"/>
            <w:vMerge/>
            <w:tcBorders>
              <w:top w:val="nil"/>
              <w:left w:val="double" w:sz="4" w:space="0" w:color="auto"/>
              <w:bottom w:val="double" w:sz="4" w:space="0" w:color="auto"/>
              <w:right w:val="single" w:sz="8" w:space="0" w:color="auto"/>
            </w:tcBorders>
            <w:vAlign w:val="center"/>
            <w:hideMark/>
          </w:tcPr>
          <w:p w14:paraId="444C5A5F" w14:textId="77777777" w:rsidR="008664AC" w:rsidRPr="008664AC" w:rsidRDefault="008664AC" w:rsidP="008664AC">
            <w:pPr>
              <w:spacing w:after="0" w:line="240" w:lineRule="auto"/>
              <w:rPr>
                <w:rFonts w:ascii="Times New Roman" w:eastAsia="Times New Roman" w:hAnsi="Times New Roman" w:cs="Times New Roman"/>
                <w:color w:val="000000"/>
                <w:sz w:val="22"/>
                <w:szCs w:val="22"/>
              </w:rPr>
            </w:pPr>
          </w:p>
        </w:tc>
        <w:tc>
          <w:tcPr>
            <w:tcW w:w="1393" w:type="dxa"/>
            <w:tcBorders>
              <w:top w:val="dashed" w:sz="4" w:space="0" w:color="auto"/>
              <w:left w:val="nil"/>
              <w:bottom w:val="double" w:sz="4" w:space="0" w:color="auto"/>
              <w:right w:val="single" w:sz="8" w:space="0" w:color="auto"/>
            </w:tcBorders>
            <w:shd w:val="clear" w:color="auto" w:fill="auto"/>
            <w:noWrap/>
            <w:vAlign w:val="center"/>
            <w:hideMark/>
          </w:tcPr>
          <w:p w14:paraId="4033C1D5"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94.65%</w:t>
            </w:r>
          </w:p>
        </w:tc>
        <w:tc>
          <w:tcPr>
            <w:tcW w:w="1182" w:type="dxa"/>
            <w:tcBorders>
              <w:top w:val="dashed" w:sz="4" w:space="0" w:color="auto"/>
              <w:left w:val="nil"/>
              <w:bottom w:val="double" w:sz="4" w:space="0" w:color="auto"/>
              <w:right w:val="single" w:sz="8" w:space="0" w:color="auto"/>
            </w:tcBorders>
            <w:shd w:val="clear" w:color="auto" w:fill="auto"/>
            <w:noWrap/>
            <w:vAlign w:val="center"/>
            <w:hideMark/>
          </w:tcPr>
          <w:p w14:paraId="1C9FE19F" w14:textId="77777777" w:rsidR="008664AC" w:rsidRPr="008664AC" w:rsidRDefault="008664AC" w:rsidP="008664AC">
            <w:pPr>
              <w:spacing w:after="0" w:line="240" w:lineRule="auto"/>
              <w:rPr>
                <w:rFonts w:ascii="Calibri" w:eastAsia="Times New Roman" w:hAnsi="Calibri" w:cs="Calibri"/>
                <w:color w:val="000000"/>
                <w:sz w:val="22"/>
                <w:szCs w:val="22"/>
              </w:rPr>
            </w:pPr>
            <w:r w:rsidRPr="008664AC">
              <w:rPr>
                <w:rFonts w:ascii="Calibri" w:eastAsia="Times New Roman" w:hAnsi="Calibri" w:cs="Calibri"/>
                <w:color w:val="000000"/>
                <w:sz w:val="22"/>
                <w:szCs w:val="22"/>
              </w:rPr>
              <w:t> </w:t>
            </w:r>
          </w:p>
        </w:tc>
        <w:tc>
          <w:tcPr>
            <w:tcW w:w="1235" w:type="dxa"/>
            <w:tcBorders>
              <w:top w:val="dashed" w:sz="4" w:space="0" w:color="auto"/>
              <w:left w:val="nil"/>
              <w:bottom w:val="double" w:sz="4" w:space="0" w:color="auto"/>
              <w:right w:val="single" w:sz="8" w:space="0" w:color="auto"/>
            </w:tcBorders>
            <w:shd w:val="clear" w:color="auto" w:fill="auto"/>
            <w:noWrap/>
            <w:vAlign w:val="center"/>
            <w:hideMark/>
          </w:tcPr>
          <w:p w14:paraId="3C9F510D" w14:textId="77777777" w:rsidR="008664AC" w:rsidRPr="008664AC" w:rsidRDefault="008664AC" w:rsidP="008664AC">
            <w:pPr>
              <w:spacing w:after="0" w:line="240" w:lineRule="auto"/>
              <w:rPr>
                <w:rFonts w:ascii="Calibri" w:eastAsia="Times New Roman" w:hAnsi="Calibri" w:cs="Calibri"/>
                <w:color w:val="000000"/>
                <w:sz w:val="22"/>
                <w:szCs w:val="22"/>
              </w:rPr>
            </w:pPr>
            <w:r w:rsidRPr="008664AC">
              <w:rPr>
                <w:rFonts w:ascii="Calibri" w:eastAsia="Times New Roman" w:hAnsi="Calibri" w:cs="Calibri"/>
                <w:color w:val="000000"/>
                <w:sz w:val="22"/>
                <w:szCs w:val="22"/>
              </w:rPr>
              <w:t> </w:t>
            </w:r>
          </w:p>
        </w:tc>
        <w:tc>
          <w:tcPr>
            <w:tcW w:w="1260" w:type="dxa"/>
            <w:tcBorders>
              <w:top w:val="dashed" w:sz="4" w:space="0" w:color="auto"/>
              <w:left w:val="nil"/>
              <w:bottom w:val="double" w:sz="4" w:space="0" w:color="auto"/>
              <w:right w:val="single" w:sz="8" w:space="0" w:color="auto"/>
            </w:tcBorders>
            <w:shd w:val="clear" w:color="auto" w:fill="auto"/>
            <w:noWrap/>
            <w:vAlign w:val="center"/>
            <w:hideMark/>
          </w:tcPr>
          <w:p w14:paraId="46F533B8" w14:textId="77777777" w:rsidR="008664AC" w:rsidRPr="008664AC" w:rsidRDefault="008664AC" w:rsidP="008664AC">
            <w:pPr>
              <w:spacing w:after="0" w:line="240" w:lineRule="auto"/>
              <w:rPr>
                <w:rFonts w:ascii="Calibri" w:eastAsia="Times New Roman" w:hAnsi="Calibri" w:cs="Calibri"/>
                <w:color w:val="000000"/>
                <w:sz w:val="22"/>
                <w:szCs w:val="22"/>
              </w:rPr>
            </w:pPr>
            <w:r w:rsidRPr="008664AC">
              <w:rPr>
                <w:rFonts w:ascii="Calibri" w:eastAsia="Times New Roman" w:hAnsi="Calibri" w:cs="Calibri"/>
                <w:color w:val="000000"/>
                <w:sz w:val="22"/>
                <w:szCs w:val="22"/>
              </w:rPr>
              <w:t> </w:t>
            </w:r>
          </w:p>
        </w:tc>
        <w:tc>
          <w:tcPr>
            <w:tcW w:w="1350" w:type="dxa"/>
            <w:tcBorders>
              <w:top w:val="dashed" w:sz="4" w:space="0" w:color="auto"/>
              <w:left w:val="nil"/>
              <w:bottom w:val="double" w:sz="4" w:space="0" w:color="auto"/>
              <w:right w:val="single" w:sz="8" w:space="0" w:color="auto"/>
            </w:tcBorders>
            <w:shd w:val="clear" w:color="auto" w:fill="auto"/>
            <w:noWrap/>
            <w:vAlign w:val="center"/>
            <w:hideMark/>
          </w:tcPr>
          <w:p w14:paraId="47CDE512"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97.20%</w:t>
            </w:r>
          </w:p>
        </w:tc>
        <w:tc>
          <w:tcPr>
            <w:tcW w:w="1500" w:type="dxa"/>
            <w:tcBorders>
              <w:top w:val="dashed" w:sz="4" w:space="0" w:color="auto"/>
              <w:left w:val="nil"/>
              <w:bottom w:val="double" w:sz="4" w:space="0" w:color="auto"/>
              <w:right w:val="single" w:sz="8" w:space="0" w:color="000000"/>
            </w:tcBorders>
            <w:vAlign w:val="center"/>
          </w:tcPr>
          <w:p w14:paraId="40D9CB77"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89.18%</w:t>
            </w:r>
          </w:p>
        </w:tc>
        <w:tc>
          <w:tcPr>
            <w:tcW w:w="1620" w:type="dxa"/>
            <w:tcBorders>
              <w:top w:val="dashed" w:sz="4" w:space="0" w:color="auto"/>
              <w:left w:val="single" w:sz="8" w:space="0" w:color="000000"/>
              <w:bottom w:val="double" w:sz="4" w:space="0" w:color="auto"/>
              <w:right w:val="single" w:sz="8" w:space="0" w:color="000000"/>
            </w:tcBorders>
            <w:vAlign w:val="center"/>
          </w:tcPr>
          <w:p w14:paraId="7E5F6B98"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83.20%</w:t>
            </w:r>
          </w:p>
        </w:tc>
        <w:tc>
          <w:tcPr>
            <w:tcW w:w="2340" w:type="dxa"/>
            <w:tcBorders>
              <w:top w:val="dashed" w:sz="4" w:space="0" w:color="auto"/>
              <w:left w:val="single" w:sz="8" w:space="0" w:color="000000"/>
              <w:bottom w:val="double" w:sz="4" w:space="0" w:color="auto"/>
              <w:right w:val="double" w:sz="4" w:space="0" w:color="auto"/>
            </w:tcBorders>
            <w:shd w:val="clear" w:color="auto" w:fill="auto"/>
            <w:noWrap/>
            <w:vAlign w:val="center"/>
            <w:hideMark/>
          </w:tcPr>
          <w:p w14:paraId="2DAF9E7B"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34.40%</w:t>
            </w:r>
          </w:p>
        </w:tc>
      </w:tr>
    </w:tbl>
    <w:p w14:paraId="000AFB23" w14:textId="66C4BEC3" w:rsidR="008664AC" w:rsidRPr="008664AC" w:rsidRDefault="008664AC" w:rsidP="008664AC">
      <w:pPr>
        <w:spacing w:after="0" w:line="240" w:lineRule="auto"/>
        <w:ind w:left="360" w:right="540"/>
        <w:rPr>
          <w:rFonts w:ascii="Times New Roman" w:hAnsi="Times New Roman" w:cs="Times New Roman"/>
          <w:sz w:val="22"/>
          <w:szCs w:val="22"/>
        </w:rPr>
        <w:sectPr w:rsidR="008664AC" w:rsidRPr="008664AC" w:rsidSect="00552C82">
          <w:headerReference w:type="default" r:id="rId22"/>
          <w:pgSz w:w="15840" w:h="12240" w:orient="landscape"/>
          <w:pgMar w:top="1008" w:right="720" w:bottom="1008" w:left="720" w:header="720" w:footer="720" w:gutter="0"/>
          <w:cols w:space="720"/>
          <w:docGrid w:linePitch="360"/>
        </w:sectPr>
      </w:pPr>
      <w:r w:rsidRPr="008664AC">
        <w:rPr>
          <w:rFonts w:ascii="Times New Roman" w:hAnsi="Times New Roman" w:cs="Times New Roman"/>
          <w:sz w:val="22"/>
          <w:szCs w:val="22"/>
        </w:rPr>
        <w:t xml:space="preserve">Note: Based on Form 477 December 2015 coverage data. 2010 Census data on population and road miles. Subsidy data is from USAC’s December 2015 High-cost database and MF-I auction data. Excludes Alaska and </w:t>
      </w:r>
      <w:r w:rsidR="00904BE8">
        <w:rPr>
          <w:rFonts w:ascii="Times New Roman" w:hAnsi="Times New Roman" w:cs="Times New Roman"/>
          <w:sz w:val="22"/>
          <w:szCs w:val="22"/>
        </w:rPr>
        <w:t>water-</w:t>
      </w:r>
      <w:r w:rsidR="00904BE8" w:rsidRPr="00E4790D">
        <w:rPr>
          <w:rFonts w:ascii="Times New Roman" w:hAnsi="Times New Roman" w:cs="Times New Roman"/>
          <w:sz w:val="22"/>
          <w:szCs w:val="22"/>
        </w:rPr>
        <w:t xml:space="preserve">only </w:t>
      </w:r>
      <w:r w:rsidRPr="008664AC">
        <w:rPr>
          <w:rFonts w:ascii="Times New Roman" w:hAnsi="Times New Roman" w:cs="Times New Roman"/>
          <w:sz w:val="22"/>
          <w:szCs w:val="22"/>
        </w:rPr>
        <w:t xml:space="preserve">blocks. 100% service is actually calculated as 99.9% service to take coverage bleed into account. </w:t>
      </w:r>
    </w:p>
    <w:p w14:paraId="00E3C3F7" w14:textId="77777777" w:rsidR="008664AC" w:rsidRPr="008664AC" w:rsidRDefault="008664AC" w:rsidP="0038487B">
      <w:pPr>
        <w:spacing w:line="240" w:lineRule="auto"/>
        <w:jc w:val="center"/>
        <w:rPr>
          <w:rFonts w:ascii="Times New Roman" w:hAnsi="Times New Roman" w:cs="Times New Roman"/>
          <w:b/>
          <w:sz w:val="24"/>
          <w:szCs w:val="24"/>
          <w:u w:val="single"/>
        </w:rPr>
      </w:pPr>
      <w:r w:rsidRPr="008664AC">
        <w:rPr>
          <w:rFonts w:ascii="Times New Roman" w:hAnsi="Times New Roman" w:cs="Times New Roman"/>
          <w:b/>
          <w:sz w:val="24"/>
          <w:szCs w:val="24"/>
        </w:rPr>
        <w:t>Table 4b</w:t>
      </w:r>
      <w:r w:rsidRPr="008664AC">
        <w:rPr>
          <w:rFonts w:ascii="Times New Roman" w:hAnsi="Times New Roman" w:cs="Times New Roman"/>
          <w:b/>
          <w:sz w:val="24"/>
          <w:szCs w:val="24"/>
          <w:u w:val="single"/>
        </w:rPr>
        <w:t xml:space="preserve"> </w:t>
      </w:r>
    </w:p>
    <w:p w14:paraId="3327E3CB" w14:textId="1B3AD85F" w:rsidR="008664AC" w:rsidRPr="0038487B" w:rsidRDefault="008664AC" w:rsidP="0038487B">
      <w:pPr>
        <w:spacing w:after="240" w:line="240" w:lineRule="auto"/>
        <w:jc w:val="center"/>
        <w:rPr>
          <w:rFonts w:ascii="Times New Roman" w:hAnsi="Times New Roman" w:cs="Times New Roman"/>
          <w:b/>
          <w:sz w:val="24"/>
          <w:szCs w:val="24"/>
          <w:u w:val="single"/>
        </w:rPr>
      </w:pPr>
      <w:r w:rsidRPr="008664AC">
        <w:rPr>
          <w:rFonts w:ascii="Times New Roman" w:hAnsi="Times New Roman" w:cs="Times New Roman"/>
          <w:b/>
          <w:sz w:val="24"/>
          <w:szCs w:val="24"/>
          <w:u w:val="single"/>
        </w:rPr>
        <w:t xml:space="preserve">US Subsidy Allocation to Blocks Where One or More Providers Offer Unsubsidized LTE Coverage Over the </w:t>
      </w:r>
      <w:r w:rsidR="0038487B">
        <w:rPr>
          <w:rFonts w:ascii="Times New Roman" w:hAnsi="Times New Roman" w:cs="Times New Roman"/>
          <w:b/>
          <w:sz w:val="24"/>
          <w:szCs w:val="24"/>
          <w:u w:val="single"/>
        </w:rPr>
        <w:t>Entire Block (Excluding Alaska)</w:t>
      </w:r>
    </w:p>
    <w:tbl>
      <w:tblPr>
        <w:tblW w:w="9330" w:type="dxa"/>
        <w:tblInd w:w="417" w:type="dxa"/>
        <w:tblLook w:val="04A0" w:firstRow="1" w:lastRow="0" w:firstColumn="1" w:lastColumn="0" w:noHBand="0" w:noVBand="1"/>
      </w:tblPr>
      <w:tblGrid>
        <w:gridCol w:w="795"/>
        <w:gridCol w:w="1710"/>
        <w:gridCol w:w="1530"/>
        <w:gridCol w:w="1440"/>
        <w:gridCol w:w="1980"/>
        <w:gridCol w:w="1875"/>
      </w:tblGrid>
      <w:tr w:rsidR="008664AC" w:rsidRPr="008664AC" w14:paraId="7DF67DDA" w14:textId="77777777" w:rsidTr="00754FA9">
        <w:trPr>
          <w:trHeight w:val="1257"/>
        </w:trPr>
        <w:tc>
          <w:tcPr>
            <w:tcW w:w="4035" w:type="dxa"/>
            <w:gridSpan w:val="3"/>
            <w:tcBorders>
              <w:top w:val="double" w:sz="4" w:space="0" w:color="auto"/>
              <w:left w:val="double" w:sz="4" w:space="0" w:color="auto"/>
              <w:bottom w:val="single" w:sz="4" w:space="0" w:color="auto"/>
              <w:right w:val="single" w:sz="8" w:space="0" w:color="auto"/>
            </w:tcBorders>
            <w:shd w:val="clear" w:color="auto" w:fill="auto"/>
            <w:vAlign w:val="center"/>
            <w:hideMark/>
          </w:tcPr>
          <w:p w14:paraId="1C5AA223" w14:textId="77777777" w:rsidR="008664AC" w:rsidRPr="008664AC" w:rsidRDefault="008664AC" w:rsidP="008664AC">
            <w:pPr>
              <w:spacing w:after="0" w:line="240" w:lineRule="auto"/>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 </w:t>
            </w:r>
          </w:p>
          <w:p w14:paraId="5C0AE5D1"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 </w:t>
            </w:r>
          </w:p>
        </w:tc>
        <w:tc>
          <w:tcPr>
            <w:tcW w:w="1440" w:type="dxa"/>
            <w:tcBorders>
              <w:top w:val="double" w:sz="4" w:space="0" w:color="auto"/>
              <w:left w:val="single" w:sz="8" w:space="0" w:color="auto"/>
              <w:bottom w:val="single" w:sz="4" w:space="0" w:color="auto"/>
              <w:right w:val="single" w:sz="8" w:space="0" w:color="auto"/>
            </w:tcBorders>
            <w:shd w:val="clear" w:color="auto" w:fill="EAF1DD" w:themeFill="accent3" w:themeFillTint="33"/>
            <w:vAlign w:val="center"/>
          </w:tcPr>
          <w:p w14:paraId="291F593F"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Blocks</w:t>
            </w:r>
          </w:p>
        </w:tc>
        <w:tc>
          <w:tcPr>
            <w:tcW w:w="1980" w:type="dxa"/>
            <w:tcBorders>
              <w:top w:val="double" w:sz="4" w:space="0" w:color="auto"/>
              <w:left w:val="single" w:sz="8" w:space="0" w:color="auto"/>
              <w:bottom w:val="single" w:sz="4" w:space="0" w:color="auto"/>
              <w:right w:val="single" w:sz="8" w:space="0" w:color="auto"/>
            </w:tcBorders>
            <w:shd w:val="clear" w:color="000000" w:fill="E2EFDA"/>
            <w:vAlign w:val="center"/>
            <w:hideMark/>
          </w:tcPr>
          <w:p w14:paraId="32AF82F4"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CETC Subsidy</w:t>
            </w:r>
          </w:p>
          <w:p w14:paraId="123FA5E8"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w:t>
            </w:r>
          </w:p>
        </w:tc>
        <w:tc>
          <w:tcPr>
            <w:tcW w:w="1875" w:type="dxa"/>
            <w:tcBorders>
              <w:top w:val="double" w:sz="4" w:space="0" w:color="auto"/>
              <w:left w:val="single" w:sz="8" w:space="0" w:color="auto"/>
              <w:bottom w:val="single" w:sz="4" w:space="0" w:color="auto"/>
              <w:right w:val="double" w:sz="4" w:space="0" w:color="auto"/>
            </w:tcBorders>
            <w:shd w:val="clear" w:color="000000" w:fill="E2EFDA"/>
            <w:vAlign w:val="center"/>
            <w:hideMark/>
          </w:tcPr>
          <w:p w14:paraId="2ECC71E6" w14:textId="4C94EB11"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sidDel="00B524E8">
              <w:rPr>
                <w:rFonts w:ascii="Times New Roman" w:eastAsia="Times New Roman" w:hAnsi="Times New Roman" w:cs="Times New Roman"/>
                <w:color w:val="000000"/>
                <w:sz w:val="22"/>
                <w:szCs w:val="22"/>
              </w:rPr>
              <w:t>M</w:t>
            </w:r>
            <w:r w:rsidRPr="008664AC">
              <w:rPr>
                <w:rFonts w:ascii="Times New Roman" w:eastAsia="Times New Roman" w:hAnsi="Times New Roman" w:cs="Times New Roman"/>
                <w:color w:val="000000"/>
                <w:sz w:val="22"/>
                <w:szCs w:val="22"/>
              </w:rPr>
              <w:t>MF-I Subsidy</w:t>
            </w:r>
          </w:p>
          <w:p w14:paraId="743A5C5E"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w:t>
            </w:r>
          </w:p>
        </w:tc>
      </w:tr>
      <w:tr w:rsidR="008664AC" w:rsidRPr="008664AC" w14:paraId="2D074452" w14:textId="77777777" w:rsidTr="00754FA9">
        <w:trPr>
          <w:trHeight w:val="900"/>
        </w:trPr>
        <w:tc>
          <w:tcPr>
            <w:tcW w:w="2505" w:type="dxa"/>
            <w:gridSpan w:val="2"/>
            <w:tcBorders>
              <w:top w:val="single" w:sz="4" w:space="0" w:color="auto"/>
              <w:left w:val="double" w:sz="4" w:space="0" w:color="auto"/>
              <w:bottom w:val="single" w:sz="4" w:space="0" w:color="auto"/>
              <w:right w:val="nil"/>
            </w:tcBorders>
            <w:shd w:val="clear" w:color="000000" w:fill="C6E0B4"/>
            <w:vAlign w:val="center"/>
            <w:hideMark/>
          </w:tcPr>
          <w:p w14:paraId="74471033" w14:textId="46AEDB5F" w:rsidR="008664AC" w:rsidRPr="008664AC" w:rsidRDefault="008664AC" w:rsidP="008664AC">
            <w:pPr>
              <w:spacing w:after="0" w:line="240" w:lineRule="auto"/>
              <w:rPr>
                <w:rFonts w:ascii="Times New Roman" w:eastAsia="Times New Roman" w:hAnsi="Times New Roman" w:cs="Times New Roman"/>
                <w:color w:val="000000"/>
                <w:sz w:val="22"/>
                <w:szCs w:val="22"/>
              </w:rPr>
            </w:pPr>
          </w:p>
        </w:tc>
        <w:tc>
          <w:tcPr>
            <w:tcW w:w="1530" w:type="dxa"/>
            <w:tcBorders>
              <w:top w:val="single" w:sz="4" w:space="0" w:color="auto"/>
              <w:left w:val="single" w:sz="8" w:space="0" w:color="auto"/>
              <w:bottom w:val="single" w:sz="4" w:space="0" w:color="auto"/>
              <w:right w:val="single" w:sz="8" w:space="0" w:color="auto"/>
            </w:tcBorders>
            <w:vAlign w:val="center"/>
          </w:tcPr>
          <w:p w14:paraId="6545660B"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p>
        </w:tc>
        <w:tc>
          <w:tcPr>
            <w:tcW w:w="1440" w:type="dxa"/>
            <w:tcBorders>
              <w:top w:val="single" w:sz="4" w:space="0" w:color="auto"/>
              <w:left w:val="single" w:sz="8" w:space="0" w:color="auto"/>
              <w:bottom w:val="single" w:sz="4" w:space="0" w:color="auto"/>
              <w:right w:val="single" w:sz="8" w:space="0" w:color="auto"/>
            </w:tcBorders>
            <w:vAlign w:val="center"/>
          </w:tcPr>
          <w:p w14:paraId="32689508"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10,592,327</w:t>
            </w:r>
          </w:p>
        </w:tc>
        <w:tc>
          <w:tcPr>
            <w:tcW w:w="198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12A0FFF"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469,733,143</w:t>
            </w:r>
          </w:p>
        </w:tc>
        <w:tc>
          <w:tcPr>
            <w:tcW w:w="1875" w:type="dxa"/>
            <w:tcBorders>
              <w:top w:val="single" w:sz="4" w:space="0" w:color="auto"/>
              <w:left w:val="single" w:sz="8" w:space="0" w:color="auto"/>
              <w:bottom w:val="single" w:sz="4" w:space="0" w:color="auto"/>
              <w:right w:val="double" w:sz="4" w:space="0" w:color="auto"/>
            </w:tcBorders>
            <w:shd w:val="clear" w:color="auto" w:fill="auto"/>
            <w:vAlign w:val="center"/>
            <w:hideMark/>
          </w:tcPr>
          <w:p w14:paraId="75B49D66"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254,617,864</w:t>
            </w:r>
          </w:p>
        </w:tc>
      </w:tr>
      <w:tr w:rsidR="008664AC" w:rsidRPr="008664AC" w14:paraId="33FC56DF" w14:textId="77777777" w:rsidTr="00754FA9">
        <w:trPr>
          <w:trHeight w:val="457"/>
        </w:trPr>
        <w:tc>
          <w:tcPr>
            <w:tcW w:w="2505" w:type="dxa"/>
            <w:gridSpan w:val="2"/>
            <w:vMerge w:val="restart"/>
            <w:tcBorders>
              <w:top w:val="single" w:sz="4" w:space="0" w:color="auto"/>
              <w:left w:val="double" w:sz="4" w:space="0" w:color="auto"/>
              <w:bottom w:val="single" w:sz="4" w:space="0" w:color="auto"/>
              <w:right w:val="single" w:sz="4" w:space="0" w:color="auto"/>
            </w:tcBorders>
            <w:shd w:val="clear" w:color="auto" w:fill="D6E3BC" w:themeFill="accent3" w:themeFillTint="66"/>
            <w:vAlign w:val="center"/>
          </w:tcPr>
          <w:p w14:paraId="0AD4D7C8" w14:textId="77777777" w:rsidR="008664AC" w:rsidRPr="008664AC" w:rsidRDefault="008664AC" w:rsidP="008664AC">
            <w:pPr>
              <w:spacing w:after="0" w:line="240" w:lineRule="auto"/>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Blocks with 100% LTE Coverage Provided by One or More Unsubsidized LTE Providers</w:t>
            </w:r>
          </w:p>
        </w:tc>
        <w:tc>
          <w:tcPr>
            <w:tcW w:w="1530" w:type="dxa"/>
            <w:vMerge w:val="restart"/>
            <w:tcBorders>
              <w:top w:val="single" w:sz="4" w:space="0" w:color="auto"/>
              <w:left w:val="single" w:sz="4" w:space="0" w:color="auto"/>
              <w:bottom w:val="single" w:sz="4" w:space="0" w:color="auto"/>
              <w:right w:val="single" w:sz="8" w:space="0" w:color="auto"/>
            </w:tcBorders>
            <w:vAlign w:val="center"/>
          </w:tcPr>
          <w:p w14:paraId="2266CCE7"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p>
        </w:tc>
        <w:tc>
          <w:tcPr>
            <w:tcW w:w="1440" w:type="dxa"/>
            <w:tcBorders>
              <w:top w:val="single" w:sz="4" w:space="0" w:color="auto"/>
              <w:left w:val="single" w:sz="4" w:space="0" w:color="auto"/>
              <w:bottom w:val="dashSmallGap" w:sz="4" w:space="0" w:color="auto"/>
              <w:right w:val="single" w:sz="8" w:space="0" w:color="auto"/>
            </w:tcBorders>
            <w:vAlign w:val="center"/>
          </w:tcPr>
          <w:p w14:paraId="5CCF8B10"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9,797, 196</w:t>
            </w:r>
          </w:p>
        </w:tc>
        <w:tc>
          <w:tcPr>
            <w:tcW w:w="1980" w:type="dxa"/>
            <w:tcBorders>
              <w:top w:val="single" w:sz="4" w:space="0" w:color="auto"/>
              <w:left w:val="nil"/>
              <w:right w:val="single" w:sz="8" w:space="0" w:color="auto"/>
            </w:tcBorders>
            <w:shd w:val="clear" w:color="auto" w:fill="auto"/>
            <w:noWrap/>
            <w:vAlign w:val="center"/>
          </w:tcPr>
          <w:p w14:paraId="2116DA27"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p>
        </w:tc>
        <w:tc>
          <w:tcPr>
            <w:tcW w:w="1875" w:type="dxa"/>
            <w:tcBorders>
              <w:top w:val="single" w:sz="4" w:space="0" w:color="auto"/>
              <w:left w:val="nil"/>
              <w:bottom w:val="dashSmallGap" w:sz="4" w:space="0" w:color="auto"/>
              <w:right w:val="double" w:sz="4" w:space="0" w:color="auto"/>
            </w:tcBorders>
            <w:shd w:val="clear" w:color="auto" w:fill="auto"/>
            <w:noWrap/>
            <w:vAlign w:val="center"/>
          </w:tcPr>
          <w:p w14:paraId="04BBCEE2"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49,519,560</w:t>
            </w:r>
          </w:p>
        </w:tc>
      </w:tr>
      <w:tr w:rsidR="008664AC" w:rsidRPr="008664AC" w14:paraId="6310637A" w14:textId="77777777" w:rsidTr="00754FA9">
        <w:trPr>
          <w:trHeight w:val="440"/>
        </w:trPr>
        <w:tc>
          <w:tcPr>
            <w:tcW w:w="2505" w:type="dxa"/>
            <w:gridSpan w:val="2"/>
            <w:vMerge/>
            <w:tcBorders>
              <w:top w:val="single" w:sz="4" w:space="0" w:color="auto"/>
              <w:left w:val="double" w:sz="4" w:space="0" w:color="auto"/>
              <w:bottom w:val="single" w:sz="4" w:space="0" w:color="auto"/>
              <w:right w:val="single" w:sz="4" w:space="0" w:color="auto"/>
            </w:tcBorders>
            <w:shd w:val="clear" w:color="auto" w:fill="D6E3BC" w:themeFill="accent3" w:themeFillTint="66"/>
            <w:vAlign w:val="center"/>
          </w:tcPr>
          <w:p w14:paraId="729D6746" w14:textId="77777777" w:rsidR="008664AC" w:rsidRPr="008664AC" w:rsidRDefault="008664AC" w:rsidP="008664AC">
            <w:pPr>
              <w:spacing w:after="0" w:line="240" w:lineRule="auto"/>
              <w:rPr>
                <w:rFonts w:ascii="Times New Roman" w:eastAsia="Times New Roman" w:hAnsi="Times New Roman" w:cs="Times New Roman"/>
                <w:color w:val="000000"/>
                <w:sz w:val="22"/>
                <w:szCs w:val="22"/>
              </w:rPr>
            </w:pPr>
          </w:p>
        </w:tc>
        <w:tc>
          <w:tcPr>
            <w:tcW w:w="1530" w:type="dxa"/>
            <w:vMerge/>
            <w:tcBorders>
              <w:top w:val="single" w:sz="4" w:space="0" w:color="auto"/>
              <w:left w:val="single" w:sz="4" w:space="0" w:color="auto"/>
              <w:bottom w:val="single" w:sz="4" w:space="0" w:color="auto"/>
              <w:right w:val="single" w:sz="8" w:space="0" w:color="auto"/>
            </w:tcBorders>
          </w:tcPr>
          <w:p w14:paraId="1B8FE676"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p>
        </w:tc>
        <w:tc>
          <w:tcPr>
            <w:tcW w:w="1440" w:type="dxa"/>
            <w:tcBorders>
              <w:top w:val="dashSmallGap" w:sz="4" w:space="0" w:color="auto"/>
              <w:left w:val="single" w:sz="4" w:space="0" w:color="auto"/>
              <w:bottom w:val="single" w:sz="4" w:space="0" w:color="auto"/>
              <w:right w:val="single" w:sz="8" w:space="0" w:color="auto"/>
            </w:tcBorders>
          </w:tcPr>
          <w:p w14:paraId="7A89046C"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92.49%</w:t>
            </w:r>
          </w:p>
        </w:tc>
        <w:tc>
          <w:tcPr>
            <w:tcW w:w="1980" w:type="dxa"/>
            <w:tcBorders>
              <w:left w:val="nil"/>
              <w:bottom w:val="single" w:sz="4" w:space="0" w:color="auto"/>
              <w:right w:val="single" w:sz="8" w:space="0" w:color="auto"/>
            </w:tcBorders>
            <w:shd w:val="clear" w:color="auto" w:fill="auto"/>
            <w:noWrap/>
            <w:vAlign w:val="center"/>
          </w:tcPr>
          <w:p w14:paraId="757B8EFA"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p>
        </w:tc>
        <w:tc>
          <w:tcPr>
            <w:tcW w:w="1875" w:type="dxa"/>
            <w:tcBorders>
              <w:top w:val="dashSmallGap" w:sz="4" w:space="0" w:color="auto"/>
              <w:left w:val="nil"/>
              <w:bottom w:val="single" w:sz="4" w:space="0" w:color="auto"/>
              <w:right w:val="double" w:sz="4" w:space="0" w:color="auto"/>
            </w:tcBorders>
            <w:shd w:val="clear" w:color="auto" w:fill="auto"/>
            <w:noWrap/>
            <w:vAlign w:val="center"/>
          </w:tcPr>
          <w:p w14:paraId="202914D1"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19.44%</w:t>
            </w:r>
          </w:p>
        </w:tc>
      </w:tr>
      <w:tr w:rsidR="008664AC" w:rsidRPr="008664AC" w14:paraId="3CBC0D2C" w14:textId="77777777" w:rsidTr="00754FA9">
        <w:trPr>
          <w:trHeight w:val="448"/>
        </w:trPr>
        <w:tc>
          <w:tcPr>
            <w:tcW w:w="795" w:type="dxa"/>
            <w:vMerge w:val="restart"/>
            <w:tcBorders>
              <w:top w:val="single" w:sz="4" w:space="0" w:color="auto"/>
              <w:right w:val="single" w:sz="4" w:space="0" w:color="auto"/>
            </w:tcBorders>
            <w:shd w:val="clear" w:color="auto" w:fill="auto"/>
            <w:vAlign w:val="center"/>
          </w:tcPr>
          <w:p w14:paraId="06C51917" w14:textId="77777777" w:rsidR="008664AC" w:rsidRPr="008664AC" w:rsidRDefault="008664AC" w:rsidP="008664AC">
            <w:pPr>
              <w:spacing w:after="0" w:line="240" w:lineRule="auto"/>
              <w:rPr>
                <w:rFonts w:ascii="Times New Roman" w:eastAsia="Times New Roman" w:hAnsi="Times New Roman" w:cs="Times New Roman"/>
                <w:color w:val="000000"/>
                <w:sz w:val="22"/>
                <w:szCs w:val="22"/>
              </w:rPr>
            </w:pPr>
          </w:p>
        </w:tc>
        <w:tc>
          <w:tcPr>
            <w:tcW w:w="1710" w:type="dxa"/>
            <w:vMerge w:val="restart"/>
            <w:tcBorders>
              <w:top w:val="single" w:sz="4" w:space="0" w:color="auto"/>
              <w:left w:val="double" w:sz="4" w:space="0" w:color="auto"/>
              <w:bottom w:val="double" w:sz="4" w:space="0" w:color="auto"/>
              <w:right w:val="single" w:sz="4" w:space="0" w:color="auto"/>
            </w:tcBorders>
            <w:shd w:val="clear" w:color="auto" w:fill="auto"/>
            <w:vAlign w:val="center"/>
          </w:tcPr>
          <w:p w14:paraId="52602BB2" w14:textId="77777777" w:rsidR="008664AC" w:rsidRPr="008664AC" w:rsidRDefault="008664AC" w:rsidP="008664AC">
            <w:pPr>
              <w:spacing w:after="0" w:line="240" w:lineRule="auto"/>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CETC Subsidy Allocation Method</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79292D"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By Population</w:t>
            </w:r>
          </w:p>
        </w:tc>
        <w:tc>
          <w:tcPr>
            <w:tcW w:w="1440" w:type="dxa"/>
            <w:vMerge w:val="restart"/>
            <w:tcBorders>
              <w:top w:val="single" w:sz="4" w:space="0" w:color="auto"/>
              <w:left w:val="single" w:sz="4" w:space="0" w:color="auto"/>
              <w:bottom w:val="single" w:sz="4" w:space="0" w:color="auto"/>
              <w:right w:val="single" w:sz="8" w:space="0" w:color="auto"/>
            </w:tcBorders>
            <w:shd w:val="clear" w:color="auto" w:fill="auto"/>
            <w:noWrap/>
            <w:vAlign w:val="center"/>
          </w:tcPr>
          <w:p w14:paraId="192D7133"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p>
        </w:tc>
        <w:tc>
          <w:tcPr>
            <w:tcW w:w="1980" w:type="dxa"/>
            <w:tcBorders>
              <w:top w:val="single" w:sz="4" w:space="0" w:color="auto"/>
              <w:left w:val="nil"/>
              <w:bottom w:val="dashSmallGap" w:sz="4" w:space="0" w:color="auto"/>
              <w:right w:val="single" w:sz="8" w:space="0" w:color="auto"/>
            </w:tcBorders>
            <w:shd w:val="clear" w:color="auto" w:fill="auto"/>
            <w:vAlign w:val="center"/>
          </w:tcPr>
          <w:p w14:paraId="7F5C80CC" w14:textId="77777777" w:rsidR="008664AC" w:rsidRPr="008664AC" w:rsidRDefault="008664AC" w:rsidP="008664AC">
            <w:pPr>
              <w:spacing w:after="0" w:line="240" w:lineRule="auto"/>
              <w:jc w:val="center"/>
              <w:rPr>
                <w:rFonts w:ascii="Times New Roman" w:eastAsia="Times New Roman" w:hAnsi="Times New Roman" w:cs="Times New Roman"/>
                <w:color w:val="000000"/>
              </w:rPr>
            </w:pPr>
            <w:r w:rsidRPr="008664AC">
              <w:rPr>
                <w:rFonts w:ascii="Times New Roman" w:eastAsia="Times New Roman" w:hAnsi="Times New Roman" w:cs="Times New Roman"/>
                <w:color w:val="000000"/>
                <w:sz w:val="22"/>
                <w:szCs w:val="22"/>
              </w:rPr>
              <w:t>416,478,939</w:t>
            </w:r>
          </w:p>
        </w:tc>
        <w:tc>
          <w:tcPr>
            <w:tcW w:w="1875" w:type="dxa"/>
            <w:tcBorders>
              <w:top w:val="single" w:sz="4" w:space="0" w:color="auto"/>
              <w:left w:val="nil"/>
              <w:right w:val="double" w:sz="4" w:space="0" w:color="auto"/>
            </w:tcBorders>
            <w:shd w:val="clear" w:color="auto" w:fill="auto"/>
            <w:vAlign w:val="center"/>
          </w:tcPr>
          <w:p w14:paraId="1AC6190F"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p>
        </w:tc>
      </w:tr>
      <w:tr w:rsidR="008664AC" w:rsidRPr="008664AC" w14:paraId="3BDEA95B" w14:textId="77777777" w:rsidTr="00754FA9">
        <w:trPr>
          <w:trHeight w:val="413"/>
        </w:trPr>
        <w:tc>
          <w:tcPr>
            <w:tcW w:w="795" w:type="dxa"/>
            <w:vMerge/>
            <w:tcBorders>
              <w:right w:val="single" w:sz="4" w:space="0" w:color="auto"/>
            </w:tcBorders>
            <w:shd w:val="clear" w:color="auto" w:fill="auto"/>
            <w:vAlign w:val="center"/>
            <w:hideMark/>
          </w:tcPr>
          <w:p w14:paraId="155217B8" w14:textId="77777777" w:rsidR="008664AC" w:rsidRPr="008664AC" w:rsidRDefault="008664AC" w:rsidP="008664AC">
            <w:pPr>
              <w:spacing w:after="0" w:line="240" w:lineRule="auto"/>
              <w:rPr>
                <w:rFonts w:ascii="Times New Roman" w:eastAsia="Times New Roman" w:hAnsi="Times New Roman" w:cs="Times New Roman"/>
                <w:color w:val="000000"/>
                <w:sz w:val="22"/>
                <w:szCs w:val="22"/>
              </w:rPr>
            </w:pPr>
          </w:p>
        </w:tc>
        <w:tc>
          <w:tcPr>
            <w:tcW w:w="1710" w:type="dxa"/>
            <w:vMerge/>
            <w:tcBorders>
              <w:top w:val="double" w:sz="4" w:space="0" w:color="auto"/>
              <w:left w:val="double" w:sz="4" w:space="0" w:color="auto"/>
              <w:bottom w:val="double" w:sz="4" w:space="0" w:color="auto"/>
              <w:right w:val="single" w:sz="4" w:space="0" w:color="auto"/>
            </w:tcBorders>
            <w:shd w:val="clear" w:color="auto" w:fill="auto"/>
            <w:vAlign w:val="center"/>
          </w:tcPr>
          <w:p w14:paraId="0964B34E" w14:textId="77777777" w:rsidR="008664AC" w:rsidRPr="008664AC" w:rsidRDefault="008664AC" w:rsidP="008664AC">
            <w:pPr>
              <w:spacing w:after="0" w:line="240" w:lineRule="auto"/>
              <w:rPr>
                <w:rFonts w:ascii="Times New Roman" w:eastAsia="Times New Roman" w:hAnsi="Times New Roman" w:cs="Times New Roman"/>
                <w:color w:val="000000"/>
                <w:sz w:val="22"/>
                <w:szCs w:val="22"/>
              </w:rPr>
            </w:pPr>
          </w:p>
        </w:tc>
        <w:tc>
          <w:tcPr>
            <w:tcW w:w="15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3F796B"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p>
        </w:tc>
        <w:tc>
          <w:tcPr>
            <w:tcW w:w="1440" w:type="dxa"/>
            <w:vMerge/>
            <w:tcBorders>
              <w:top w:val="single" w:sz="4" w:space="0" w:color="auto"/>
              <w:left w:val="single" w:sz="4" w:space="0" w:color="auto"/>
              <w:bottom w:val="single" w:sz="4" w:space="0" w:color="auto"/>
              <w:right w:val="single" w:sz="8" w:space="0" w:color="auto"/>
            </w:tcBorders>
            <w:shd w:val="clear" w:color="auto" w:fill="auto"/>
            <w:noWrap/>
            <w:vAlign w:val="center"/>
          </w:tcPr>
          <w:p w14:paraId="59220604"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p>
        </w:tc>
        <w:tc>
          <w:tcPr>
            <w:tcW w:w="1980" w:type="dxa"/>
            <w:tcBorders>
              <w:top w:val="dashSmallGap" w:sz="4" w:space="0" w:color="auto"/>
              <w:left w:val="nil"/>
              <w:bottom w:val="single" w:sz="4" w:space="0" w:color="auto"/>
              <w:right w:val="single" w:sz="8" w:space="0" w:color="auto"/>
            </w:tcBorders>
            <w:shd w:val="clear" w:color="auto" w:fill="auto"/>
            <w:noWrap/>
            <w:vAlign w:val="center"/>
          </w:tcPr>
          <w:p w14:paraId="094DA2F2"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88.66%</w:t>
            </w:r>
          </w:p>
        </w:tc>
        <w:tc>
          <w:tcPr>
            <w:tcW w:w="1875" w:type="dxa"/>
            <w:tcBorders>
              <w:left w:val="nil"/>
              <w:bottom w:val="single" w:sz="4" w:space="0" w:color="auto"/>
              <w:right w:val="double" w:sz="4" w:space="0" w:color="auto"/>
            </w:tcBorders>
            <w:shd w:val="clear" w:color="auto" w:fill="auto"/>
            <w:noWrap/>
            <w:vAlign w:val="center"/>
          </w:tcPr>
          <w:p w14:paraId="0270C914"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p>
        </w:tc>
      </w:tr>
      <w:tr w:rsidR="008664AC" w:rsidRPr="008664AC" w14:paraId="51C96D08" w14:textId="77777777" w:rsidTr="00754FA9">
        <w:trPr>
          <w:trHeight w:val="412"/>
        </w:trPr>
        <w:tc>
          <w:tcPr>
            <w:tcW w:w="795" w:type="dxa"/>
            <w:vMerge/>
            <w:tcBorders>
              <w:right w:val="single" w:sz="4" w:space="0" w:color="auto"/>
            </w:tcBorders>
            <w:shd w:val="clear" w:color="auto" w:fill="auto"/>
            <w:vAlign w:val="center"/>
          </w:tcPr>
          <w:p w14:paraId="6813DE87" w14:textId="77777777" w:rsidR="008664AC" w:rsidRPr="008664AC" w:rsidRDefault="008664AC" w:rsidP="008664AC">
            <w:pPr>
              <w:spacing w:after="0" w:line="240" w:lineRule="auto"/>
              <w:rPr>
                <w:rFonts w:ascii="Times New Roman" w:eastAsia="Times New Roman" w:hAnsi="Times New Roman" w:cs="Times New Roman"/>
                <w:color w:val="000000"/>
                <w:sz w:val="22"/>
                <w:szCs w:val="22"/>
              </w:rPr>
            </w:pPr>
          </w:p>
        </w:tc>
        <w:tc>
          <w:tcPr>
            <w:tcW w:w="1710" w:type="dxa"/>
            <w:vMerge/>
            <w:tcBorders>
              <w:top w:val="double" w:sz="4" w:space="0" w:color="auto"/>
              <w:left w:val="double" w:sz="4" w:space="0" w:color="auto"/>
              <w:bottom w:val="double" w:sz="4" w:space="0" w:color="auto"/>
              <w:right w:val="single" w:sz="4" w:space="0" w:color="auto"/>
            </w:tcBorders>
            <w:shd w:val="clear" w:color="auto" w:fill="auto"/>
            <w:vAlign w:val="center"/>
          </w:tcPr>
          <w:p w14:paraId="5D4CC30C" w14:textId="77777777" w:rsidR="008664AC" w:rsidRPr="008664AC" w:rsidRDefault="008664AC" w:rsidP="008664AC">
            <w:pPr>
              <w:spacing w:after="0" w:line="240" w:lineRule="auto"/>
              <w:rPr>
                <w:rFonts w:ascii="Times New Roman" w:eastAsia="Times New Roman" w:hAnsi="Times New Roman" w:cs="Times New Roman"/>
                <w:color w:val="000000"/>
                <w:sz w:val="22"/>
                <w:szCs w:val="22"/>
              </w:rPr>
            </w:pP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E393AD"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By Road Miles</w:t>
            </w:r>
          </w:p>
        </w:tc>
        <w:tc>
          <w:tcPr>
            <w:tcW w:w="1440" w:type="dxa"/>
            <w:vMerge w:val="restart"/>
            <w:tcBorders>
              <w:top w:val="single" w:sz="4" w:space="0" w:color="auto"/>
              <w:left w:val="single" w:sz="4" w:space="0" w:color="auto"/>
              <w:bottom w:val="single" w:sz="4" w:space="0" w:color="auto"/>
              <w:right w:val="single" w:sz="8" w:space="0" w:color="auto"/>
            </w:tcBorders>
            <w:shd w:val="clear" w:color="auto" w:fill="auto"/>
            <w:noWrap/>
            <w:vAlign w:val="center"/>
          </w:tcPr>
          <w:p w14:paraId="09A53868"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p>
        </w:tc>
        <w:tc>
          <w:tcPr>
            <w:tcW w:w="1980" w:type="dxa"/>
            <w:tcBorders>
              <w:top w:val="single" w:sz="4" w:space="0" w:color="auto"/>
              <w:left w:val="nil"/>
              <w:bottom w:val="dashSmallGap" w:sz="4" w:space="0" w:color="auto"/>
              <w:right w:val="single" w:sz="8" w:space="0" w:color="auto"/>
            </w:tcBorders>
            <w:shd w:val="clear" w:color="auto" w:fill="auto"/>
            <w:vAlign w:val="center"/>
          </w:tcPr>
          <w:p w14:paraId="2271981E"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346,046,931</w:t>
            </w:r>
          </w:p>
        </w:tc>
        <w:tc>
          <w:tcPr>
            <w:tcW w:w="1875" w:type="dxa"/>
            <w:tcBorders>
              <w:top w:val="single" w:sz="4" w:space="0" w:color="auto"/>
              <w:left w:val="nil"/>
              <w:right w:val="double" w:sz="4" w:space="0" w:color="auto"/>
            </w:tcBorders>
            <w:shd w:val="clear" w:color="auto" w:fill="auto"/>
            <w:vAlign w:val="center"/>
          </w:tcPr>
          <w:p w14:paraId="7AE5826C"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p>
        </w:tc>
      </w:tr>
      <w:tr w:rsidR="008664AC" w:rsidRPr="008664AC" w14:paraId="6D04900E" w14:textId="77777777" w:rsidTr="00754FA9">
        <w:trPr>
          <w:trHeight w:val="458"/>
        </w:trPr>
        <w:tc>
          <w:tcPr>
            <w:tcW w:w="795" w:type="dxa"/>
            <w:vMerge/>
            <w:tcBorders>
              <w:right w:val="single" w:sz="4" w:space="0" w:color="auto"/>
            </w:tcBorders>
            <w:shd w:val="clear" w:color="auto" w:fill="auto"/>
            <w:vAlign w:val="center"/>
            <w:hideMark/>
          </w:tcPr>
          <w:p w14:paraId="3768B93A" w14:textId="77777777" w:rsidR="008664AC" w:rsidRPr="008664AC" w:rsidRDefault="008664AC" w:rsidP="008664AC">
            <w:pPr>
              <w:spacing w:after="0" w:line="240" w:lineRule="auto"/>
              <w:rPr>
                <w:rFonts w:ascii="Times New Roman" w:eastAsia="Times New Roman" w:hAnsi="Times New Roman" w:cs="Times New Roman"/>
                <w:color w:val="000000"/>
                <w:sz w:val="22"/>
                <w:szCs w:val="22"/>
              </w:rPr>
            </w:pPr>
          </w:p>
        </w:tc>
        <w:tc>
          <w:tcPr>
            <w:tcW w:w="1710" w:type="dxa"/>
            <w:vMerge/>
            <w:tcBorders>
              <w:top w:val="double" w:sz="4" w:space="0" w:color="auto"/>
              <w:left w:val="double" w:sz="4" w:space="0" w:color="auto"/>
              <w:bottom w:val="double" w:sz="4" w:space="0" w:color="auto"/>
              <w:right w:val="single" w:sz="4" w:space="0" w:color="auto"/>
            </w:tcBorders>
            <w:shd w:val="clear" w:color="auto" w:fill="auto"/>
            <w:vAlign w:val="center"/>
          </w:tcPr>
          <w:p w14:paraId="4796C06F" w14:textId="77777777" w:rsidR="008664AC" w:rsidRPr="008664AC" w:rsidRDefault="008664AC" w:rsidP="008664AC">
            <w:pPr>
              <w:spacing w:after="0" w:line="240" w:lineRule="auto"/>
              <w:rPr>
                <w:rFonts w:ascii="Times New Roman" w:eastAsia="Times New Roman" w:hAnsi="Times New Roman" w:cs="Times New Roman"/>
                <w:color w:val="000000"/>
                <w:sz w:val="22"/>
                <w:szCs w:val="22"/>
              </w:rPr>
            </w:pPr>
          </w:p>
        </w:tc>
        <w:tc>
          <w:tcPr>
            <w:tcW w:w="15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613E68"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p>
        </w:tc>
        <w:tc>
          <w:tcPr>
            <w:tcW w:w="1440" w:type="dxa"/>
            <w:vMerge/>
            <w:tcBorders>
              <w:top w:val="single" w:sz="4" w:space="0" w:color="auto"/>
              <w:left w:val="single" w:sz="4" w:space="0" w:color="auto"/>
              <w:bottom w:val="single" w:sz="4" w:space="0" w:color="auto"/>
              <w:right w:val="single" w:sz="8" w:space="0" w:color="auto"/>
            </w:tcBorders>
            <w:shd w:val="clear" w:color="auto" w:fill="auto"/>
            <w:noWrap/>
            <w:vAlign w:val="center"/>
          </w:tcPr>
          <w:p w14:paraId="16A4250D"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p>
        </w:tc>
        <w:tc>
          <w:tcPr>
            <w:tcW w:w="1980" w:type="dxa"/>
            <w:tcBorders>
              <w:top w:val="dashSmallGap" w:sz="4" w:space="0" w:color="auto"/>
              <w:left w:val="nil"/>
              <w:bottom w:val="single" w:sz="4" w:space="0" w:color="auto"/>
              <w:right w:val="single" w:sz="8" w:space="0" w:color="auto"/>
            </w:tcBorders>
            <w:shd w:val="clear" w:color="auto" w:fill="auto"/>
            <w:noWrap/>
            <w:vAlign w:val="center"/>
          </w:tcPr>
          <w:p w14:paraId="322E3492"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73.67%</w:t>
            </w:r>
          </w:p>
        </w:tc>
        <w:tc>
          <w:tcPr>
            <w:tcW w:w="1875" w:type="dxa"/>
            <w:tcBorders>
              <w:left w:val="nil"/>
              <w:bottom w:val="single" w:sz="4" w:space="0" w:color="auto"/>
              <w:right w:val="double" w:sz="4" w:space="0" w:color="auto"/>
            </w:tcBorders>
            <w:shd w:val="clear" w:color="auto" w:fill="auto"/>
            <w:noWrap/>
            <w:vAlign w:val="center"/>
          </w:tcPr>
          <w:p w14:paraId="31A39E81"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p>
        </w:tc>
      </w:tr>
      <w:tr w:rsidR="008664AC" w:rsidRPr="008664AC" w14:paraId="35680AF1" w14:textId="77777777" w:rsidTr="00754FA9">
        <w:trPr>
          <w:trHeight w:val="340"/>
        </w:trPr>
        <w:tc>
          <w:tcPr>
            <w:tcW w:w="795" w:type="dxa"/>
            <w:vMerge/>
            <w:tcBorders>
              <w:right w:val="single" w:sz="4" w:space="0" w:color="auto"/>
            </w:tcBorders>
            <w:shd w:val="clear" w:color="auto" w:fill="auto"/>
            <w:vAlign w:val="center"/>
          </w:tcPr>
          <w:p w14:paraId="63175714" w14:textId="77777777" w:rsidR="008664AC" w:rsidRPr="008664AC" w:rsidRDefault="008664AC" w:rsidP="008664AC">
            <w:pPr>
              <w:spacing w:after="0" w:line="240" w:lineRule="auto"/>
              <w:rPr>
                <w:rFonts w:ascii="Times New Roman" w:eastAsia="Times New Roman" w:hAnsi="Times New Roman" w:cs="Times New Roman"/>
                <w:color w:val="000000"/>
                <w:sz w:val="22"/>
                <w:szCs w:val="22"/>
              </w:rPr>
            </w:pPr>
          </w:p>
        </w:tc>
        <w:tc>
          <w:tcPr>
            <w:tcW w:w="1710" w:type="dxa"/>
            <w:vMerge/>
            <w:tcBorders>
              <w:top w:val="double" w:sz="4" w:space="0" w:color="auto"/>
              <w:left w:val="double" w:sz="4" w:space="0" w:color="auto"/>
              <w:bottom w:val="double" w:sz="4" w:space="0" w:color="auto"/>
              <w:right w:val="single" w:sz="4" w:space="0" w:color="auto"/>
            </w:tcBorders>
            <w:shd w:val="clear" w:color="auto" w:fill="auto"/>
            <w:vAlign w:val="center"/>
          </w:tcPr>
          <w:p w14:paraId="11748CFC" w14:textId="77777777" w:rsidR="008664AC" w:rsidRPr="008664AC" w:rsidRDefault="008664AC" w:rsidP="008664AC">
            <w:pPr>
              <w:spacing w:after="0" w:line="240" w:lineRule="auto"/>
              <w:rPr>
                <w:rFonts w:ascii="Times New Roman" w:eastAsia="Times New Roman" w:hAnsi="Times New Roman" w:cs="Times New Roman"/>
                <w:color w:val="000000"/>
                <w:sz w:val="22"/>
                <w:szCs w:val="22"/>
              </w:rPr>
            </w:pP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F51568B"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By Area</w:t>
            </w:r>
          </w:p>
        </w:tc>
        <w:tc>
          <w:tcPr>
            <w:tcW w:w="1440" w:type="dxa"/>
            <w:vMerge w:val="restart"/>
            <w:tcBorders>
              <w:top w:val="single" w:sz="4" w:space="0" w:color="auto"/>
              <w:left w:val="single" w:sz="4" w:space="0" w:color="auto"/>
              <w:bottom w:val="single" w:sz="4" w:space="0" w:color="auto"/>
              <w:right w:val="single" w:sz="8" w:space="0" w:color="auto"/>
            </w:tcBorders>
            <w:shd w:val="clear" w:color="auto" w:fill="auto"/>
            <w:noWrap/>
            <w:vAlign w:val="center"/>
          </w:tcPr>
          <w:p w14:paraId="2E71F8C6"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p>
        </w:tc>
        <w:tc>
          <w:tcPr>
            <w:tcW w:w="1980" w:type="dxa"/>
            <w:tcBorders>
              <w:top w:val="single" w:sz="4" w:space="0" w:color="auto"/>
              <w:left w:val="nil"/>
              <w:bottom w:val="dashSmallGap" w:sz="4" w:space="0" w:color="auto"/>
              <w:right w:val="single" w:sz="8" w:space="0" w:color="auto"/>
            </w:tcBorders>
            <w:shd w:val="clear" w:color="auto" w:fill="auto"/>
            <w:noWrap/>
            <w:vAlign w:val="center"/>
          </w:tcPr>
          <w:p w14:paraId="65619B72"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302,162,750</w:t>
            </w:r>
          </w:p>
        </w:tc>
        <w:tc>
          <w:tcPr>
            <w:tcW w:w="1875" w:type="dxa"/>
            <w:tcBorders>
              <w:top w:val="single" w:sz="4" w:space="0" w:color="auto"/>
              <w:left w:val="nil"/>
              <w:right w:val="double" w:sz="4" w:space="0" w:color="auto"/>
            </w:tcBorders>
            <w:shd w:val="clear" w:color="auto" w:fill="auto"/>
            <w:noWrap/>
            <w:vAlign w:val="center"/>
          </w:tcPr>
          <w:p w14:paraId="6C95443F"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p>
        </w:tc>
      </w:tr>
      <w:tr w:rsidR="008664AC" w:rsidRPr="008664AC" w14:paraId="4BCBD21F" w14:textId="77777777" w:rsidTr="00754FA9">
        <w:trPr>
          <w:trHeight w:val="465"/>
        </w:trPr>
        <w:tc>
          <w:tcPr>
            <w:tcW w:w="795" w:type="dxa"/>
            <w:vMerge/>
            <w:tcBorders>
              <w:right w:val="single" w:sz="4" w:space="0" w:color="auto"/>
            </w:tcBorders>
            <w:shd w:val="clear" w:color="auto" w:fill="auto"/>
            <w:vAlign w:val="center"/>
          </w:tcPr>
          <w:p w14:paraId="7378824F"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p>
        </w:tc>
        <w:tc>
          <w:tcPr>
            <w:tcW w:w="1710" w:type="dxa"/>
            <w:vMerge/>
            <w:tcBorders>
              <w:top w:val="double" w:sz="4" w:space="0" w:color="auto"/>
              <w:left w:val="double" w:sz="4" w:space="0" w:color="auto"/>
              <w:bottom w:val="double" w:sz="4" w:space="0" w:color="auto"/>
              <w:right w:val="single" w:sz="4" w:space="0" w:color="auto"/>
            </w:tcBorders>
            <w:shd w:val="clear" w:color="auto" w:fill="auto"/>
            <w:vAlign w:val="center"/>
          </w:tcPr>
          <w:p w14:paraId="712C0AD4"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p>
        </w:tc>
        <w:tc>
          <w:tcPr>
            <w:tcW w:w="1530" w:type="dxa"/>
            <w:vMerge/>
            <w:tcBorders>
              <w:top w:val="single" w:sz="4" w:space="0" w:color="auto"/>
              <w:left w:val="single" w:sz="4" w:space="0" w:color="auto"/>
              <w:bottom w:val="double" w:sz="4" w:space="0" w:color="auto"/>
              <w:right w:val="single" w:sz="4" w:space="0" w:color="auto"/>
            </w:tcBorders>
            <w:shd w:val="clear" w:color="auto" w:fill="auto"/>
            <w:vAlign w:val="center"/>
          </w:tcPr>
          <w:p w14:paraId="41A86A37"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p>
        </w:tc>
        <w:tc>
          <w:tcPr>
            <w:tcW w:w="1440" w:type="dxa"/>
            <w:vMerge/>
            <w:tcBorders>
              <w:top w:val="single" w:sz="4" w:space="0" w:color="auto"/>
              <w:left w:val="single" w:sz="4" w:space="0" w:color="auto"/>
              <w:bottom w:val="double" w:sz="4" w:space="0" w:color="auto"/>
              <w:right w:val="single" w:sz="8" w:space="0" w:color="auto"/>
            </w:tcBorders>
            <w:shd w:val="clear" w:color="auto" w:fill="auto"/>
            <w:noWrap/>
            <w:vAlign w:val="center"/>
          </w:tcPr>
          <w:p w14:paraId="74FF9BEA"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p>
        </w:tc>
        <w:tc>
          <w:tcPr>
            <w:tcW w:w="1980" w:type="dxa"/>
            <w:tcBorders>
              <w:top w:val="dashSmallGap" w:sz="4" w:space="0" w:color="auto"/>
              <w:left w:val="nil"/>
              <w:bottom w:val="double" w:sz="4" w:space="0" w:color="auto"/>
              <w:right w:val="single" w:sz="8" w:space="0" w:color="auto"/>
            </w:tcBorders>
            <w:shd w:val="clear" w:color="auto" w:fill="auto"/>
            <w:noWrap/>
            <w:vAlign w:val="center"/>
          </w:tcPr>
          <w:p w14:paraId="0D0D5B58"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64.33%</w:t>
            </w:r>
          </w:p>
        </w:tc>
        <w:tc>
          <w:tcPr>
            <w:tcW w:w="1875" w:type="dxa"/>
            <w:tcBorders>
              <w:left w:val="nil"/>
              <w:bottom w:val="double" w:sz="4" w:space="0" w:color="auto"/>
              <w:right w:val="double" w:sz="4" w:space="0" w:color="auto"/>
            </w:tcBorders>
            <w:shd w:val="clear" w:color="auto" w:fill="auto"/>
            <w:noWrap/>
            <w:vAlign w:val="center"/>
          </w:tcPr>
          <w:p w14:paraId="5475F1D8" w14:textId="77777777" w:rsidR="008664AC" w:rsidRPr="008664AC" w:rsidRDefault="008664AC" w:rsidP="008664AC">
            <w:pPr>
              <w:spacing w:after="0" w:line="240" w:lineRule="auto"/>
              <w:jc w:val="center"/>
              <w:rPr>
                <w:rFonts w:ascii="Times New Roman" w:eastAsia="Times New Roman" w:hAnsi="Times New Roman" w:cs="Times New Roman"/>
                <w:color w:val="000000"/>
                <w:sz w:val="22"/>
                <w:szCs w:val="22"/>
              </w:rPr>
            </w:pPr>
          </w:p>
        </w:tc>
      </w:tr>
    </w:tbl>
    <w:p w14:paraId="6548C341" w14:textId="77777777" w:rsidR="008664AC" w:rsidRPr="008664AC" w:rsidRDefault="008664AC" w:rsidP="008664AC">
      <w:pPr>
        <w:spacing w:after="0" w:line="240" w:lineRule="auto"/>
        <w:jc w:val="center"/>
        <w:rPr>
          <w:rFonts w:ascii="Times New Roman" w:hAnsi="Times New Roman" w:cs="Times New Roman"/>
          <w:b/>
          <w:sz w:val="24"/>
          <w:szCs w:val="24"/>
        </w:rPr>
      </w:pPr>
    </w:p>
    <w:p w14:paraId="33778635" w14:textId="6CD765FD" w:rsidR="008664AC" w:rsidRPr="008664AC" w:rsidRDefault="008664AC" w:rsidP="008664AC">
      <w:pPr>
        <w:spacing w:after="0" w:line="240" w:lineRule="auto"/>
        <w:ind w:left="360" w:right="504"/>
        <w:rPr>
          <w:rFonts w:ascii="Times New Roman" w:hAnsi="Times New Roman" w:cs="Times New Roman"/>
          <w:sz w:val="22"/>
          <w:szCs w:val="22"/>
        </w:rPr>
      </w:pPr>
      <w:r w:rsidRPr="008664AC">
        <w:rPr>
          <w:rFonts w:ascii="Times New Roman" w:hAnsi="Times New Roman" w:cs="Times New Roman"/>
          <w:sz w:val="22"/>
          <w:szCs w:val="22"/>
        </w:rPr>
        <w:t xml:space="preserve">Note: Based on Form 477 December 2015 coverage data. 2010 Census data on population and road miles. Subsidy data is from USAC’s December 2015 High-cost database and MF-I auction data. Excludes Alaska and </w:t>
      </w:r>
      <w:r w:rsidR="00904BE8">
        <w:rPr>
          <w:rFonts w:ascii="Times New Roman" w:hAnsi="Times New Roman" w:cs="Times New Roman"/>
          <w:sz w:val="22"/>
          <w:szCs w:val="22"/>
        </w:rPr>
        <w:t>water-</w:t>
      </w:r>
      <w:r w:rsidR="00904BE8" w:rsidRPr="00E4790D">
        <w:rPr>
          <w:rFonts w:ascii="Times New Roman" w:hAnsi="Times New Roman" w:cs="Times New Roman"/>
          <w:sz w:val="22"/>
          <w:szCs w:val="22"/>
        </w:rPr>
        <w:t xml:space="preserve">only </w:t>
      </w:r>
      <w:r w:rsidRPr="008664AC">
        <w:rPr>
          <w:rFonts w:ascii="Times New Roman" w:hAnsi="Times New Roman" w:cs="Times New Roman"/>
          <w:sz w:val="22"/>
          <w:szCs w:val="22"/>
        </w:rPr>
        <w:t xml:space="preserve">blocks. 100% service is actually calculated as 99.9% service to take coverage bleed into account. </w:t>
      </w:r>
    </w:p>
    <w:p w14:paraId="0B6460D2" w14:textId="77777777" w:rsidR="008664AC" w:rsidRPr="008664AC" w:rsidRDefault="008664AC" w:rsidP="008664AC"/>
    <w:p w14:paraId="138D5A1E" w14:textId="77777777" w:rsidR="008664AC" w:rsidRPr="008664AC" w:rsidRDefault="008664AC" w:rsidP="00702196">
      <w:pPr>
        <w:spacing w:after="0" w:line="240" w:lineRule="auto"/>
        <w:rPr>
          <w:rFonts w:ascii="Times New Roman" w:hAnsi="Times New Roman" w:cs="Times New Roman"/>
          <w:b/>
          <w:sz w:val="24"/>
          <w:szCs w:val="24"/>
        </w:rPr>
      </w:pPr>
    </w:p>
    <w:p w14:paraId="7A838861" w14:textId="77777777" w:rsidR="00702196" w:rsidRDefault="00702196" w:rsidP="008664AC">
      <w:pPr>
        <w:keepNext/>
        <w:keepLines/>
        <w:spacing w:before="320" w:after="80" w:line="240" w:lineRule="auto"/>
        <w:jc w:val="center"/>
        <w:outlineLvl w:val="0"/>
        <w:rPr>
          <w:rFonts w:asciiTheme="majorHAnsi" w:eastAsiaTheme="majorEastAsia" w:hAnsiTheme="majorHAnsi" w:cstheme="majorBidi"/>
          <w:color w:val="365F91" w:themeColor="accent1" w:themeShade="BF"/>
          <w:sz w:val="40"/>
          <w:szCs w:val="40"/>
        </w:rPr>
        <w:sectPr w:rsidR="00702196" w:rsidSect="00524A86">
          <w:headerReference w:type="default" r:id="rId23"/>
          <w:pgSz w:w="12240" w:h="15840"/>
          <w:pgMar w:top="720" w:right="1008" w:bottom="720" w:left="1008" w:header="720" w:footer="720" w:gutter="0"/>
          <w:cols w:space="720"/>
          <w:docGrid w:linePitch="360"/>
        </w:sectPr>
      </w:pPr>
    </w:p>
    <w:p w14:paraId="30C6F90E" w14:textId="7D0D18F6" w:rsidR="008664AC" w:rsidRPr="006A51A9" w:rsidRDefault="008664AC" w:rsidP="0038487B">
      <w:pPr>
        <w:keepNext/>
        <w:keepLines/>
        <w:spacing w:before="120" w:after="240" w:line="240" w:lineRule="auto"/>
        <w:jc w:val="center"/>
        <w:outlineLvl w:val="0"/>
        <w:rPr>
          <w:rFonts w:ascii="Times New Roman" w:eastAsiaTheme="majorEastAsia" w:hAnsi="Times New Roman" w:cs="Times New Roman"/>
          <w:color w:val="365F91" w:themeColor="accent1" w:themeShade="BF"/>
          <w:sz w:val="40"/>
          <w:szCs w:val="40"/>
        </w:rPr>
      </w:pPr>
      <w:bookmarkStart w:id="8" w:name="_Toc463007283"/>
      <w:r w:rsidRPr="006A51A9">
        <w:rPr>
          <w:rFonts w:ascii="Times New Roman" w:eastAsiaTheme="majorEastAsia" w:hAnsi="Times New Roman" w:cs="Times New Roman"/>
          <w:color w:val="365F91" w:themeColor="accent1" w:themeShade="BF"/>
          <w:sz w:val="40"/>
          <w:szCs w:val="40"/>
        </w:rPr>
        <w:t>Methodology Appendix</w:t>
      </w:r>
      <w:bookmarkEnd w:id="8"/>
    </w:p>
    <w:p w14:paraId="2022E613" w14:textId="6ABB26E2" w:rsidR="008664AC" w:rsidRPr="008664AC" w:rsidRDefault="008664AC" w:rsidP="008664AC">
      <w:pPr>
        <w:numPr>
          <w:ilvl w:val="3"/>
          <w:numId w:val="15"/>
        </w:numPr>
        <w:spacing w:line="360" w:lineRule="auto"/>
        <w:ind w:left="360"/>
        <w:rPr>
          <w:rFonts w:ascii="Times New Roman" w:hAnsi="Times New Roman" w:cs="Times New Roman"/>
          <w:sz w:val="24"/>
          <w:szCs w:val="24"/>
        </w:rPr>
      </w:pPr>
      <w:r w:rsidRPr="008664AC">
        <w:rPr>
          <w:rFonts w:ascii="Times New Roman" w:hAnsi="Times New Roman" w:cs="Times New Roman"/>
          <w:sz w:val="24"/>
          <w:szCs w:val="24"/>
        </w:rPr>
        <w:t xml:space="preserve">To identify which Census blocks had both 1) coverage by 4G LTE or not and 2) subsidies or not requires an analysis involving both support from the Mobility Fund I program and the CETC legacy support and the Form 477 coverage information. </w:t>
      </w:r>
    </w:p>
    <w:p w14:paraId="75E12970" w14:textId="69B2BE06" w:rsidR="008664AC" w:rsidRPr="008664AC" w:rsidRDefault="008664AC" w:rsidP="008664AC">
      <w:pPr>
        <w:numPr>
          <w:ilvl w:val="3"/>
          <w:numId w:val="15"/>
        </w:numPr>
        <w:spacing w:line="360" w:lineRule="auto"/>
        <w:ind w:left="360"/>
        <w:rPr>
          <w:rFonts w:ascii="Times New Roman" w:hAnsi="Times New Roman" w:cs="Times New Roman"/>
          <w:sz w:val="24"/>
          <w:szCs w:val="24"/>
        </w:rPr>
      </w:pPr>
      <w:r w:rsidRPr="008664AC">
        <w:rPr>
          <w:rFonts w:ascii="Times New Roman" w:hAnsi="Times New Roman" w:cs="Times New Roman"/>
          <w:sz w:val="24"/>
          <w:szCs w:val="24"/>
        </w:rPr>
        <w:t>Staff determined coverage in blocks using the shapefiles submitted though Form 477. In Form 477, each carrier submits shapefiles of their U.S. coverage by all of their transmission technologies. These files were overlaid with the Census block shapefiles which allowed staff to calculate the actual area in each block by each carrier covered by a given transmission tec</w:t>
      </w:r>
      <w:r w:rsidR="00D42D11">
        <w:rPr>
          <w:rFonts w:ascii="Times New Roman" w:hAnsi="Times New Roman" w:cs="Times New Roman"/>
          <w:sz w:val="24"/>
          <w:szCs w:val="24"/>
        </w:rPr>
        <w:t xml:space="preserve">hnology or by any technology.  </w:t>
      </w:r>
      <w:r w:rsidRPr="008664AC">
        <w:rPr>
          <w:rFonts w:ascii="Times New Roman" w:hAnsi="Times New Roman" w:cs="Times New Roman"/>
          <w:sz w:val="24"/>
          <w:szCs w:val="24"/>
        </w:rPr>
        <w:t>To approximate the amount of population and road miles covered in each block, staff assumed that coverage using these metrics is proportional to the area coverage in the block. So, if a fraction of the block’s area is covered by LTE, staff assumes that same fraction of the block’s population and road miles is a</w:t>
      </w:r>
      <w:r w:rsidR="00D42D11">
        <w:rPr>
          <w:rFonts w:ascii="Times New Roman" w:hAnsi="Times New Roman" w:cs="Times New Roman"/>
          <w:sz w:val="24"/>
          <w:szCs w:val="24"/>
        </w:rPr>
        <w:t>lso covered by LTE.</w:t>
      </w:r>
    </w:p>
    <w:p w14:paraId="59FF92EA" w14:textId="34FF26DC" w:rsidR="008664AC" w:rsidRPr="008664AC" w:rsidRDefault="008664AC" w:rsidP="008664AC">
      <w:pPr>
        <w:numPr>
          <w:ilvl w:val="3"/>
          <w:numId w:val="15"/>
        </w:numPr>
        <w:spacing w:line="360" w:lineRule="auto"/>
        <w:ind w:left="360"/>
        <w:rPr>
          <w:rFonts w:ascii="Times New Roman" w:hAnsi="Times New Roman" w:cs="Times New Roman"/>
          <w:sz w:val="24"/>
          <w:szCs w:val="24"/>
        </w:rPr>
      </w:pPr>
      <w:r w:rsidRPr="008664AC">
        <w:rPr>
          <w:rFonts w:ascii="Times New Roman" w:hAnsi="Times New Roman" w:cs="Times New Roman"/>
          <w:sz w:val="24"/>
          <w:szCs w:val="24"/>
        </w:rPr>
        <w:t>Allocating support amounts to particular census blocks is more complex and requires the above calculated coverage information.  The identity of the blocks supported in Mobility Fund I are known to staff because the specific blocks eligible for support were identified prior to the assignment of support in Auctions 901 and 902. However, allocating the MF-I support dollar amounts  to each block requires further calculation because winning bids covered all of the eligible blocks within a Census tract. To estimate the MF-I support in each eligible block staff followed the procedure described below for each carrier.</w:t>
      </w:r>
    </w:p>
    <w:p w14:paraId="3CB40422" w14:textId="43CAA9B2" w:rsidR="008664AC" w:rsidRPr="008664AC" w:rsidRDefault="008664AC" w:rsidP="008664AC">
      <w:pPr>
        <w:numPr>
          <w:ilvl w:val="0"/>
          <w:numId w:val="28"/>
        </w:numPr>
        <w:spacing w:line="360" w:lineRule="auto"/>
        <w:contextualSpacing/>
        <w:rPr>
          <w:rFonts w:ascii="Times New Roman" w:hAnsi="Times New Roman" w:cs="Times New Roman"/>
          <w:sz w:val="24"/>
          <w:szCs w:val="24"/>
        </w:rPr>
      </w:pPr>
      <w:r w:rsidRPr="008664AC">
        <w:rPr>
          <w:rFonts w:ascii="Times New Roman" w:hAnsi="Times New Roman" w:cs="Times New Roman"/>
          <w:sz w:val="24"/>
          <w:szCs w:val="24"/>
        </w:rPr>
        <w:t>First, all eligible blocks with no coverage at all by the carrier in question are ignored.  This is based on the assumption that the lack of coverage by the carrier in a block indicates that no subsidy was spent in the block.</w:t>
      </w:r>
    </w:p>
    <w:p w14:paraId="610F601F" w14:textId="36DC0CE2" w:rsidR="008664AC" w:rsidRPr="008664AC" w:rsidRDefault="008664AC" w:rsidP="008664AC">
      <w:pPr>
        <w:numPr>
          <w:ilvl w:val="0"/>
          <w:numId w:val="28"/>
        </w:numPr>
        <w:spacing w:line="360" w:lineRule="auto"/>
        <w:contextualSpacing/>
        <w:rPr>
          <w:rFonts w:ascii="Times New Roman" w:hAnsi="Times New Roman" w:cs="Times New Roman"/>
          <w:sz w:val="24"/>
          <w:szCs w:val="24"/>
        </w:rPr>
      </w:pPr>
      <w:r w:rsidRPr="008664AC">
        <w:rPr>
          <w:rFonts w:ascii="Times New Roman" w:hAnsi="Times New Roman" w:cs="Times New Roman"/>
          <w:sz w:val="24"/>
          <w:szCs w:val="24"/>
        </w:rPr>
        <w:t>Because road miles were the basis of subsidy assignment in MF-I, staff then calculates the total number of road miles in the remaining eligible blocks for each tract.</w:t>
      </w:r>
    </w:p>
    <w:p w14:paraId="25E761F3" w14:textId="67566650" w:rsidR="008664AC" w:rsidRPr="008664AC" w:rsidRDefault="008664AC" w:rsidP="0038487B">
      <w:pPr>
        <w:numPr>
          <w:ilvl w:val="0"/>
          <w:numId w:val="28"/>
        </w:numPr>
        <w:spacing w:line="360" w:lineRule="auto"/>
        <w:rPr>
          <w:rFonts w:ascii="Times New Roman" w:hAnsi="Times New Roman" w:cs="Times New Roman"/>
          <w:sz w:val="24"/>
          <w:szCs w:val="24"/>
        </w:rPr>
      </w:pPr>
      <w:r w:rsidRPr="008664AC">
        <w:rPr>
          <w:rFonts w:ascii="Times New Roman" w:hAnsi="Times New Roman" w:cs="Times New Roman"/>
          <w:sz w:val="24"/>
          <w:szCs w:val="24"/>
        </w:rPr>
        <w:t>Staff next determines the fraction of road miles in each of the eligible blocks in which the carrier provides coverage relative to the total road miles that were calculated in step two. Staff assumes that this fraction of the total tract support was spent in this block.</w:t>
      </w:r>
    </w:p>
    <w:p w14:paraId="38A57534" w14:textId="37E16C7B" w:rsidR="008664AC" w:rsidRPr="008664AC" w:rsidRDefault="008664AC" w:rsidP="0038487B">
      <w:pPr>
        <w:numPr>
          <w:ilvl w:val="3"/>
          <w:numId w:val="15"/>
        </w:numPr>
        <w:spacing w:line="360" w:lineRule="auto"/>
        <w:ind w:left="360"/>
        <w:rPr>
          <w:rFonts w:ascii="Times New Roman" w:hAnsi="Times New Roman" w:cs="Times New Roman"/>
          <w:sz w:val="24"/>
          <w:szCs w:val="24"/>
        </w:rPr>
      </w:pPr>
      <w:r w:rsidRPr="008664AC">
        <w:rPr>
          <w:rFonts w:ascii="Times New Roman" w:hAnsi="Times New Roman" w:cs="Times New Roman"/>
          <w:sz w:val="24"/>
          <w:szCs w:val="24"/>
        </w:rPr>
        <w:t>CETC legacy support is known only at the study area level, a geography much larger than the Census block. Moreover, study areas do not map into any Census geography. To assign CETC support at the block level, the following procedure was used for each carrier.</w:t>
      </w:r>
    </w:p>
    <w:p w14:paraId="3E8E2222" w14:textId="38E6AACF" w:rsidR="008664AC" w:rsidRPr="008664AC" w:rsidRDefault="008664AC" w:rsidP="0038487B">
      <w:pPr>
        <w:numPr>
          <w:ilvl w:val="0"/>
          <w:numId w:val="26"/>
        </w:numPr>
        <w:spacing w:line="360" w:lineRule="auto"/>
        <w:rPr>
          <w:rFonts w:ascii="Times New Roman" w:hAnsi="Times New Roman" w:cs="Times New Roman"/>
          <w:sz w:val="24"/>
          <w:szCs w:val="24"/>
        </w:rPr>
      </w:pPr>
      <w:r w:rsidRPr="008664AC">
        <w:rPr>
          <w:rFonts w:ascii="Times New Roman" w:hAnsi="Times New Roman" w:cs="Times New Roman"/>
          <w:sz w:val="24"/>
          <w:szCs w:val="24"/>
        </w:rPr>
        <w:t>Blocks are assigned to a carrier’s study area by first assigning blocks to the wire centers. Although wire centers do not map onto any Census geography exactly, they are more easily matched to blocks than study areas because they are smaller. This matching was done internally by staff manually matching blocks to wire centers. In turn, wire centers can be mapped into study areas, so this allows staff to assign blocks to study areas.</w:t>
      </w:r>
      <w:r w:rsidRPr="008664AC">
        <w:rPr>
          <w:rFonts w:ascii="Times New Roman" w:hAnsi="Times New Roman" w:cs="Times New Roman"/>
          <w:sz w:val="20"/>
          <w:szCs w:val="24"/>
          <w:vertAlign w:val="superscript"/>
        </w:rPr>
        <w:footnoteReference w:id="40"/>
      </w:r>
    </w:p>
    <w:p w14:paraId="6DC04ED0" w14:textId="04339F78" w:rsidR="008664AC" w:rsidRPr="008664AC" w:rsidRDefault="008664AC" w:rsidP="008664AC">
      <w:pPr>
        <w:numPr>
          <w:ilvl w:val="0"/>
          <w:numId w:val="26"/>
        </w:numPr>
        <w:spacing w:line="360" w:lineRule="auto"/>
        <w:rPr>
          <w:rFonts w:ascii="Times New Roman" w:hAnsi="Times New Roman" w:cs="Times New Roman"/>
          <w:sz w:val="24"/>
          <w:szCs w:val="24"/>
        </w:rPr>
      </w:pPr>
      <w:r w:rsidRPr="008664AC">
        <w:rPr>
          <w:rFonts w:ascii="Times New Roman" w:hAnsi="Times New Roman" w:cs="Times New Roman"/>
          <w:sz w:val="24"/>
          <w:szCs w:val="24"/>
        </w:rPr>
        <w:t>Staff then determines the total of the study area population/ road miles / area covered with any technology by the carrier in question using our previous estimates of covered population/ roadmiles/ area at the block level.</w:t>
      </w:r>
    </w:p>
    <w:p w14:paraId="059C60F3" w14:textId="4B797105" w:rsidR="008664AC" w:rsidRPr="008664AC" w:rsidRDefault="008664AC" w:rsidP="008664AC">
      <w:pPr>
        <w:numPr>
          <w:ilvl w:val="0"/>
          <w:numId w:val="26"/>
        </w:numPr>
        <w:spacing w:line="360" w:lineRule="auto"/>
        <w:rPr>
          <w:rFonts w:ascii="Times New Roman" w:hAnsi="Times New Roman" w:cs="Times New Roman"/>
          <w:sz w:val="24"/>
          <w:szCs w:val="24"/>
        </w:rPr>
      </w:pPr>
      <w:r w:rsidRPr="008664AC">
        <w:rPr>
          <w:rFonts w:ascii="Times New Roman" w:hAnsi="Times New Roman" w:cs="Times New Roman"/>
          <w:sz w:val="24"/>
          <w:szCs w:val="24"/>
        </w:rPr>
        <w:t>Staff can then find the fraction of covered population/ roadmiles/ area in each block relative to the study area as a whole.</w:t>
      </w:r>
    </w:p>
    <w:p w14:paraId="5B400698" w14:textId="0CF1B006" w:rsidR="008664AC" w:rsidRPr="008664AC" w:rsidRDefault="008664AC" w:rsidP="008664AC">
      <w:pPr>
        <w:numPr>
          <w:ilvl w:val="0"/>
          <w:numId w:val="26"/>
        </w:numPr>
        <w:spacing w:line="360" w:lineRule="auto"/>
        <w:rPr>
          <w:rFonts w:ascii="Times New Roman" w:hAnsi="Times New Roman" w:cs="Times New Roman"/>
          <w:sz w:val="24"/>
          <w:szCs w:val="24"/>
        </w:rPr>
      </w:pPr>
      <w:r w:rsidRPr="008664AC">
        <w:rPr>
          <w:rFonts w:ascii="Times New Roman" w:hAnsi="Times New Roman" w:cs="Times New Roman"/>
          <w:sz w:val="24"/>
          <w:szCs w:val="24"/>
        </w:rPr>
        <w:t>The total high-cost support is then allocated to each block in the study area by the fraction calculated in step 3.</w:t>
      </w:r>
    </w:p>
    <w:p w14:paraId="4249D786" w14:textId="553EA1F5" w:rsidR="008664AC" w:rsidRPr="008664AC" w:rsidRDefault="008664AC" w:rsidP="0038487B">
      <w:pPr>
        <w:numPr>
          <w:ilvl w:val="3"/>
          <w:numId w:val="15"/>
        </w:numPr>
        <w:spacing w:line="360" w:lineRule="auto"/>
        <w:ind w:left="360"/>
        <w:rPr>
          <w:rFonts w:ascii="Times New Roman" w:hAnsi="Times New Roman" w:cs="Times New Roman"/>
          <w:sz w:val="24"/>
          <w:szCs w:val="24"/>
        </w:rPr>
      </w:pPr>
      <w:r w:rsidRPr="008664AC" w:rsidDel="00AC5F1A">
        <w:rPr>
          <w:rFonts w:ascii="Times New Roman" w:hAnsi="Times New Roman" w:cs="Times New Roman"/>
          <w:sz w:val="24"/>
          <w:szCs w:val="24"/>
        </w:rPr>
        <w:t>W</w:t>
      </w:r>
      <w:r w:rsidRPr="008664AC">
        <w:rPr>
          <w:rFonts w:ascii="Times New Roman" w:hAnsi="Times New Roman" w:cs="Times New Roman"/>
          <w:sz w:val="24"/>
          <w:szCs w:val="24"/>
        </w:rPr>
        <w:t xml:space="preserve">A block (or area within a block) is “subsidized” if it has non-zero support from MF-I or CETC legacy support allocated to it through the process described above. Thus, for this Report, staff counts as subsidized any block (or area within a block) that is: </w:t>
      </w:r>
    </w:p>
    <w:p w14:paraId="25DE1582" w14:textId="5C5BD64A" w:rsidR="008664AC" w:rsidRPr="008664AC" w:rsidRDefault="008664AC" w:rsidP="0038487B">
      <w:pPr>
        <w:numPr>
          <w:ilvl w:val="0"/>
          <w:numId w:val="27"/>
        </w:numPr>
        <w:spacing w:line="360" w:lineRule="auto"/>
        <w:rPr>
          <w:rFonts w:ascii="Times New Roman" w:hAnsi="Times New Roman" w:cs="Times New Roman"/>
          <w:sz w:val="24"/>
          <w:szCs w:val="24"/>
        </w:rPr>
      </w:pPr>
      <w:r w:rsidRPr="008664AC">
        <w:rPr>
          <w:rFonts w:ascii="Times New Roman" w:hAnsi="Times New Roman" w:cs="Times New Roman"/>
          <w:sz w:val="24"/>
          <w:szCs w:val="24"/>
        </w:rPr>
        <w:t>Covered by a winning bid in the MF-I auctions (Auctions 901 and 902) and had non-zero coverage from the corresponding carrier, i.e., the winning bidder; or</w:t>
      </w:r>
    </w:p>
    <w:p w14:paraId="53EBF04C" w14:textId="4A38BC95" w:rsidR="008664AC" w:rsidRPr="008664AC" w:rsidRDefault="008664AC" w:rsidP="0038487B">
      <w:pPr>
        <w:numPr>
          <w:ilvl w:val="0"/>
          <w:numId w:val="27"/>
        </w:numPr>
        <w:spacing w:line="360" w:lineRule="auto"/>
        <w:rPr>
          <w:rFonts w:ascii="Times New Roman" w:hAnsi="Times New Roman" w:cs="Times New Roman"/>
          <w:sz w:val="24"/>
          <w:szCs w:val="24"/>
        </w:rPr>
      </w:pPr>
      <w:r w:rsidRPr="008664AC">
        <w:rPr>
          <w:rFonts w:ascii="Times New Roman" w:hAnsi="Times New Roman" w:cs="Times New Roman"/>
          <w:sz w:val="24"/>
          <w:szCs w:val="24"/>
        </w:rPr>
        <w:t>In a CETC study area for which support is provided and had non-zero coverage by the corresponding carrier.</w:t>
      </w:r>
    </w:p>
    <w:p w14:paraId="2F4473A4" w14:textId="6EB31F30" w:rsidR="008664AC" w:rsidRPr="0038487B" w:rsidRDefault="008664AC" w:rsidP="0038487B">
      <w:pPr>
        <w:numPr>
          <w:ilvl w:val="3"/>
          <w:numId w:val="15"/>
        </w:numPr>
        <w:spacing w:line="360" w:lineRule="auto"/>
        <w:ind w:left="360"/>
        <w:rPr>
          <w:rFonts w:ascii="Times New Roman" w:hAnsi="Times New Roman" w:cs="Times New Roman"/>
          <w:sz w:val="24"/>
          <w:szCs w:val="24"/>
        </w:rPr>
      </w:pPr>
      <w:r w:rsidRPr="008664AC">
        <w:rPr>
          <w:rFonts w:ascii="Times New Roman" w:hAnsi="Times New Roman" w:cs="Times New Roman"/>
          <w:sz w:val="24"/>
          <w:szCs w:val="24"/>
        </w:rPr>
        <w:t xml:space="preserve">We note that a block considered “subsidized” in this Report may be allocated zero dollars of support under our methodology for allocating support to specific census blocks when using the population or road miles allocation metric depending on whether the block has zero road miles and/or zero population. </w:t>
      </w:r>
    </w:p>
    <w:sectPr w:rsidR="008664AC" w:rsidRPr="0038487B" w:rsidSect="00524A86">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859B4" w14:textId="77777777" w:rsidR="004C570A" w:rsidRDefault="004C570A" w:rsidP="00EB1C1E">
      <w:pPr>
        <w:spacing w:after="0" w:line="240" w:lineRule="auto"/>
      </w:pPr>
      <w:r>
        <w:separator/>
      </w:r>
    </w:p>
  </w:endnote>
  <w:endnote w:type="continuationSeparator" w:id="0">
    <w:p w14:paraId="34F5C345" w14:textId="77777777" w:rsidR="004C570A" w:rsidRDefault="004C570A" w:rsidP="00EB1C1E">
      <w:pPr>
        <w:spacing w:after="0" w:line="240" w:lineRule="auto"/>
      </w:pPr>
      <w:r>
        <w:continuationSeparator/>
      </w:r>
    </w:p>
  </w:endnote>
  <w:endnote w:type="continuationNotice" w:id="1">
    <w:p w14:paraId="63C0A272" w14:textId="77777777" w:rsidR="004C570A" w:rsidRDefault="004C57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DE8E" w14:textId="77777777" w:rsidR="00802A8F" w:rsidRDefault="00802A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A1C57" w14:textId="77777777" w:rsidR="00802A8F" w:rsidRDefault="00802A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9ED1B" w14:textId="77777777" w:rsidR="00802A8F" w:rsidRDefault="00802A8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B094D" w14:textId="0982CB0B" w:rsidR="004C570A" w:rsidRPr="00FB40CF" w:rsidRDefault="00243406" w:rsidP="00FB40CF">
    <w:pPr>
      <w:pStyle w:val="Footer"/>
      <w:jc w:val="center"/>
      <w:rPr>
        <w:rFonts w:ascii="Times New Roman" w:hAnsi="Times New Roman" w:cs="Times New Roman"/>
        <w:sz w:val="24"/>
        <w:szCs w:val="24"/>
      </w:rPr>
    </w:pPr>
    <w:sdt>
      <w:sdtPr>
        <w:rPr>
          <w:rFonts w:ascii="Times New Roman" w:hAnsi="Times New Roman" w:cs="Times New Roman"/>
          <w:sz w:val="24"/>
          <w:szCs w:val="24"/>
        </w:rPr>
        <w:id w:val="-2128918407"/>
        <w:docPartObj>
          <w:docPartGallery w:val="Page Numbers (Bottom of Page)"/>
          <w:docPartUnique/>
        </w:docPartObj>
      </w:sdtPr>
      <w:sdtEndPr>
        <w:rPr>
          <w:noProof/>
        </w:rPr>
      </w:sdtEndPr>
      <w:sdtContent>
        <w:r w:rsidR="004C570A" w:rsidRPr="00FB40CF">
          <w:rPr>
            <w:rFonts w:ascii="Times New Roman" w:hAnsi="Times New Roman" w:cs="Times New Roman"/>
            <w:sz w:val="24"/>
            <w:szCs w:val="24"/>
          </w:rPr>
          <w:fldChar w:fldCharType="begin"/>
        </w:r>
        <w:r w:rsidR="004C570A" w:rsidRPr="00FB40CF">
          <w:rPr>
            <w:rFonts w:ascii="Times New Roman" w:hAnsi="Times New Roman" w:cs="Times New Roman"/>
            <w:sz w:val="24"/>
            <w:szCs w:val="24"/>
          </w:rPr>
          <w:instrText xml:space="preserve"> PAGE   \* MERGEFORMAT </w:instrText>
        </w:r>
        <w:r w:rsidR="004C570A" w:rsidRPr="00FB40CF">
          <w:rPr>
            <w:rFonts w:ascii="Times New Roman" w:hAnsi="Times New Roman" w:cs="Times New Roman"/>
            <w:sz w:val="24"/>
            <w:szCs w:val="24"/>
          </w:rPr>
          <w:fldChar w:fldCharType="separate"/>
        </w:r>
        <w:r w:rsidR="00802A8F">
          <w:rPr>
            <w:rFonts w:ascii="Times New Roman" w:hAnsi="Times New Roman" w:cs="Times New Roman"/>
            <w:noProof/>
            <w:sz w:val="24"/>
            <w:szCs w:val="24"/>
          </w:rPr>
          <w:t>1</w:t>
        </w:r>
        <w:r w:rsidR="004C570A" w:rsidRPr="00FB40CF">
          <w:rPr>
            <w:rFonts w:ascii="Times New Roman" w:hAnsi="Times New Roman" w:cs="Times New Roman"/>
            <w:noProof/>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3FC76" w14:textId="77777777" w:rsidR="004C570A" w:rsidRDefault="004C570A" w:rsidP="00EB1C1E">
      <w:pPr>
        <w:spacing w:after="0" w:line="240" w:lineRule="auto"/>
      </w:pPr>
      <w:r>
        <w:separator/>
      </w:r>
    </w:p>
  </w:footnote>
  <w:footnote w:type="continuationSeparator" w:id="0">
    <w:p w14:paraId="11285080" w14:textId="77777777" w:rsidR="004C570A" w:rsidRDefault="004C570A" w:rsidP="00EB1C1E">
      <w:pPr>
        <w:spacing w:after="0" w:line="240" w:lineRule="auto"/>
      </w:pPr>
      <w:r>
        <w:continuationSeparator/>
      </w:r>
    </w:p>
  </w:footnote>
  <w:footnote w:type="continuationNotice" w:id="1">
    <w:p w14:paraId="1B5A0736" w14:textId="77777777" w:rsidR="004C570A" w:rsidRDefault="004C570A">
      <w:pPr>
        <w:spacing w:after="0" w:line="240" w:lineRule="auto"/>
      </w:pPr>
    </w:p>
  </w:footnote>
  <w:footnote w:id="2">
    <w:p w14:paraId="2AD900CF" w14:textId="7A4AF436" w:rsidR="004C570A" w:rsidRDefault="004C570A" w:rsidP="00EB1C1E">
      <w:pPr>
        <w:pStyle w:val="FootnoteText"/>
      </w:pPr>
      <w:r>
        <w:rPr>
          <w:rStyle w:val="FootnoteReference"/>
          <w:rFonts w:eastAsiaTheme="majorEastAsia"/>
        </w:rPr>
        <w:footnoteRef/>
      </w:r>
      <w:r>
        <w:rPr>
          <w:i/>
        </w:rPr>
        <w:t xml:space="preserve">See Connect America Fund; A National Broadband Plan for Our Future; Establishing Just and Reasonable Rates for Local Exchange Carriers; High-Cost Universal Service Support; Developing a Unified Intercarrier Compensation Regime; Federal-State Joint Board on Universal Service; Lifeline and Link-Up; Universal Service Reform – Mobility Fund; </w:t>
      </w:r>
      <w:r>
        <w:t>WC Docket Nos. 10-90, 07-135, 05-337, 03-109, CC Docket Nos. 01-92, 96-45, GN Docket No. 09-51, WT Docket No. 10-208, Report and Order and Further Notice of Proposed Rulemaking, 26 FCC Rcd 17663, 17824, para. 493 (2011) (</w:t>
      </w:r>
      <w:r>
        <w:rPr>
          <w:i/>
        </w:rPr>
        <w:t>USF/ICC Transformation Order and/or FNPRM</w:t>
      </w:r>
      <w:r>
        <w:t>).</w:t>
      </w:r>
    </w:p>
  </w:footnote>
  <w:footnote w:id="3">
    <w:p w14:paraId="6200CF00" w14:textId="6215DFB2" w:rsidR="004C570A" w:rsidRDefault="004C570A" w:rsidP="00EB1C1E">
      <w:pPr>
        <w:pStyle w:val="FootnoteText"/>
      </w:pPr>
      <w:r>
        <w:rPr>
          <w:rStyle w:val="FootnoteReference"/>
          <w:rFonts w:eastAsiaTheme="majorEastAsia"/>
        </w:rPr>
        <w:footnoteRef/>
      </w:r>
      <w:r>
        <w:t xml:space="preserve"> </w:t>
      </w:r>
      <w:r>
        <w:rPr>
          <w:i/>
        </w:rPr>
        <w:t xml:space="preserve">USF/ICC Transformation Order and </w:t>
      </w:r>
      <w:r w:rsidRPr="00F9314A">
        <w:t>FNPRM</w:t>
      </w:r>
      <w:r>
        <w:t xml:space="preserve">, 26 FCC Rcd 18070-71, paras. 1123-24. </w:t>
      </w:r>
      <w:r>
        <w:rPr>
          <w:i/>
        </w:rPr>
        <w:t>See also Connect America Fund et al.</w:t>
      </w:r>
      <w:r>
        <w:t>,</w:t>
      </w:r>
      <w:r>
        <w:rPr>
          <w:i/>
        </w:rPr>
        <w:t xml:space="preserve">; Developing a Unified Intercarrier Compensation Regime; Establishing Just and Reasonable Rates for Local Exchange Carriers; ETC Annual Reports and Certifications; Universal Service Reform – Mobility Fund; </w:t>
      </w:r>
      <w:r>
        <w:t>WC Docket Nos. 10-90, 07-135, 14-58, CC Docket No. 01-92, WT Docket No. 10-208, Report and Order, Declaratory Ruling, Order, Memorandum Opinion and Order, Seventh Order on Reconsideration and Further Notice of Proposed Rulemaking, 29 FCC Rcd 7051, 7127-28, para. 239 (2014) (</w:t>
      </w:r>
      <w:r>
        <w:rPr>
          <w:i/>
        </w:rPr>
        <w:t>April 2014 Connect America Order and/or FNPRM</w:t>
      </w:r>
      <w:r>
        <w:t>).</w:t>
      </w:r>
    </w:p>
  </w:footnote>
  <w:footnote w:id="4">
    <w:p w14:paraId="54122FFB" w14:textId="29691742" w:rsidR="004C570A" w:rsidRDefault="004C570A" w:rsidP="00EB1C1E">
      <w:pPr>
        <w:pStyle w:val="FootnoteText"/>
      </w:pPr>
      <w:r>
        <w:rPr>
          <w:rStyle w:val="FootnoteReference"/>
          <w:rFonts w:eastAsiaTheme="majorEastAsia"/>
        </w:rPr>
        <w:footnoteRef/>
      </w:r>
      <w:r>
        <w:t xml:space="preserve"> </w:t>
      </w:r>
      <w:r>
        <w:rPr>
          <w:i/>
        </w:rPr>
        <w:t>April</w:t>
      </w:r>
      <w:r w:rsidRPr="00F42728">
        <w:rPr>
          <w:i/>
        </w:rPr>
        <w:t xml:space="preserve"> 2014 </w:t>
      </w:r>
      <w:r>
        <w:rPr>
          <w:i/>
        </w:rPr>
        <w:t>Connect America</w:t>
      </w:r>
      <w:r w:rsidRPr="00F42728">
        <w:rPr>
          <w:i/>
        </w:rPr>
        <w:t xml:space="preserve"> Order and</w:t>
      </w:r>
      <w:r>
        <w:rPr>
          <w:i/>
        </w:rPr>
        <w:t>/or</w:t>
      </w:r>
      <w:r w:rsidRPr="00F42728">
        <w:rPr>
          <w:i/>
        </w:rPr>
        <w:t xml:space="preserve"> FNPRM</w:t>
      </w:r>
      <w:r>
        <w:rPr>
          <w:i/>
        </w:rPr>
        <w:t xml:space="preserve">, </w:t>
      </w:r>
      <w:r>
        <w:t>29 FCC Rcd at 7128-29, paras. 241-42.</w:t>
      </w:r>
    </w:p>
  </w:footnote>
  <w:footnote w:id="5">
    <w:p w14:paraId="5EB8C914" w14:textId="6CA22B4E" w:rsidR="004C570A" w:rsidRPr="00ED755E" w:rsidRDefault="004C570A">
      <w:pPr>
        <w:pStyle w:val="FootnoteText"/>
      </w:pPr>
      <w:r>
        <w:rPr>
          <w:rStyle w:val="FootnoteReference"/>
        </w:rPr>
        <w:footnoteRef/>
      </w:r>
      <w:r>
        <w:t xml:space="preserve"> </w:t>
      </w:r>
      <w:r>
        <w:rPr>
          <w:i/>
        </w:rPr>
        <w:t>See</w:t>
      </w:r>
      <w:r>
        <w:t xml:space="preserve"> para. 20, </w:t>
      </w:r>
      <w:r w:rsidRPr="00F9314A">
        <w:rPr>
          <w:i/>
        </w:rPr>
        <w:t>infra</w:t>
      </w:r>
      <w:r>
        <w:t>.</w:t>
      </w:r>
    </w:p>
  </w:footnote>
  <w:footnote w:id="6">
    <w:p w14:paraId="5FAF7F01" w14:textId="1C9F365A" w:rsidR="004C570A" w:rsidRDefault="004C570A">
      <w:pPr>
        <w:pStyle w:val="FootnoteText"/>
      </w:pPr>
      <w:r>
        <w:rPr>
          <w:rStyle w:val="FootnoteReference"/>
        </w:rPr>
        <w:footnoteRef/>
      </w:r>
      <w:r>
        <w:t xml:space="preserve"> </w:t>
      </w:r>
      <w:r w:rsidRPr="00FA228A">
        <w:rPr>
          <w:i/>
        </w:rPr>
        <w:t>See</w:t>
      </w:r>
      <w:r w:rsidRPr="00E55A6B">
        <w:t xml:space="preserve"> </w:t>
      </w:r>
      <w:r w:rsidRPr="00E55A6B">
        <w:rPr>
          <w:i/>
          <w:spacing w:val="-2"/>
        </w:rPr>
        <w:t>Modernizing the FCC Form 477 Data Program</w:t>
      </w:r>
      <w:r w:rsidRPr="00E55A6B">
        <w:t xml:space="preserve">, </w:t>
      </w:r>
      <w:r>
        <w:t>Report and Order, 28 FCC Rcd 9887 (2013) (</w:t>
      </w:r>
      <w:r>
        <w:rPr>
          <w:i/>
        </w:rPr>
        <w:t>477 Report &amp; Order</w:t>
      </w:r>
      <w:r>
        <w:t>). Also see Form 477 PN 2016.</w:t>
      </w:r>
    </w:p>
  </w:footnote>
  <w:footnote w:id="7">
    <w:p w14:paraId="2B77B820" w14:textId="1058E9C1" w:rsidR="004C570A" w:rsidRPr="006C39B4" w:rsidRDefault="004C570A">
      <w:pPr>
        <w:pStyle w:val="FootnoteText"/>
      </w:pPr>
      <w:r>
        <w:rPr>
          <w:rStyle w:val="FootnoteReference"/>
        </w:rPr>
        <w:footnoteRef/>
      </w:r>
      <w:r>
        <w:t xml:space="preserve"> </w:t>
      </w:r>
      <w:r>
        <w:rPr>
          <w:i/>
        </w:rPr>
        <w:t xml:space="preserve">See </w:t>
      </w:r>
      <w:r w:rsidRPr="00F42728">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t xml:space="preserve">, </w:t>
      </w:r>
      <w:r w:rsidRPr="00A53D21">
        <w:t>2016 Broadband Progress Report</w:t>
      </w:r>
      <w:r>
        <w:t>, 31 FCC Rcd 699, 708-09 para. 22 (2016) (“[D]ata from the Form 477 . . . help us better analyze mobile broadband deployment than in years past.”).</w:t>
      </w:r>
    </w:p>
  </w:footnote>
  <w:footnote w:id="8">
    <w:p w14:paraId="10F9269E" w14:textId="4E23BF49" w:rsidR="004C570A" w:rsidRDefault="004C570A">
      <w:pPr>
        <w:pStyle w:val="FootnoteText"/>
      </w:pPr>
      <w:r>
        <w:rPr>
          <w:rStyle w:val="FootnoteReference"/>
        </w:rPr>
        <w:footnoteRef/>
      </w:r>
      <w:r>
        <w:t xml:space="preserve"> Since that time, the Commission has relied on Form 477 data to analyze mobile deployment outside the universal service context.  </w:t>
      </w:r>
      <w:r w:rsidRPr="00F42728">
        <w:rPr>
          <w:i/>
        </w:rPr>
        <w:t>See</w:t>
      </w:r>
      <w:r>
        <w:t xml:space="preserve">, </w:t>
      </w:r>
      <w:r w:rsidRPr="00F42728">
        <w:rPr>
          <w:i/>
        </w:rPr>
        <w:t>e.g.</w:t>
      </w:r>
      <w:r>
        <w:t xml:space="preserve">, </w:t>
      </w:r>
      <w:r w:rsidRPr="00F42728">
        <w:rPr>
          <w:i/>
        </w:rPr>
        <w:t>id.</w:t>
      </w:r>
      <w:r>
        <w:t xml:space="preserve">; </w:t>
      </w:r>
      <w:r w:rsidRPr="00FC30CD">
        <w:rPr>
          <w:i/>
        </w:rPr>
        <w:t>Implementation of Section 6002(b) of the Omnibus Budget Reconciliation Act of 1993, Annual Report and Analysis of Competitive Market Conditions With Respect to Mobile Wireless, Including Commercial Mobile Services</w:t>
      </w:r>
      <w:r>
        <w:t>, Eighteenth Report, 30 FCC Rcd 14515 (WTB 2015) (</w:t>
      </w:r>
      <w:r>
        <w:rPr>
          <w:i/>
        </w:rPr>
        <w:t>Eighteenth Mobile Competition Report</w:t>
      </w:r>
      <w:r>
        <w:t xml:space="preserve">). </w:t>
      </w:r>
    </w:p>
  </w:footnote>
  <w:footnote w:id="9">
    <w:p w14:paraId="0DD54769" w14:textId="668E64F6" w:rsidR="004C570A" w:rsidRDefault="004C570A">
      <w:pPr>
        <w:pStyle w:val="FootnoteText"/>
      </w:pPr>
      <w:r>
        <w:rPr>
          <w:rStyle w:val="FootnoteReference"/>
        </w:rPr>
        <w:footnoteRef/>
      </w:r>
      <w:r>
        <w:t xml:space="preserve"> Mosaik Solutions</w:t>
      </w:r>
      <w:r w:rsidRPr="00E055D5">
        <w:t xml:space="preserve"> is an independent consulting firm that provides data on the coverage footprints of mobile voice and mobile data networks to the Commission under contract. The company creates coverage boundary maps based on the coverage boundaries voluntarily submitted to Mosaik by mobile wireless network operators.</w:t>
      </w:r>
      <w:r>
        <w:t xml:space="preserve">  </w:t>
      </w:r>
      <w:r>
        <w:rPr>
          <w:i/>
        </w:rPr>
        <w:t xml:space="preserve">See generally </w:t>
      </w:r>
      <w:r>
        <w:t xml:space="preserve">Mosaik, About Us, </w:t>
      </w:r>
      <w:hyperlink r:id="rId1" w:history="1">
        <w:r w:rsidRPr="0002171C">
          <w:rPr>
            <w:rStyle w:val="Hyperlink"/>
          </w:rPr>
          <w:t>www.mosaik.com</w:t>
        </w:r>
      </w:hyperlink>
      <w:r>
        <w:t xml:space="preserve"> (last visited August 24, 2016).</w:t>
      </w:r>
      <w:r w:rsidRPr="00E055D5">
        <w:t xml:space="preserve">  </w:t>
      </w:r>
    </w:p>
  </w:footnote>
  <w:footnote w:id="10">
    <w:p w14:paraId="79E45B66" w14:textId="37F05FCB" w:rsidR="004C570A" w:rsidRDefault="004C570A" w:rsidP="00EB1C1E">
      <w:pPr>
        <w:pStyle w:val="FootnoteText"/>
      </w:pPr>
      <w:r>
        <w:rPr>
          <w:rStyle w:val="FootnoteReference"/>
          <w:rFonts w:eastAsiaTheme="majorEastAsia"/>
        </w:rPr>
        <w:footnoteRef/>
      </w:r>
      <w:r>
        <w:t xml:space="preserve"> </w:t>
      </w:r>
      <w:r>
        <w:rPr>
          <w:i/>
        </w:rPr>
        <w:t>USF/ICC</w:t>
      </w:r>
      <w:r w:rsidRPr="00310CF3">
        <w:rPr>
          <w:i/>
        </w:rPr>
        <w:t xml:space="preserve"> Transformation Order </w:t>
      </w:r>
      <w:r>
        <w:rPr>
          <w:i/>
        </w:rPr>
        <w:t xml:space="preserve">and/or </w:t>
      </w:r>
      <w:r w:rsidRPr="007F1468">
        <w:rPr>
          <w:i/>
        </w:rPr>
        <w:t>FNPRM</w:t>
      </w:r>
      <w:r>
        <w:t xml:space="preserve">, 26 FCC Rcd at 17784-85, paras. 333-37. </w:t>
      </w:r>
    </w:p>
  </w:footnote>
  <w:footnote w:id="11">
    <w:p w14:paraId="489362E6" w14:textId="7E59AD85" w:rsidR="004C570A" w:rsidRDefault="004C570A" w:rsidP="006A51A9">
      <w:pPr>
        <w:pStyle w:val="NormalWeb"/>
        <w:spacing w:before="0" w:beforeAutospacing="0" w:after="120" w:afterAutospacing="0"/>
      </w:pPr>
      <w:r>
        <w:rPr>
          <w:rStyle w:val="FootnoteReference"/>
          <w:rFonts w:eastAsiaTheme="majorEastAsia"/>
        </w:rPr>
        <w:footnoteRef/>
      </w:r>
      <w:r>
        <w:t xml:space="preserve"> </w:t>
      </w:r>
      <w:r>
        <w:rPr>
          <w:i/>
        </w:rPr>
        <w:t xml:space="preserve">See </w:t>
      </w:r>
      <w:r>
        <w:t xml:space="preserve">Federal Communications Commission, </w:t>
      </w:r>
      <w:r>
        <w:rPr>
          <w:i/>
        </w:rPr>
        <w:t>Connecting America:  The National Broadband</w:t>
      </w:r>
      <w:r w:rsidRPr="007F1468">
        <w:rPr>
          <w:i/>
        </w:rPr>
        <w:t xml:space="preserve"> Plan</w:t>
      </w:r>
      <w:r>
        <w:t xml:space="preserve">, at 3.3, 22 (rel. Mar. 16, 2010) (National Broadband Plan).  </w:t>
      </w:r>
      <w:r w:rsidRPr="004D1C9B">
        <w:t>More recently, in the Eighteenth Mobile Competition Report, which was released at the end of 2015, the Wireless Telecommunications Bureau similarly concluded that limitations in the Mosaik data likely overstated the coverage experienced by consumers.</w:t>
      </w:r>
      <w:r>
        <w:t xml:space="preserve">  This is because Mosaik reports advertised coverage as reported to it by service providers, each of which uses a different definition or determination of coverage.  The data do not expressly account for factors such as signal strength, bit rate, or in-building coverage, and may convey a false sense of consistency across geographic areas and service providers.  </w:t>
      </w:r>
      <w:r>
        <w:rPr>
          <w:i/>
        </w:rPr>
        <w:t>See Eighteenth Mobile Competition Report</w:t>
      </w:r>
      <w:r>
        <w:t>, 30 FCC Rcd at 14538, para. 34</w:t>
      </w:r>
      <w:r w:rsidRPr="00F9314A">
        <w:rPr>
          <w:i/>
        </w:rPr>
        <w:t xml:space="preserve">; see also </w:t>
      </w:r>
      <w:r>
        <w:rPr>
          <w:i/>
        </w:rPr>
        <w:t xml:space="preserve">Seventeenth Mobile Competition Report, </w:t>
      </w:r>
      <w:r w:rsidRPr="00F9314A">
        <w:t>29 FCC Rcd at 15332-33 para. 45</w:t>
      </w:r>
      <w:r>
        <w:rPr>
          <w:i/>
        </w:rPr>
        <w:t xml:space="preserve">; USF/ICC </w:t>
      </w:r>
      <w:r w:rsidRPr="00F9314A">
        <w:rPr>
          <w:i/>
        </w:rPr>
        <w:t>Transformation Order</w:t>
      </w:r>
      <w:r>
        <w:rPr>
          <w:i/>
        </w:rPr>
        <w:t xml:space="preserve"> and FNPRM</w:t>
      </w:r>
      <w:r>
        <w:t xml:space="preserve">, 26 FCC Rcd at </w:t>
      </w:r>
      <w:r w:rsidRPr="008C77A9">
        <w:t>17785</w:t>
      </w:r>
      <w:r>
        <w:t>, para. 336 (referring to comments observing that Mosaik data may over report the extent of coverage).</w:t>
      </w:r>
      <w:r w:rsidRPr="00F9314A">
        <w:rPr>
          <w:i/>
        </w:rPr>
        <w:t xml:space="preserve"> </w:t>
      </w:r>
    </w:p>
  </w:footnote>
  <w:footnote w:id="12">
    <w:p w14:paraId="3F23C75D" w14:textId="53BDB02D" w:rsidR="004C570A" w:rsidRDefault="004C570A" w:rsidP="004D1C9B">
      <w:pPr>
        <w:pStyle w:val="FootnoteText"/>
      </w:pPr>
      <w:r>
        <w:rPr>
          <w:rStyle w:val="FootnoteReference"/>
          <w:rFonts w:eastAsiaTheme="majorEastAsia"/>
        </w:rPr>
        <w:footnoteRef/>
      </w:r>
      <w:r>
        <w:t xml:space="preserve"> </w:t>
      </w:r>
      <w:r>
        <w:rPr>
          <w:i/>
        </w:rPr>
        <w:t>April</w:t>
      </w:r>
      <w:r w:rsidRPr="00310CF3">
        <w:rPr>
          <w:i/>
        </w:rPr>
        <w:t xml:space="preserve"> 2014 </w:t>
      </w:r>
      <w:r>
        <w:rPr>
          <w:i/>
        </w:rPr>
        <w:t>Connect America</w:t>
      </w:r>
      <w:r w:rsidRPr="00310CF3">
        <w:rPr>
          <w:i/>
        </w:rPr>
        <w:t xml:space="preserve"> Order and</w:t>
      </w:r>
      <w:r>
        <w:rPr>
          <w:i/>
        </w:rPr>
        <w:t>/or</w:t>
      </w:r>
      <w:r w:rsidRPr="00310CF3">
        <w:rPr>
          <w:i/>
        </w:rPr>
        <w:t xml:space="preserve"> FNPRM</w:t>
      </w:r>
      <w:r>
        <w:rPr>
          <w:i/>
        </w:rPr>
        <w:t xml:space="preserve">, </w:t>
      </w:r>
      <w:r>
        <w:t xml:space="preserve">29 FCC Rcd at </w:t>
      </w:r>
      <w:r w:rsidRPr="008C77A9">
        <w:t>7128</w:t>
      </w:r>
      <w:r>
        <w:t>, para. 241.</w:t>
      </w:r>
    </w:p>
  </w:footnote>
  <w:footnote w:id="13">
    <w:p w14:paraId="67FD2F09" w14:textId="774D8C54" w:rsidR="004C570A" w:rsidRDefault="004C570A" w:rsidP="00EB1C1E">
      <w:pPr>
        <w:pStyle w:val="FootnoteText"/>
      </w:pPr>
      <w:r>
        <w:rPr>
          <w:rStyle w:val="FootnoteReference"/>
          <w:rFonts w:eastAsiaTheme="majorEastAsia"/>
        </w:rPr>
        <w:footnoteRef/>
      </w:r>
      <w:r>
        <w:t xml:space="preserve"> </w:t>
      </w:r>
      <w:r w:rsidRPr="00FA228A">
        <w:rPr>
          <w:i/>
        </w:rPr>
        <w:t>See</w:t>
      </w:r>
      <w:r w:rsidRPr="00E55A6B">
        <w:t xml:space="preserve"> </w:t>
      </w:r>
      <w:r w:rsidRPr="00E55A6B">
        <w:rPr>
          <w:i/>
          <w:spacing w:val="-2"/>
        </w:rPr>
        <w:t xml:space="preserve">477 </w:t>
      </w:r>
      <w:r w:rsidRPr="00CD216E">
        <w:rPr>
          <w:i/>
        </w:rPr>
        <w:t>Report and Order</w:t>
      </w:r>
      <w:r>
        <w:t xml:space="preserve">, 28 FCC Rcd 9887, 9908-09, para. </w:t>
      </w:r>
      <w:r w:rsidRPr="00E55A6B">
        <w:t>4</w:t>
      </w:r>
      <w:r>
        <w:t>2.</w:t>
      </w:r>
    </w:p>
  </w:footnote>
  <w:footnote w:id="14">
    <w:p w14:paraId="4F38B95F" w14:textId="5410B3C9" w:rsidR="004C570A" w:rsidRPr="00002A62" w:rsidRDefault="004C570A">
      <w:pPr>
        <w:pStyle w:val="FootnoteText"/>
      </w:pPr>
      <w:r>
        <w:rPr>
          <w:rStyle w:val="FootnoteReference"/>
        </w:rPr>
        <w:footnoteRef/>
      </w:r>
      <w:r>
        <w:t xml:space="preserve"> </w:t>
      </w:r>
      <w:r>
        <w:rPr>
          <w:i/>
        </w:rPr>
        <w:t>See id.</w:t>
      </w:r>
      <w:r>
        <w:t xml:space="preserve">, 28 FCC Rcd at 9897-98, paras 23-24.  (noting that the certification obligation will help promote complete and accurate data).  </w:t>
      </w:r>
    </w:p>
  </w:footnote>
  <w:footnote w:id="15">
    <w:p w14:paraId="30CB1657" w14:textId="77777777" w:rsidR="004C570A" w:rsidRDefault="004C570A" w:rsidP="00EB1C1E">
      <w:pPr>
        <w:pStyle w:val="FootnoteText"/>
      </w:pPr>
      <w:r>
        <w:rPr>
          <w:rStyle w:val="FootnoteReference"/>
          <w:rFonts w:eastAsiaTheme="majorEastAsia"/>
        </w:rPr>
        <w:footnoteRef/>
      </w:r>
      <w:r>
        <w:t xml:space="preserve"> </w:t>
      </w:r>
      <w:r w:rsidRPr="00874AF0">
        <w:rPr>
          <w:i/>
        </w:rPr>
        <w:t>See</w:t>
      </w:r>
      <w:r>
        <w:t xml:space="preserve"> Form 477 Mobile Wireless Data Report, July 2016 available at: </w:t>
      </w:r>
    </w:p>
  </w:footnote>
  <w:footnote w:id="16">
    <w:p w14:paraId="4902D2D1" w14:textId="117FAECB" w:rsidR="004C570A" w:rsidRPr="00323312" w:rsidRDefault="004C570A">
      <w:pPr>
        <w:pStyle w:val="FootnoteText"/>
      </w:pPr>
      <w:r>
        <w:rPr>
          <w:rStyle w:val="FootnoteReference"/>
        </w:rPr>
        <w:footnoteRef/>
      </w:r>
      <w:r>
        <w:t xml:space="preserve"> We note that the Commission recently adopted a comprehensive plan for providing high-cost support to mobile providers in Alaska.  Because the plan provides a comprehensive substitute mechanism for mobile high-cost support, the Commission provided that there would be no support provided under Mobility Fund Phase II or Tribal Mobility Fund Phase II for mobile service within Alaska.  </w:t>
      </w:r>
      <w:r>
        <w:rPr>
          <w:i/>
        </w:rPr>
        <w:t>See Connect America Fund; Universal Service Reform – Mobility Fund</w:t>
      </w:r>
      <w:r>
        <w:t>, WC Docket No. 10-90, WT Docket No. 10-208, Report and Order and Further Notice of Proposed Rulemaking, FCC 16-115, para. 98 (rel. Aug. 31, 2016) (</w:t>
      </w:r>
      <w:r>
        <w:rPr>
          <w:i/>
        </w:rPr>
        <w:t>Alaska Plan Order</w:t>
      </w:r>
      <w:r>
        <w:t xml:space="preserve">).  </w:t>
      </w:r>
    </w:p>
  </w:footnote>
  <w:footnote w:id="17">
    <w:p w14:paraId="7A24DF45" w14:textId="41F7F324" w:rsidR="004C570A" w:rsidRDefault="004C570A" w:rsidP="00EB1C1E">
      <w:pPr>
        <w:pStyle w:val="FootnoteText"/>
      </w:pPr>
      <w:r>
        <w:rPr>
          <w:rStyle w:val="FootnoteReference"/>
          <w:rFonts w:eastAsiaTheme="majorEastAsia"/>
        </w:rPr>
        <w:footnoteRef/>
      </w:r>
      <w:r>
        <w:t xml:space="preserve"> U.S. Census Bureau, </w:t>
      </w:r>
      <w:r w:rsidRPr="00945412">
        <w:t>MAF/TIGER Feature Class Code</w:t>
      </w:r>
      <w:r>
        <w:t xml:space="preserve"> Definitions, </w:t>
      </w:r>
      <w:hyperlink r:id="rId2" w:history="1">
        <w:r w:rsidRPr="003569BD">
          <w:rPr>
            <w:rStyle w:val="Hyperlink"/>
          </w:rPr>
          <w:t>https://www2.census.gov/geo/pdfs/maps-data/data/tiger/tgrshp2009/TGRSHP09AF.pdf</w:t>
        </w:r>
      </w:hyperlink>
      <w:r>
        <w:t xml:space="preserve"> (last visited Sept. 28, 2016).  </w:t>
      </w:r>
    </w:p>
  </w:footnote>
  <w:footnote w:id="18">
    <w:p w14:paraId="5D885481" w14:textId="40A8B4D4" w:rsidR="004C570A" w:rsidRDefault="004C570A">
      <w:pPr>
        <w:pStyle w:val="FootnoteText"/>
      </w:pPr>
      <w:r>
        <w:rPr>
          <w:rStyle w:val="FootnoteReference"/>
        </w:rPr>
        <w:footnoteRef/>
      </w:r>
      <w:r>
        <w:t xml:space="preserve"> </w:t>
      </w:r>
      <w:r w:rsidRPr="00A14EAF">
        <w:t>Mobility Fund Phase I Auction Scheduled for September 27, 2012; Notice and Filing Requirements and Other Procedures for Auction 901, Public Notice, AU Docket No. 12-25, DA 12-641, 27 FCC Rcd 4725</w:t>
      </w:r>
      <w:r>
        <w:t>, para.24 (2012) (</w:t>
      </w:r>
      <w:r w:rsidRPr="000E449C">
        <w:rPr>
          <w:i/>
        </w:rPr>
        <w:t>Auction 901 Procedures Public Notice</w:t>
      </w:r>
      <w:r w:rsidRPr="00A14EAF">
        <w:t xml:space="preserve">).  </w:t>
      </w:r>
    </w:p>
  </w:footnote>
  <w:footnote w:id="19">
    <w:p w14:paraId="519F6BE7" w14:textId="64E351AC" w:rsidR="004C570A" w:rsidRPr="00874AF0" w:rsidRDefault="004C570A">
      <w:pPr>
        <w:pStyle w:val="FootnoteText"/>
        <w:rPr>
          <w:i/>
        </w:rPr>
      </w:pPr>
      <w:r>
        <w:rPr>
          <w:rStyle w:val="FootnoteReference"/>
        </w:rPr>
        <w:footnoteRef/>
      </w:r>
      <w:r>
        <w:t xml:space="preserve"> </w:t>
      </w:r>
      <w:r>
        <w:rPr>
          <w:i/>
        </w:rPr>
        <w:t>Id.</w:t>
      </w:r>
    </w:p>
  </w:footnote>
  <w:footnote w:id="20">
    <w:p w14:paraId="0F07C29E" w14:textId="1F4655D9" w:rsidR="004C570A" w:rsidRPr="001326F9" w:rsidRDefault="004C570A" w:rsidP="00E32A46">
      <w:pPr>
        <w:pStyle w:val="FootnoteText"/>
      </w:pPr>
      <w:r>
        <w:rPr>
          <w:rStyle w:val="FootnoteReference"/>
          <w:rFonts w:eastAsiaTheme="majorEastAsia"/>
        </w:rPr>
        <w:footnoteRef/>
      </w:r>
      <w:r>
        <w:t xml:space="preserve"> </w:t>
      </w:r>
      <w:r>
        <w:rPr>
          <w:i/>
        </w:rPr>
        <w:t xml:space="preserve">See Mobility Fund Phase I Auction; Release of Files with Recalculated Road Miles for Auction 901; Mock Auction Rescheduled for September 21, 2012, </w:t>
      </w:r>
      <w:r>
        <w:t xml:space="preserve">Public Notice </w:t>
      </w:r>
      <w:r w:rsidRPr="00C230EC">
        <w:t>(DA 12-1446) rel. Sept. 7, 2012.</w:t>
      </w:r>
    </w:p>
  </w:footnote>
  <w:footnote w:id="21">
    <w:p w14:paraId="0867917B" w14:textId="71AD5BA8" w:rsidR="004C570A" w:rsidRDefault="004C570A">
      <w:pPr>
        <w:pStyle w:val="FootnoteText"/>
      </w:pPr>
      <w:r>
        <w:rPr>
          <w:rStyle w:val="FootnoteReference"/>
        </w:rPr>
        <w:footnoteRef/>
      </w:r>
      <w:r>
        <w:t xml:space="preserve"> Note that there are a certain number of CETCs that provide fixed, rather than mobile, service.  Data regarding subsidies provided to fixed CETCs are excluded from this analysis.</w:t>
      </w:r>
    </w:p>
  </w:footnote>
  <w:footnote w:id="22">
    <w:p w14:paraId="47B56EA4" w14:textId="268A101A" w:rsidR="004C570A" w:rsidRDefault="004C570A">
      <w:pPr>
        <w:pStyle w:val="FootnoteText"/>
      </w:pPr>
      <w:r>
        <w:rPr>
          <w:rStyle w:val="FootnoteReference"/>
        </w:rPr>
        <w:footnoteRef/>
      </w:r>
      <w:r>
        <w:t xml:space="preserve"> By statute, only providers that have been designated eligible telecommunications carriers (ETCs) may receive universal service support.  A provider that is designated an ETC must provide the services supported in accordance with the terms of the specific universal service mechanism under which the support is received, and do so throughout the service area for which it is designated an ETC.  </w:t>
      </w:r>
      <w:r>
        <w:rPr>
          <w:i/>
        </w:rPr>
        <w:t xml:space="preserve">See </w:t>
      </w:r>
      <w:r>
        <w:t>47 U.S.C. §§ 214(e) and 254(e).  USAC generally refers to a provider’s service area as its “study area.”</w:t>
      </w:r>
    </w:p>
  </w:footnote>
  <w:footnote w:id="23">
    <w:p w14:paraId="3FD1D035" w14:textId="4ADAB973" w:rsidR="004C570A" w:rsidRDefault="004C570A">
      <w:pPr>
        <w:pStyle w:val="FootnoteText"/>
      </w:pPr>
      <w:r>
        <w:rPr>
          <w:rStyle w:val="FootnoteReference"/>
        </w:rPr>
        <w:footnoteRef/>
      </w:r>
      <w:r>
        <w:t xml:space="preserve"> </w:t>
      </w:r>
      <w:r>
        <w:rPr>
          <w:i/>
        </w:rPr>
        <w:t xml:space="preserve">USF/ICC Transformation Order and/or </w:t>
      </w:r>
      <w:r w:rsidRPr="001E7630">
        <w:rPr>
          <w:i/>
        </w:rPr>
        <w:t>FNPRM</w:t>
      </w:r>
      <w:r>
        <w:t>, 26 FCC Rcd at 17827, p</w:t>
      </w:r>
      <w:r w:rsidRPr="001E7630">
        <w:t>ara</w:t>
      </w:r>
      <w:r>
        <w:t>. 502.</w:t>
      </w:r>
    </w:p>
  </w:footnote>
  <w:footnote w:id="24">
    <w:p w14:paraId="572D7071" w14:textId="44095927" w:rsidR="004C570A" w:rsidRPr="00774645" w:rsidRDefault="004C570A">
      <w:pPr>
        <w:pStyle w:val="FootnoteText"/>
      </w:pPr>
      <w:r w:rsidRPr="008C77A9">
        <w:rPr>
          <w:rStyle w:val="FootnoteReference"/>
        </w:rPr>
        <w:footnoteRef/>
      </w:r>
      <w:r w:rsidRPr="008C77A9">
        <w:t xml:space="preserve"> </w:t>
      </w:r>
      <w:r w:rsidRPr="008C77A9">
        <w:rPr>
          <w:i/>
        </w:rPr>
        <w:t>Id</w:t>
      </w:r>
      <w:r w:rsidRPr="00F9314A">
        <w:t>., 26 FCC Rcd at 17828</w:t>
      </w:r>
      <w:r>
        <w:rPr>
          <w:i/>
        </w:rPr>
        <w:t>,</w:t>
      </w:r>
      <w:r w:rsidRPr="008C77A9">
        <w:t xml:space="preserve"> para. 504.</w:t>
      </w:r>
    </w:p>
  </w:footnote>
  <w:footnote w:id="25">
    <w:p w14:paraId="09A321E4" w14:textId="3F5A0044" w:rsidR="004C570A" w:rsidRPr="00774645" w:rsidRDefault="004C570A">
      <w:pPr>
        <w:pStyle w:val="FootnoteText"/>
      </w:pPr>
      <w:r>
        <w:rPr>
          <w:rStyle w:val="FootnoteReference"/>
        </w:rPr>
        <w:footnoteRef/>
      </w:r>
      <w:r>
        <w:t xml:space="preserve"> </w:t>
      </w:r>
      <w:r w:rsidRPr="00835DB1">
        <w:rPr>
          <w:i/>
        </w:rPr>
        <w:t>Id.</w:t>
      </w:r>
      <w:r w:rsidRPr="00835DB1">
        <w:t xml:space="preserve"> at para. 505.</w:t>
      </w:r>
    </w:p>
  </w:footnote>
  <w:footnote w:id="26">
    <w:p w14:paraId="7FC0D4FF" w14:textId="707507B7" w:rsidR="004C570A" w:rsidRPr="002802B6" w:rsidRDefault="004C570A">
      <w:pPr>
        <w:pStyle w:val="FootnoteText"/>
      </w:pPr>
      <w:r>
        <w:rPr>
          <w:rStyle w:val="FootnoteReference"/>
        </w:rPr>
        <w:footnoteRef/>
      </w:r>
      <w:r>
        <w:t xml:space="preserve"> </w:t>
      </w:r>
      <w:r>
        <w:rPr>
          <w:i/>
        </w:rPr>
        <w:t>Id.</w:t>
      </w:r>
      <w:r>
        <w:t xml:space="preserve">, 26 FCC Rcd at 17827-17830, paras. 502-11. </w:t>
      </w:r>
    </w:p>
  </w:footnote>
  <w:footnote w:id="27">
    <w:p w14:paraId="684EDBD9" w14:textId="714CB176" w:rsidR="004C570A" w:rsidRDefault="004C570A">
      <w:pPr>
        <w:pStyle w:val="FootnoteText"/>
      </w:pPr>
      <w:r>
        <w:rPr>
          <w:rStyle w:val="FootnoteReference"/>
        </w:rPr>
        <w:footnoteRef/>
      </w:r>
      <w:r>
        <w:t xml:space="preserve"> </w:t>
      </w:r>
      <w:r>
        <w:rPr>
          <w:i/>
        </w:rPr>
        <w:t>Id.</w:t>
      </w:r>
      <w:r>
        <w:t>, 26 FCC Rcd at 17830-17833, paras. 513-22.</w:t>
      </w:r>
    </w:p>
  </w:footnote>
  <w:footnote w:id="28">
    <w:p w14:paraId="6B43B141" w14:textId="28A12E73" w:rsidR="004C570A" w:rsidRPr="00663FC3" w:rsidRDefault="004C570A">
      <w:pPr>
        <w:pStyle w:val="FootnoteText"/>
        <w:rPr>
          <w:i/>
        </w:rPr>
      </w:pPr>
      <w:r>
        <w:rPr>
          <w:rStyle w:val="FootnoteReference"/>
        </w:rPr>
        <w:footnoteRef/>
      </w:r>
      <w:r>
        <w:t xml:space="preserve"> </w:t>
      </w:r>
      <w:r>
        <w:rPr>
          <w:i/>
        </w:rPr>
        <w:t xml:space="preserve">See id. </w:t>
      </w:r>
      <w:r>
        <w:t xml:space="preserve">at para. 519. Separate rules applied to the receipt of CETC support in Alaska. </w:t>
      </w:r>
      <w:r>
        <w:rPr>
          <w:i/>
        </w:rPr>
        <w:t>See Alaska Plan Order</w:t>
      </w:r>
      <w:r>
        <w:t xml:space="preserve">, FCC 16-115 at para. 66 </w:t>
      </w:r>
      <w:r>
        <w:rPr>
          <w:i/>
        </w:rPr>
        <w:t>et seq.</w:t>
      </w:r>
    </w:p>
  </w:footnote>
  <w:footnote w:id="29">
    <w:p w14:paraId="7C7E52BF" w14:textId="5926CE29" w:rsidR="004C570A" w:rsidRPr="007C0AE8" w:rsidRDefault="004C570A">
      <w:pPr>
        <w:pStyle w:val="FootnoteText"/>
        <w:rPr>
          <w:b/>
        </w:rPr>
      </w:pPr>
      <w:r>
        <w:rPr>
          <w:rStyle w:val="FootnoteReference"/>
        </w:rPr>
        <w:footnoteRef/>
      </w:r>
      <w:r>
        <w:t xml:space="preserve"> USAC reports the amounts of ongoing legacy support on a CETC-specific basis.  For purposes of this Report, Commission staff has aggregated support received by affiliated CETCs.  Staff identifies affiliated companies by tracking the filings of </w:t>
      </w:r>
      <w:r w:rsidRPr="00524F10">
        <w:t xml:space="preserve">mobile wireless providers </w:t>
      </w:r>
      <w:r>
        <w:t xml:space="preserve">in connection with </w:t>
      </w:r>
      <w:r w:rsidRPr="00524F10">
        <w:t>transactions over the years</w:t>
      </w:r>
      <w:r>
        <w:t xml:space="preserve">. </w:t>
      </w:r>
      <w:r w:rsidRPr="00754FA9">
        <w:t>We match each provider identifier up with the holding company names to create a dataset with unique company identifiers is created. This involve</w:t>
      </w:r>
      <w:r w:rsidRPr="00026215">
        <w:t>s</w:t>
      </w:r>
      <w:r w:rsidRPr="00754FA9">
        <w:t xml:space="preserve"> tracking all transactions (mergers, sales etc.) of mobile wireless providers and attributing various entities to their appropriate parent companies after the transactions are consummated. </w:t>
      </w:r>
      <w:r w:rsidRPr="00026215">
        <w:t>We then merge</w:t>
      </w:r>
      <w:r w:rsidRPr="00754FA9">
        <w:t xml:space="preserve"> the shapefiles for these companies and their affiliates to create aggregated coverage shape files (by technology) for the parent entity.</w:t>
      </w:r>
    </w:p>
  </w:footnote>
  <w:footnote w:id="30">
    <w:p w14:paraId="09CB2BCE" w14:textId="267D6B6D" w:rsidR="004C570A" w:rsidRPr="00524A86" w:rsidRDefault="004C570A">
      <w:pPr>
        <w:pStyle w:val="FootnoteText"/>
        <w:rPr>
          <w:b/>
        </w:rPr>
      </w:pPr>
      <w:r>
        <w:rPr>
          <w:rStyle w:val="FootnoteReference"/>
        </w:rPr>
        <w:footnoteRef/>
      </w:r>
      <w:r>
        <w:t xml:space="preserve"> </w:t>
      </w:r>
      <w:r>
        <w:rPr>
          <w:i/>
        </w:rPr>
        <w:t>Id.</w:t>
      </w:r>
      <w:r>
        <w:t xml:space="preserve">, 26 FCC Rcd at 17674, 17773-34, 17819-20, paras. 28, 301, 481.  </w:t>
      </w:r>
    </w:p>
  </w:footnote>
  <w:footnote w:id="31">
    <w:p w14:paraId="72898959" w14:textId="40802723" w:rsidR="004C570A" w:rsidRDefault="004C570A" w:rsidP="00EB1C1E">
      <w:pPr>
        <w:pStyle w:val="FootnoteText"/>
      </w:pPr>
      <w:r>
        <w:rPr>
          <w:rStyle w:val="FootnoteReference"/>
          <w:rFonts w:eastAsiaTheme="majorEastAsia"/>
        </w:rPr>
        <w:footnoteRef/>
      </w:r>
      <w:r>
        <w:t xml:space="preserve"> </w:t>
      </w:r>
      <w:r w:rsidRPr="00835DB1">
        <w:t>Federal Communications Commission, Summary for Auction 901,</w:t>
      </w:r>
      <w:r>
        <w:t xml:space="preserve"> </w:t>
      </w:r>
      <w:hyperlink r:id="rId3" w:history="1">
        <w:r>
          <w:rPr>
            <w:rStyle w:val="Hyperlink"/>
          </w:rPr>
          <w:t>http://wireless.fcc.gov/auctions/901</w:t>
        </w:r>
      </w:hyperlink>
      <w:r>
        <w:t xml:space="preserve"> (last visited August 29, 2016); Federal Communications Commission, Summary for Auction 902, </w:t>
      </w:r>
      <w:hyperlink r:id="rId4" w:history="1">
        <w:r>
          <w:rPr>
            <w:rStyle w:val="Hyperlink"/>
          </w:rPr>
          <w:t>http://wireless.fcc.gov/auctions/902</w:t>
        </w:r>
      </w:hyperlink>
      <w:r>
        <w:t xml:space="preserve"> (last visited August 29, 2016). </w:t>
      </w:r>
    </w:p>
  </w:footnote>
  <w:footnote w:id="32">
    <w:p w14:paraId="21670F8C" w14:textId="40BFD389" w:rsidR="004C570A" w:rsidRDefault="004C570A" w:rsidP="00EB1C1E">
      <w:pPr>
        <w:pStyle w:val="FootnoteText"/>
      </w:pPr>
      <w:r>
        <w:rPr>
          <w:rStyle w:val="FootnoteReference"/>
          <w:rFonts w:eastAsiaTheme="majorEastAsia"/>
        </w:rPr>
        <w:footnoteRef/>
      </w:r>
      <w:r>
        <w:t xml:space="preserve"> </w:t>
      </w:r>
      <w:r>
        <w:rPr>
          <w:i/>
        </w:rPr>
        <w:t>USF/ICC</w:t>
      </w:r>
      <w:r w:rsidRPr="008419C9">
        <w:rPr>
          <w:i/>
        </w:rPr>
        <w:t xml:space="preserve"> Transformation Order</w:t>
      </w:r>
      <w:r>
        <w:rPr>
          <w:i/>
        </w:rPr>
        <w:t xml:space="preserve">, </w:t>
      </w:r>
      <w:r>
        <w:t xml:space="preserve">26 FCC Rcd at 10875, para. 1142; </w:t>
      </w:r>
      <w:r>
        <w:rPr>
          <w:i/>
        </w:rPr>
        <w:t>April 2014 Connect America</w:t>
      </w:r>
      <w:r w:rsidRPr="008419C9">
        <w:rPr>
          <w:i/>
        </w:rPr>
        <w:t xml:space="preserve"> Order and</w:t>
      </w:r>
      <w:r>
        <w:rPr>
          <w:i/>
        </w:rPr>
        <w:t>/or</w:t>
      </w:r>
      <w:r w:rsidRPr="008419C9">
        <w:rPr>
          <w:i/>
        </w:rPr>
        <w:t xml:space="preserve"> FNPRM</w:t>
      </w:r>
      <w:r>
        <w:rPr>
          <w:i/>
        </w:rPr>
        <w:t xml:space="preserve">. </w:t>
      </w:r>
      <w:r>
        <w:t>29 FCC Rcd at 7128-29, paras. 240-42.</w:t>
      </w:r>
    </w:p>
  </w:footnote>
  <w:footnote w:id="33">
    <w:p w14:paraId="09CC3D36" w14:textId="1C751FE2" w:rsidR="004C570A" w:rsidRDefault="004C570A" w:rsidP="00EB1C1E">
      <w:pPr>
        <w:pStyle w:val="FootnoteText"/>
      </w:pPr>
      <w:r>
        <w:rPr>
          <w:rStyle w:val="FootnoteReference"/>
          <w:rFonts w:eastAsiaTheme="majorEastAsia"/>
        </w:rPr>
        <w:footnoteRef/>
      </w:r>
      <w:hyperlink r:id="rId5" w:history="1">
        <w:r w:rsidRPr="0075614F">
          <w:rPr>
            <w:rStyle w:val="Hyperlink"/>
          </w:rPr>
          <w:t>http://www.census.gov/geo/maps-data/data/gazetteer2010.html</w:t>
        </w:r>
      </w:hyperlink>
      <w:r w:rsidRPr="0075614F">
        <w:rPr>
          <w:color w:val="000000"/>
        </w:rPr>
        <w:t>. These files contain the</w:t>
      </w:r>
      <w:r>
        <w:rPr>
          <w:color w:val="000000"/>
        </w:rPr>
        <w:t xml:space="preserve"> latitude and longitude of the </w:t>
      </w:r>
      <w:r w:rsidRPr="0075614F">
        <w:rPr>
          <w:color w:val="000000"/>
        </w:rPr>
        <w:t xml:space="preserve">centroid </w:t>
      </w:r>
      <w:r>
        <w:rPr>
          <w:color w:val="000000"/>
        </w:rPr>
        <w:t xml:space="preserve">at the block level. </w:t>
      </w:r>
      <w:r w:rsidRPr="0075614F">
        <w:rPr>
          <w:color w:val="000000"/>
        </w:rPr>
        <w:t>The latitude/longitude coordinate is approximately the geographic center of the geographic entity (e.g., county, place, etc) and is also referred to as the internal point of the entity. The Census Bureau calculates an internal point (latitude and longitude coordinates) for each geographic entity. For many geographic entities, the internal point is at or near the geographic center of the entity. For some irregularly shaped entities (such as those shaped like a crescent), the calculated geographic center may be located outside the boundaries of the entity. In such instances, the internal point is identified as a point inside the entity boundaries nearest to the calculated geographic center and, if possible, within a land polygon.</w:t>
      </w:r>
    </w:p>
  </w:footnote>
  <w:footnote w:id="34">
    <w:p w14:paraId="7B5501CD" w14:textId="3A72A3AD" w:rsidR="004C570A" w:rsidRPr="000E449C" w:rsidRDefault="004C570A" w:rsidP="00EB1C1E">
      <w:pPr>
        <w:pStyle w:val="FootnoteText"/>
      </w:pPr>
      <w:r>
        <w:rPr>
          <w:rStyle w:val="FootnoteReference"/>
          <w:rFonts w:eastAsiaTheme="majorEastAsia"/>
        </w:rPr>
        <w:footnoteRef/>
      </w:r>
      <w:r>
        <w:t xml:space="preserve"> </w:t>
      </w:r>
      <w:r>
        <w:rPr>
          <w:i/>
        </w:rPr>
        <w:t>See e.g.</w:t>
      </w:r>
      <w:r>
        <w:t xml:space="preserve">, </w:t>
      </w:r>
      <w:r w:rsidRPr="00925E7A">
        <w:rPr>
          <w:i/>
        </w:rPr>
        <w:t>Implementation of Section 6002(b) of the Omnibus Budget Reconciliation Act of 1993; Annual Report and Analysis of Competitive Market Conditions With Respect to Mobile Wireless, Including Commercial Mobile Services</w:t>
      </w:r>
      <w:r w:rsidRPr="008A6A0C">
        <w:t xml:space="preserve">, </w:t>
      </w:r>
      <w:r>
        <w:t xml:space="preserve">WT Docket No. 15-125, </w:t>
      </w:r>
      <w:r w:rsidRPr="00925E7A">
        <w:t>Eighteenth Report</w:t>
      </w:r>
      <w:r w:rsidRPr="008A6A0C">
        <w:t xml:space="preserve">, </w:t>
      </w:r>
      <w:r>
        <w:t>30</w:t>
      </w:r>
      <w:r w:rsidRPr="008A6A0C">
        <w:t xml:space="preserve"> FCC Rcd</w:t>
      </w:r>
      <w:r>
        <w:t xml:space="preserve"> 14515, para. 34 </w:t>
      </w:r>
      <w:r w:rsidRPr="008A6A0C">
        <w:t>(</w:t>
      </w:r>
      <w:r>
        <w:t xml:space="preserve">WTB </w:t>
      </w:r>
      <w:r w:rsidRPr="008A6A0C">
        <w:t>201</w:t>
      </w:r>
      <w:r>
        <w:t>5</w:t>
      </w:r>
      <w:r w:rsidRPr="008A6A0C">
        <w:t>)</w:t>
      </w:r>
      <w:r>
        <w:t>.</w:t>
      </w:r>
    </w:p>
  </w:footnote>
  <w:footnote w:id="35">
    <w:p w14:paraId="069C72C4" w14:textId="29BC89D6" w:rsidR="004C570A" w:rsidRDefault="004C570A" w:rsidP="00F42C5F">
      <w:pPr>
        <w:pStyle w:val="FootnoteText"/>
      </w:pPr>
      <w:r>
        <w:rPr>
          <w:rStyle w:val="FootnoteReference"/>
        </w:rPr>
        <w:footnoteRef/>
      </w:r>
      <w:r>
        <w:t xml:space="preserve"> </w:t>
      </w:r>
      <w:r w:rsidRPr="00F54341">
        <w:rPr>
          <w:i/>
        </w:rPr>
        <w:t xml:space="preserve">See </w:t>
      </w:r>
      <w:r>
        <w:t>Tribal Mobility Fund Phase I Auction</w:t>
      </w:r>
      <w:r w:rsidRPr="00F54341">
        <w:t xml:space="preserve"> </w:t>
      </w:r>
      <w:r>
        <w:t>Res</w:t>
      </w:r>
      <w:r w:rsidRPr="00F54341">
        <w:t xml:space="preserve">cheduled for </w:t>
      </w:r>
      <w:r>
        <w:t>December 19, 2013</w:t>
      </w:r>
      <w:r w:rsidRPr="00F54341">
        <w:t>; Notice and Filing Requirements</w:t>
      </w:r>
      <w:r>
        <w:t xml:space="preserve"> </w:t>
      </w:r>
      <w:r w:rsidRPr="00F54341">
        <w:t xml:space="preserve">and Other Procedures for Auction </w:t>
      </w:r>
      <w:r>
        <w:t>902</w:t>
      </w:r>
      <w:r w:rsidRPr="00F54341">
        <w:t xml:space="preserve">, </w:t>
      </w:r>
      <w:r w:rsidRPr="00F54341">
        <w:rPr>
          <w:i/>
        </w:rPr>
        <w:t>Public Notice</w:t>
      </w:r>
      <w:r w:rsidRPr="00F54341">
        <w:t xml:space="preserve">, AU Docket No. </w:t>
      </w:r>
      <w:r>
        <w:t>13</w:t>
      </w:r>
      <w:r w:rsidRPr="00F54341">
        <w:t>-</w:t>
      </w:r>
      <w:r>
        <w:t>53</w:t>
      </w:r>
      <w:r w:rsidRPr="00F54341">
        <w:t>, DA 1</w:t>
      </w:r>
      <w:r>
        <w:t>3-1672</w:t>
      </w:r>
      <w:r w:rsidRPr="00326C6D">
        <w:t xml:space="preserve">, </w:t>
      </w:r>
      <w:r>
        <w:t xml:space="preserve">paras. 17-23, </w:t>
      </w:r>
      <w:r w:rsidRPr="00326C6D">
        <w:t>2</w:t>
      </w:r>
      <w:r>
        <w:t>8</w:t>
      </w:r>
      <w:r w:rsidRPr="00326C6D">
        <w:t xml:space="preserve"> FCC Rcd </w:t>
      </w:r>
      <w:r>
        <w:t>11628, 11635-38</w:t>
      </w:r>
      <w:r w:rsidRPr="00326C6D">
        <w:t xml:space="preserve"> (201</w:t>
      </w:r>
      <w:r>
        <w:t>3</w:t>
      </w:r>
      <w:r w:rsidRPr="00326C6D">
        <w:t>) (</w:t>
      </w:r>
      <w:r w:rsidRPr="00326C6D">
        <w:rPr>
          <w:i/>
        </w:rPr>
        <w:t>Auction 90</w:t>
      </w:r>
      <w:r>
        <w:rPr>
          <w:i/>
        </w:rPr>
        <w:t>2</w:t>
      </w:r>
      <w:r w:rsidRPr="00326C6D">
        <w:rPr>
          <w:i/>
        </w:rPr>
        <w:t xml:space="preserve"> Procedures Public Notice</w:t>
      </w:r>
      <w:r w:rsidRPr="00326C6D">
        <w:t>)</w:t>
      </w:r>
      <w:r>
        <w:t>.</w:t>
      </w:r>
    </w:p>
  </w:footnote>
  <w:footnote w:id="36">
    <w:p w14:paraId="6FF38C0E" w14:textId="7C91C88C" w:rsidR="004C570A" w:rsidRDefault="004C570A">
      <w:pPr>
        <w:pStyle w:val="FootnoteText"/>
      </w:pPr>
      <w:r>
        <w:rPr>
          <w:rStyle w:val="FootnoteReference"/>
        </w:rPr>
        <w:footnoteRef/>
      </w:r>
      <w:r>
        <w:t xml:space="preserve">  </w:t>
      </w:r>
      <w:r>
        <w:rPr>
          <w:i/>
        </w:rPr>
        <w:t xml:space="preserve">See </w:t>
      </w:r>
      <w:r>
        <w:t xml:space="preserve">Methodology Appendix, </w:t>
      </w:r>
      <w:r>
        <w:rPr>
          <w:i/>
        </w:rPr>
        <w:t>supra</w:t>
      </w:r>
      <w:r>
        <w:t>, for details.</w:t>
      </w:r>
    </w:p>
  </w:footnote>
  <w:footnote w:id="37">
    <w:p w14:paraId="4555FE50" w14:textId="77777777" w:rsidR="004C570A" w:rsidRDefault="004C570A" w:rsidP="00F56E16">
      <w:pPr>
        <w:pStyle w:val="FootnoteText"/>
      </w:pPr>
      <w:r>
        <w:rPr>
          <w:rStyle w:val="FootnoteReference"/>
        </w:rPr>
        <w:footnoteRef/>
      </w:r>
      <w:r>
        <w:t xml:space="preserve"> </w:t>
      </w:r>
      <w:r>
        <w:rPr>
          <w:i/>
        </w:rPr>
        <w:t xml:space="preserve">See </w:t>
      </w:r>
      <w:r>
        <w:t xml:space="preserve">Methodology Appendix, </w:t>
      </w:r>
      <w:r>
        <w:rPr>
          <w:i/>
        </w:rPr>
        <w:t>supra</w:t>
      </w:r>
      <w:r>
        <w:t>, for details.</w:t>
      </w:r>
    </w:p>
  </w:footnote>
  <w:footnote w:id="38">
    <w:p w14:paraId="46205D56" w14:textId="123E71C3" w:rsidR="004C570A" w:rsidRPr="003E2224" w:rsidRDefault="004C570A">
      <w:pPr>
        <w:pStyle w:val="FootnoteText"/>
        <w:rPr>
          <w:i/>
        </w:rPr>
      </w:pPr>
      <w:r>
        <w:rPr>
          <w:rStyle w:val="FootnoteReference"/>
        </w:rPr>
        <w:footnoteRef/>
      </w:r>
      <w:r>
        <w:t xml:space="preserve"> </w:t>
      </w:r>
      <w:r>
        <w:rPr>
          <w:i/>
        </w:rPr>
        <w:t>See, infra.</w:t>
      </w:r>
      <w:r>
        <w:t xml:space="preserve"> n. 27; </w:t>
      </w:r>
      <w:r>
        <w:rPr>
          <w:i/>
        </w:rPr>
        <w:t>see also</w:t>
      </w:r>
      <w:r w:rsidRPr="008419C9">
        <w:t xml:space="preserve"> </w:t>
      </w:r>
      <w:r>
        <w:rPr>
          <w:i/>
        </w:rPr>
        <w:t>USF/ICC Transformation Order</w:t>
      </w:r>
      <w:r w:rsidRPr="00835DB1">
        <w:t>,</w:t>
      </w:r>
      <w:r>
        <w:t xml:space="preserve"> 26 FCC Rcd</w:t>
      </w:r>
      <w:r w:rsidRPr="008419C9">
        <w:t xml:space="preserve"> </w:t>
      </w:r>
      <w:r>
        <w:t>at 18070,</w:t>
      </w:r>
      <w:r w:rsidRPr="00835DB1">
        <w:t xml:space="preserve"> para. 1124 n. 2247 (noting that any provider offering 3G or better service in an area for which it is receiving MF-I support, would not be considered unsubsidized for purposes of MF-II).</w:t>
      </w:r>
      <w:r>
        <w:t xml:space="preserve">  B</w:t>
      </w:r>
      <w:r w:rsidRPr="003565BC">
        <w:t xml:space="preserve">locks where </w:t>
      </w:r>
      <w:r>
        <w:t>MF-I</w:t>
      </w:r>
      <w:r w:rsidRPr="003565BC">
        <w:t xml:space="preserve"> subsidy may not have been </w:t>
      </w:r>
      <w:r>
        <w:t xml:space="preserve">authorized or </w:t>
      </w:r>
      <w:r w:rsidRPr="003565BC">
        <w:t xml:space="preserve">disbursed due to non-fulfilment of certain obligations, but were </w:t>
      </w:r>
      <w:r>
        <w:t xml:space="preserve">covered by </w:t>
      </w:r>
      <w:r w:rsidRPr="003565BC">
        <w:t xml:space="preserve">winning </w:t>
      </w:r>
      <w:r>
        <w:t xml:space="preserve">bids </w:t>
      </w:r>
      <w:r w:rsidRPr="003565BC">
        <w:t xml:space="preserve">in the auctions, are treated as subsidized blocks for </w:t>
      </w:r>
      <w:r>
        <w:t xml:space="preserve">the winning bidder.  </w:t>
      </w:r>
    </w:p>
  </w:footnote>
  <w:footnote w:id="39">
    <w:p w14:paraId="72FD0478" w14:textId="35BEB1D7" w:rsidR="004C570A" w:rsidRDefault="004C570A" w:rsidP="008664AC">
      <w:pPr>
        <w:pStyle w:val="FootnoteText"/>
      </w:pPr>
      <w:r>
        <w:rPr>
          <w:rStyle w:val="FootnoteReference"/>
        </w:rPr>
        <w:footnoteRef/>
      </w:r>
      <w:r>
        <w:t xml:space="preserve"> Table 4b’s estimates of CETC support to these blocks is a conservative estimate of support being received for areas currently receiving unsubsidized LTE coverage because it does not reflect a sub-block-level analysis.  In particular, this estimate does not include any support being received for areas with unsubsidized LTE coverage that are in blocks with less than complete LTE coverage.  Certain providers may be receiving support in those blocks even though a provider not receiving any subsidy may provide a substantial portion, or all, of the LTE coverage in the blocks.</w:t>
      </w:r>
    </w:p>
  </w:footnote>
  <w:footnote w:id="40">
    <w:p w14:paraId="6FA16B4C" w14:textId="77777777" w:rsidR="004C570A" w:rsidRPr="00CC29D0" w:rsidRDefault="004C570A" w:rsidP="008664AC">
      <w:pPr>
        <w:spacing w:line="240" w:lineRule="auto"/>
        <w:rPr>
          <w:rFonts w:ascii="Times New Roman" w:hAnsi="Times New Roman" w:cs="Times New Roman"/>
          <w:sz w:val="20"/>
          <w:szCs w:val="20"/>
        </w:rPr>
      </w:pPr>
      <w:r w:rsidRPr="00CC29D0">
        <w:rPr>
          <w:rStyle w:val="FootnoteReference"/>
          <w:szCs w:val="20"/>
        </w:rPr>
        <w:footnoteRef/>
      </w:r>
      <w:r w:rsidRPr="00CC29D0">
        <w:rPr>
          <w:sz w:val="20"/>
          <w:szCs w:val="20"/>
        </w:rPr>
        <w:t xml:space="preserve"> </w:t>
      </w:r>
      <w:r w:rsidRPr="00CC29D0">
        <w:rPr>
          <w:rFonts w:ascii="Times New Roman" w:hAnsi="Times New Roman" w:cs="Times New Roman"/>
          <w:sz w:val="20"/>
          <w:szCs w:val="20"/>
        </w:rPr>
        <w:t xml:space="preserve">Note that since wire centers and blocks do not exactly match up, there is double counting of blocks for certain border of wire centers. The above algorithm handles this by summing the predicted subsidies from both </w:t>
      </w:r>
      <w:r>
        <w:rPr>
          <w:rFonts w:ascii="Times New Roman" w:hAnsi="Times New Roman" w:cs="Times New Roman"/>
          <w:sz w:val="20"/>
          <w:szCs w:val="20"/>
        </w:rPr>
        <w:t>high-cost support mechanisms</w:t>
      </w:r>
      <w:r w:rsidRPr="00CC29D0">
        <w:rPr>
          <w:rFonts w:ascii="Times New Roman" w:hAnsi="Times New Roman" w:cs="Times New Roman"/>
          <w:sz w:val="20"/>
          <w:szCs w:val="20"/>
        </w:rPr>
        <w:t xml:space="preserve"> in question.</w:t>
      </w:r>
    </w:p>
    <w:p w14:paraId="1E9E3E9E" w14:textId="77777777" w:rsidR="004C570A" w:rsidRDefault="004C570A" w:rsidP="008664A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D28D7" w14:textId="77777777" w:rsidR="00802A8F" w:rsidRDefault="00802A8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D875D" w14:textId="77777777" w:rsidR="004C570A" w:rsidRDefault="004C570A">
    <w:pPr>
      <w:pStyle w:val="Header"/>
    </w:pPr>
    <w:r>
      <w:rPr>
        <w:noProof/>
      </w:rPr>
      <mc:AlternateContent>
        <mc:Choice Requires="wps">
          <w:drawing>
            <wp:anchor distT="0" distB="0" distL="118745" distR="118745" simplePos="0" relativeHeight="251659776" behindDoc="1" locked="0" layoutInCell="1" allowOverlap="0" wp14:anchorId="66968D9B" wp14:editId="38C36C52">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6492240" cy="269875"/>
              <wp:effectExtent l="0" t="0" r="0" b="7620"/>
              <wp:wrapSquare wrapText="bothSides"/>
              <wp:docPr id="7" name="Rectangle 7"/>
              <wp:cNvGraphicFramePr/>
              <a:graphic xmlns:a="http://schemas.openxmlformats.org/drawingml/2006/main">
                <a:graphicData uri="http://schemas.microsoft.com/office/word/2010/wordprocessingShape">
                  <wps:wsp>
                    <wps:cNvSpPr/>
                    <wps:spPr>
                      <a:xfrm>
                        <a:off x="0" y="0"/>
                        <a:ext cx="6492240" cy="269875"/>
                      </a:xfrm>
                      <a:prstGeom prst="rect">
                        <a:avLst/>
                      </a:prstGeom>
                      <a:solidFill>
                        <a:srgbClr val="4F81BD"/>
                      </a:solidFill>
                      <a:ln w="25400" cap="flat" cmpd="sng" algn="ctr">
                        <a:noFill/>
                        <a:prstDash val="solid"/>
                      </a:ln>
                      <a:effectLst/>
                    </wps:spPr>
                    <wps:txbx>
                      <w:txbxContent>
                        <w:p w14:paraId="0136482F" w14:textId="1D42456E" w:rsidR="004C570A" w:rsidRPr="005C4FE2" w:rsidRDefault="004C570A">
                          <w:pPr>
                            <w:pStyle w:val="Header"/>
                            <w:tabs>
                              <w:tab w:val="clear" w:pos="4680"/>
                              <w:tab w:val="clear" w:pos="9360"/>
                            </w:tabs>
                            <w:jc w:val="center"/>
                            <w:rPr>
                              <w:rFonts w:ascii="Times New Roman" w:hAnsi="Times New Roman" w:cs="Times New Roman"/>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5="http://schemas.microsoft.com/office/word/2012/wordml">
          <w:pict>
            <v:rect w14:anchorId="66968D9B" id="Rectangle 7" o:spid="_x0000_s1033" style="position:absolute;margin-left:0;margin-top:0;width:511.2pt;height:21.25pt;z-index:-25165670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" o:allowoverlap="f" fillcolor="#4f81bd" stroked="f" strokeweight="2pt">
              <v:textbox style="mso-fit-shape-to-text:t">
                <w:txbxContent>
                  <w:p w14:paraId="0136482F" w14:textId="1D42456E" w:rsidR="004C570A" w:rsidRPr="005C4FE2" w:rsidRDefault="004C570A">
                    <w:pPr>
                      <w:pStyle w:val="Header"/>
                      <w:tabs>
                        <w:tab w:val="clear" w:pos="4680"/>
                        <w:tab w:val="clear" w:pos="9360"/>
                      </w:tabs>
                      <w:jc w:val="center"/>
                      <w:rPr>
                        <w:rFonts w:ascii="Times New Roman" w:hAnsi="Times New Roman" w:cs="Times New Roman"/>
                        <w:caps/>
                        <w:color w:val="FFFFFF" w:themeColor="background1"/>
                      </w:rPr>
                    </w:pPr>
                  </w:p>
                </w:txbxContent>
              </v:textbox>
              <w10:wrap type="square" anchorx="margin" anchory="page"/>
            </v:rect>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E8E3A" w14:textId="77777777" w:rsidR="004C570A" w:rsidRDefault="004C570A">
    <w:pPr>
      <w:pStyle w:val="Header"/>
    </w:pPr>
    <w:r>
      <w:rPr>
        <w:noProof/>
      </w:rPr>
      <mc:AlternateContent>
        <mc:Choice Requires="wps">
          <w:drawing>
            <wp:anchor distT="0" distB="0" distL="118745" distR="118745" simplePos="0" relativeHeight="251658752" behindDoc="1" locked="0" layoutInCell="1" allowOverlap="0" wp14:anchorId="440AB136" wp14:editId="693D3B88">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492240" cy="269875"/>
              <wp:effectExtent l="0" t="0" r="0" b="7620"/>
              <wp:wrapSquare wrapText="bothSides"/>
              <wp:docPr id="10" name="Rectangle 10"/>
              <wp:cNvGraphicFramePr/>
              <a:graphic xmlns:a="http://schemas.openxmlformats.org/drawingml/2006/main">
                <a:graphicData uri="http://schemas.microsoft.com/office/word/2010/wordprocessingShape">
                  <wps:wsp>
                    <wps:cNvSpPr/>
                    <wps:spPr>
                      <a:xfrm>
                        <a:off x="0" y="0"/>
                        <a:ext cx="6492240" cy="269875"/>
                      </a:xfrm>
                      <a:prstGeom prst="rect">
                        <a:avLst/>
                      </a:prstGeom>
                      <a:solidFill>
                        <a:srgbClr val="4F81BD"/>
                      </a:solidFill>
                      <a:ln w="25400" cap="flat" cmpd="sng" algn="ctr">
                        <a:noFill/>
                        <a:prstDash val="solid"/>
                      </a:ln>
                      <a:effectLst/>
                    </wps:spPr>
                    <wps:txbx>
                      <w:txbxContent>
                        <w:p w14:paraId="4097C1B2" w14:textId="6168DE75" w:rsidR="004C570A" w:rsidRPr="005C4FE2" w:rsidRDefault="004C570A">
                          <w:pPr>
                            <w:pStyle w:val="Header"/>
                            <w:tabs>
                              <w:tab w:val="clear" w:pos="4680"/>
                              <w:tab w:val="clear" w:pos="9360"/>
                            </w:tabs>
                            <w:jc w:val="center"/>
                            <w:rPr>
                              <w:rFonts w:ascii="Times New Roman" w:hAnsi="Times New Roman" w:cs="Times New Roman"/>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5="http://schemas.microsoft.com/office/word/2012/wordml">
          <w:pict>
            <v:rect w14:anchorId="440AB136" id="Rectangle 10" o:spid="_x0000_s1034" style="position:absolute;margin-left:0;margin-top:0;width:511.2pt;height:21.25pt;z-index:-25165772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" o:allowoverlap="f" fillcolor="#4f81bd" stroked="f" strokeweight="2pt">
              <v:textbox style="mso-fit-shape-to-text:t">
                <w:txbxContent>
                  <w:p w14:paraId="4097C1B2" w14:textId="6168DE75" w:rsidR="004C570A" w:rsidRPr="005C4FE2" w:rsidRDefault="004C570A">
                    <w:pPr>
                      <w:pStyle w:val="Header"/>
                      <w:tabs>
                        <w:tab w:val="clear" w:pos="4680"/>
                        <w:tab w:val="clear" w:pos="9360"/>
                      </w:tabs>
                      <w:jc w:val="center"/>
                      <w:rPr>
                        <w:rFonts w:ascii="Times New Roman" w:hAnsi="Times New Roman" w:cs="Times New Roman"/>
                        <w:caps/>
                        <w:color w:val="FFFFFF" w:themeColor="background1"/>
                      </w:rPr>
                    </w:pPr>
                  </w:p>
                </w:txbxContent>
              </v:textbox>
              <w10:wrap type="square"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FDA40" w14:textId="77777777" w:rsidR="004C570A" w:rsidRDefault="004C570A">
    <w:pPr>
      <w:pStyle w:val="Header"/>
    </w:pPr>
    <w:r>
      <w:rPr>
        <w:noProof/>
      </w:rPr>
      <mc:AlternateContent>
        <mc:Choice Requires="wps">
          <w:drawing>
            <wp:anchor distT="0" distB="0" distL="118745" distR="118745" simplePos="0" relativeHeight="251665920" behindDoc="1" locked="0" layoutInCell="1" allowOverlap="0" wp14:anchorId="6D02EBE9" wp14:editId="24213A44">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2" name="Rectangle 2"/>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43D861" w14:textId="37FB0FFB" w:rsidR="004C570A" w:rsidRDefault="004C570A">
                          <w:pPr>
                            <w:pStyle w:val="Header"/>
                            <w:tabs>
                              <w:tab w:val="clear" w:pos="4680"/>
                              <w:tab w:val="clear" w:pos="9360"/>
                            </w:tabs>
                            <w:jc w:val="cent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5="http://schemas.microsoft.com/office/word/2012/wordml">
          <w:pict>
            <v:rect w14:anchorId="6D02EBE9" id="Rectangle 2" o:spid="_x0000_s1026" style="position:absolute;margin-left:0;margin-top:0;width:468.5pt;height:21.3pt;z-index:-25165056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" o:allowoverlap="f" fillcolor="#4f81bd [3204]" stroked="f" strokeweight="2pt">
              <v:textbox style="mso-fit-shape-to-text:t">
                <w:txbxContent>
                  <w:p w14:paraId="3C43D861" w14:textId="37FB0FFB" w:rsidR="004C570A" w:rsidRDefault="004C570A">
                    <w:pPr>
                      <w:pStyle w:val="Header"/>
                      <w:tabs>
                        <w:tab w:val="clear" w:pos="4680"/>
                        <w:tab w:val="clear" w:pos="9360"/>
                      </w:tabs>
                      <w:jc w:val="center"/>
                      <w:rPr>
                        <w:caps/>
                        <w:color w:val="FFFFFF" w:themeColor="background1"/>
                      </w:rPr>
                    </w:pPr>
                  </w:p>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2CD28" w14:textId="77777777" w:rsidR="00802A8F" w:rsidRDefault="00802A8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2088C" w14:textId="77777777" w:rsidR="004C570A" w:rsidRDefault="004C570A">
    <w:pPr>
      <w:pStyle w:val="Header"/>
    </w:pPr>
    <w:r>
      <w:rPr>
        <w:noProof/>
      </w:rPr>
      <mc:AlternateContent>
        <mc:Choice Requires="wps">
          <w:drawing>
            <wp:anchor distT="0" distB="0" distL="118745" distR="118745" simplePos="0" relativeHeight="251667968" behindDoc="1" locked="0" layoutInCell="1" allowOverlap="0" wp14:anchorId="2C3EB249" wp14:editId="7C4A62AC">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 name="Rectangle 1"/>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A2DBB0" w14:textId="77777777" w:rsidR="004C570A" w:rsidRDefault="004C570A">
                          <w:pPr>
                            <w:pStyle w:val="Header"/>
                            <w:tabs>
                              <w:tab w:val="clear" w:pos="4680"/>
                              <w:tab w:val="clear" w:pos="9360"/>
                            </w:tabs>
                            <w:jc w:val="cent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5="http://schemas.microsoft.com/office/word/2012/wordml">
          <w:pict>
            <v:rect w14:anchorId="2C3EB249" id="Rectangle 1" o:spid="_x0000_s1027" style="position:absolute;margin-left:0;margin-top:0;width:468.5pt;height:21.3pt;z-index:-25164851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" o:allowoverlap="f" fillcolor="#4f81bd [3204]" stroked="f" strokeweight="2pt">
              <v:textbox style="mso-fit-shape-to-text:t">
                <w:txbxContent>
                  <w:p w14:paraId="34A2DBB0" w14:textId="77777777" w:rsidR="004C570A" w:rsidRDefault="004C570A">
                    <w:pPr>
                      <w:pStyle w:val="Header"/>
                      <w:tabs>
                        <w:tab w:val="clear" w:pos="4680"/>
                        <w:tab w:val="clear" w:pos="9360"/>
                      </w:tabs>
                      <w:jc w:val="center"/>
                      <w:rPr>
                        <w:caps/>
                        <w:color w:val="FFFFFF" w:themeColor="background1"/>
                      </w:rPr>
                    </w:pPr>
                  </w:p>
                </w:txbxContent>
              </v:textbox>
              <w10:wrap type="square" anchorx="margin"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D4C35" w14:textId="3B82A4B5" w:rsidR="004C570A" w:rsidRDefault="004C570A">
    <w:pPr>
      <w:pStyle w:val="Header"/>
    </w:pPr>
    <w:r>
      <w:rPr>
        <w:noProof/>
      </w:rPr>
      <mc:AlternateContent>
        <mc:Choice Requires="wps">
          <w:drawing>
            <wp:anchor distT="0" distB="0" distL="118745" distR="118745" simplePos="0" relativeHeight="251655680" behindDoc="1" locked="0" layoutInCell="1" allowOverlap="0" wp14:anchorId="4305E95A" wp14:editId="1F368D7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492240" cy="269875"/>
              <wp:effectExtent l="0" t="0" r="0" b="7620"/>
              <wp:wrapSquare wrapText="bothSides"/>
              <wp:docPr id="4" name="Rectangle 4"/>
              <wp:cNvGraphicFramePr/>
              <a:graphic xmlns:a="http://schemas.openxmlformats.org/drawingml/2006/main">
                <a:graphicData uri="http://schemas.microsoft.com/office/word/2010/wordprocessingShape">
                  <wps:wsp>
                    <wps:cNvSpPr/>
                    <wps:spPr>
                      <a:xfrm>
                        <a:off x="0" y="0"/>
                        <a:ext cx="649224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BB1FBC" w14:textId="3551B69F" w:rsidR="004C570A" w:rsidRPr="005C4FE2" w:rsidRDefault="004C570A">
                          <w:pPr>
                            <w:pStyle w:val="Header"/>
                            <w:tabs>
                              <w:tab w:val="clear" w:pos="4680"/>
                              <w:tab w:val="clear" w:pos="9360"/>
                            </w:tabs>
                            <w:jc w:val="center"/>
                            <w:rPr>
                              <w:rFonts w:ascii="Times New Roman" w:hAnsi="Times New Roman" w:cs="Times New Roman"/>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5="http://schemas.microsoft.com/office/word/2012/wordml">
          <w:pict>
            <v:rect w14:anchorId="4305E95A" id="Rectangle 4" o:spid="_x0000_s1028" style="position:absolute;margin-left:0;margin-top:0;width:511.2pt;height:21.25pt;z-index:-25166080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" o:allowoverlap="f" fillcolor="#4f81bd [3204]" stroked="f" strokeweight="2pt">
              <v:textbox style="mso-fit-shape-to-text:t">
                <w:txbxContent>
                  <w:p w14:paraId="56BB1FBC" w14:textId="3551B69F" w:rsidR="004C570A" w:rsidRPr="005C4FE2" w:rsidRDefault="004C570A">
                    <w:pPr>
                      <w:pStyle w:val="Header"/>
                      <w:tabs>
                        <w:tab w:val="clear" w:pos="4680"/>
                        <w:tab w:val="clear" w:pos="9360"/>
                      </w:tabs>
                      <w:jc w:val="center"/>
                      <w:rPr>
                        <w:rFonts w:ascii="Times New Roman" w:hAnsi="Times New Roman" w:cs="Times New Roman"/>
                        <w:caps/>
                        <w:color w:val="FFFFFF" w:themeColor="background1"/>
                      </w:rPr>
                    </w:pPr>
                  </w:p>
                </w:txbxContent>
              </v:textbox>
              <w10:wrap type="square" anchorx="margin" anchory="page"/>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20A53" w14:textId="77777777" w:rsidR="004C570A" w:rsidRDefault="004C570A">
    <w:pPr>
      <w:pStyle w:val="Header"/>
    </w:pPr>
    <w:r>
      <w:rPr>
        <w:noProof/>
      </w:rPr>
      <mc:AlternateContent>
        <mc:Choice Requires="wps">
          <w:drawing>
            <wp:anchor distT="0" distB="0" distL="118745" distR="118745" simplePos="0" relativeHeight="251670016" behindDoc="1" locked="0" layoutInCell="1" allowOverlap="0" wp14:anchorId="3FB2CFE5" wp14:editId="49DE5171">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6492240" cy="269875"/>
              <wp:effectExtent l="0" t="0" r="0" b="7620"/>
              <wp:wrapSquare wrapText="bothSides"/>
              <wp:docPr id="3" name="Rectangle 3"/>
              <wp:cNvGraphicFramePr/>
              <a:graphic xmlns:a="http://schemas.openxmlformats.org/drawingml/2006/main">
                <a:graphicData uri="http://schemas.microsoft.com/office/word/2010/wordprocessingShape">
                  <wps:wsp>
                    <wps:cNvSpPr/>
                    <wps:spPr>
                      <a:xfrm>
                        <a:off x="0" y="0"/>
                        <a:ext cx="649224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26BDBF" w14:textId="77777777" w:rsidR="004C570A" w:rsidRPr="005C4FE2" w:rsidRDefault="004C570A">
                          <w:pPr>
                            <w:pStyle w:val="Header"/>
                            <w:tabs>
                              <w:tab w:val="clear" w:pos="4680"/>
                              <w:tab w:val="clear" w:pos="9360"/>
                            </w:tabs>
                            <w:jc w:val="center"/>
                            <w:rPr>
                              <w:rFonts w:ascii="Times New Roman" w:hAnsi="Times New Roman" w:cs="Times New Roman"/>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5="http://schemas.microsoft.com/office/word/2012/wordml">
          <w:pict>
            <v:rect w14:anchorId="3FB2CFE5" id="Rectangle 3" o:spid="_x0000_s1029" style="position:absolute;margin-left:0;margin-top:0;width:511.2pt;height:21.25pt;z-index:-25164646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" o:allowoverlap="f" fillcolor="#4f81bd [3204]" stroked="f" strokeweight="2pt">
              <v:textbox style="mso-fit-shape-to-text:t">
                <w:txbxContent>
                  <w:p w14:paraId="3726BDBF" w14:textId="77777777" w:rsidR="004C570A" w:rsidRPr="005C4FE2" w:rsidRDefault="004C570A">
                    <w:pPr>
                      <w:pStyle w:val="Header"/>
                      <w:tabs>
                        <w:tab w:val="clear" w:pos="4680"/>
                        <w:tab w:val="clear" w:pos="9360"/>
                      </w:tabs>
                      <w:jc w:val="center"/>
                      <w:rPr>
                        <w:rFonts w:ascii="Times New Roman" w:hAnsi="Times New Roman" w:cs="Times New Roman"/>
                        <w:caps/>
                        <w:color w:val="FFFFFF" w:themeColor="background1"/>
                      </w:rPr>
                    </w:pPr>
                  </w:p>
                </w:txbxContent>
              </v:textbox>
              <w10:wrap type="square" anchorx="margin" anchory="page"/>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E8B8F" w14:textId="5C594E90" w:rsidR="004C570A" w:rsidRDefault="004C570A">
    <w:pPr>
      <w:pStyle w:val="Header"/>
    </w:pPr>
    <w:r>
      <w:rPr>
        <w:noProof/>
      </w:rPr>
      <mc:AlternateContent>
        <mc:Choice Requires="wps">
          <w:drawing>
            <wp:anchor distT="0" distB="0" distL="118745" distR="118745" simplePos="0" relativeHeight="251661824" behindDoc="1" locked="0" layoutInCell="1" allowOverlap="0" wp14:anchorId="6927DFCC" wp14:editId="39C18E1F">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D84845" w14:textId="512887AA" w:rsidR="004C570A" w:rsidRDefault="004C570A">
                          <w:pPr>
                            <w:pStyle w:val="Header"/>
                            <w:tabs>
                              <w:tab w:val="clear" w:pos="4680"/>
                              <w:tab w:val="clear" w:pos="9360"/>
                            </w:tabs>
                            <w:jc w:val="cent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5="http://schemas.microsoft.com/office/word/2012/wordml">
          <w:pict>
            <v:rect w14:anchorId="6927DFCC" id="Rectangle 197" o:spid="_x0000_s1030" style="position:absolute;margin-left:0;margin-top:0;width:468.5pt;height:21.3pt;z-index:-25165465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" o:allowoverlap="f" fillcolor="#4f81bd [3204]" stroked="f" strokeweight="2pt">
              <v:textbox style="mso-fit-shape-to-text:t">
                <w:txbxContent>
                  <w:p w14:paraId="38D84845" w14:textId="512887AA" w:rsidR="004C570A" w:rsidRDefault="004C570A">
                    <w:pPr>
                      <w:pStyle w:val="Header"/>
                      <w:tabs>
                        <w:tab w:val="clear" w:pos="4680"/>
                        <w:tab w:val="clear" w:pos="9360"/>
                      </w:tabs>
                      <w:jc w:val="center"/>
                      <w:rPr>
                        <w:caps/>
                        <w:color w:val="FFFFFF" w:themeColor="background1"/>
                      </w:rPr>
                    </w:pPr>
                  </w:p>
                </w:txbxContent>
              </v:textbox>
              <w10:wrap type="square" anchorx="margin" anchory="page"/>
            </v:rec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84C19" w14:textId="77777777" w:rsidR="004C570A" w:rsidRDefault="004C570A">
    <w:pPr>
      <w:pStyle w:val="Header"/>
    </w:pPr>
    <w:r>
      <w:rPr>
        <w:noProof/>
      </w:rPr>
      <mc:AlternateContent>
        <mc:Choice Requires="wps">
          <w:drawing>
            <wp:anchor distT="0" distB="0" distL="118745" distR="118745" simplePos="0" relativeHeight="251672064" behindDoc="1" locked="0" layoutInCell="1" allowOverlap="0" wp14:anchorId="51EC1813" wp14:editId="69646532">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5" name="Rectangle 5"/>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12F3D8" w14:textId="77777777" w:rsidR="004C570A" w:rsidRDefault="004C570A">
                          <w:pPr>
                            <w:pStyle w:val="Header"/>
                            <w:tabs>
                              <w:tab w:val="clear" w:pos="4680"/>
                              <w:tab w:val="clear" w:pos="9360"/>
                            </w:tabs>
                            <w:jc w:val="cent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5="http://schemas.microsoft.com/office/word/2012/wordml">
          <w:pict>
            <v:rect w14:anchorId="51EC1813" id="Rectangle 5" o:spid="_x0000_s1031" style="position:absolute;margin-left:0;margin-top:0;width:468.5pt;height:21.3pt;z-index:-2516444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" o:allowoverlap="f" fillcolor="#4f81bd [3204]" stroked="f" strokeweight="2pt">
              <v:textbox style="mso-fit-shape-to-text:t">
                <w:txbxContent>
                  <w:p w14:paraId="7D12F3D8" w14:textId="77777777" w:rsidR="004C570A" w:rsidRDefault="004C570A">
                    <w:pPr>
                      <w:pStyle w:val="Header"/>
                      <w:tabs>
                        <w:tab w:val="clear" w:pos="4680"/>
                        <w:tab w:val="clear" w:pos="9360"/>
                      </w:tabs>
                      <w:jc w:val="center"/>
                      <w:rPr>
                        <w:caps/>
                        <w:color w:val="FFFFFF" w:themeColor="background1"/>
                      </w:rPr>
                    </w:pPr>
                  </w:p>
                </w:txbxContent>
              </v:textbox>
              <w10:wrap type="square" anchorx="margin" anchory="page"/>
            </v:rec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2CFAD" w14:textId="799B51B3" w:rsidR="004C570A" w:rsidRDefault="004C570A">
    <w:pPr>
      <w:pStyle w:val="Header"/>
    </w:pPr>
    <w:r>
      <w:rPr>
        <w:noProof/>
      </w:rPr>
      <mc:AlternateContent>
        <mc:Choice Requires="wps">
          <w:drawing>
            <wp:anchor distT="0" distB="0" distL="118745" distR="118745" simplePos="0" relativeHeight="251657728" behindDoc="1" locked="0" layoutInCell="1" allowOverlap="0" wp14:anchorId="1A69431C" wp14:editId="534058AC">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492240" cy="269875"/>
              <wp:effectExtent l="0" t="0" r="0" b="7620"/>
              <wp:wrapSquare wrapText="bothSides"/>
              <wp:docPr id="6" name="Rectangle 6"/>
              <wp:cNvGraphicFramePr/>
              <a:graphic xmlns:a="http://schemas.openxmlformats.org/drawingml/2006/main">
                <a:graphicData uri="http://schemas.microsoft.com/office/word/2010/wordprocessingShape">
                  <wps:wsp>
                    <wps:cNvSpPr/>
                    <wps:spPr>
                      <a:xfrm>
                        <a:off x="0" y="0"/>
                        <a:ext cx="6492240" cy="269875"/>
                      </a:xfrm>
                      <a:prstGeom prst="rect">
                        <a:avLst/>
                      </a:prstGeom>
                      <a:solidFill>
                        <a:srgbClr val="4F81BD"/>
                      </a:solidFill>
                      <a:ln w="25400" cap="flat" cmpd="sng" algn="ctr">
                        <a:noFill/>
                        <a:prstDash val="solid"/>
                      </a:ln>
                      <a:effectLst/>
                    </wps:spPr>
                    <wps:txbx>
                      <w:txbxContent>
                        <w:p w14:paraId="08157B86" w14:textId="3F22BD91" w:rsidR="004C570A" w:rsidRPr="005C4FE2" w:rsidRDefault="004C570A">
                          <w:pPr>
                            <w:pStyle w:val="Header"/>
                            <w:tabs>
                              <w:tab w:val="clear" w:pos="4680"/>
                              <w:tab w:val="clear" w:pos="9360"/>
                            </w:tabs>
                            <w:jc w:val="center"/>
                            <w:rPr>
                              <w:rFonts w:ascii="Times New Roman" w:hAnsi="Times New Roman" w:cs="Times New Roman"/>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5="http://schemas.microsoft.com/office/word/2012/wordml">
          <w:pict>
            <v:rect w14:anchorId="1A69431C" id="Rectangle 6" o:spid="_x0000_s1032" style="position:absolute;margin-left:0;margin-top:0;width:511.2pt;height:21.25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" o:allowoverlap="f" fillcolor="#4f81bd" stroked="f" strokeweight="2pt">
              <v:textbox style="mso-fit-shape-to-text:t">
                <w:txbxContent>
                  <w:p w14:paraId="08157B86" w14:textId="3F22BD91" w:rsidR="004C570A" w:rsidRPr="005C4FE2" w:rsidRDefault="004C570A">
                    <w:pPr>
                      <w:pStyle w:val="Header"/>
                      <w:tabs>
                        <w:tab w:val="clear" w:pos="4680"/>
                        <w:tab w:val="clear" w:pos="9360"/>
                      </w:tabs>
                      <w:jc w:val="center"/>
                      <w:rPr>
                        <w:rFonts w:ascii="Times New Roman" w:hAnsi="Times New Roman" w:cs="Times New Roman"/>
                        <w:caps/>
                        <w:color w:val="FFFFFF" w:themeColor="background1"/>
                      </w:rPr>
                    </w:pP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034"/>
    <w:multiLevelType w:val="hybridMultilevel"/>
    <w:tmpl w:val="B31017E0"/>
    <w:lvl w:ilvl="0" w:tplc="045ED222">
      <w:start w:val="1"/>
      <w:numFmt w:val="decimal"/>
      <w:lvlText w:val="%1."/>
      <w:lvlJc w:val="left"/>
      <w:pPr>
        <w:ind w:left="720" w:hanging="360"/>
      </w:pPr>
      <w:rPr>
        <w:rFonts w:ascii="Times New Roman" w:hAnsi="Times New Roman" w:cs="Times New Roman" w:hint="default"/>
        <w:b w:val="0"/>
        <w:sz w:val="24"/>
        <w:szCs w:val="24"/>
      </w:rPr>
    </w:lvl>
    <w:lvl w:ilvl="1" w:tplc="7A32492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374A7"/>
    <w:multiLevelType w:val="hybridMultilevel"/>
    <w:tmpl w:val="506A6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B3166"/>
    <w:multiLevelType w:val="hybridMultilevel"/>
    <w:tmpl w:val="B4AA634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E51F97"/>
    <w:multiLevelType w:val="hybridMultilevel"/>
    <w:tmpl w:val="12CED8BA"/>
    <w:lvl w:ilvl="0" w:tplc="DB561F82">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065930"/>
    <w:multiLevelType w:val="hybridMultilevel"/>
    <w:tmpl w:val="A45C0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634901"/>
    <w:multiLevelType w:val="hybridMultilevel"/>
    <w:tmpl w:val="D97A9BF0"/>
    <w:lvl w:ilvl="0" w:tplc="04090019">
      <w:start w:val="1"/>
      <w:numFmt w:val="lowerLetter"/>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A62FB9"/>
    <w:multiLevelType w:val="hybridMultilevel"/>
    <w:tmpl w:val="F5DE09E8"/>
    <w:lvl w:ilvl="0" w:tplc="89028110">
      <w:start w:val="1"/>
      <w:numFmt w:val="lowerRoman"/>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F32D4D"/>
    <w:multiLevelType w:val="hybridMultilevel"/>
    <w:tmpl w:val="98EC1E6E"/>
    <w:lvl w:ilvl="0" w:tplc="EB12B2E2">
      <w:start w:val="1"/>
      <w:numFmt w:val="decimal"/>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927B95"/>
    <w:multiLevelType w:val="hybridMultilevel"/>
    <w:tmpl w:val="C05C0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5D3397D"/>
    <w:multiLevelType w:val="hybridMultilevel"/>
    <w:tmpl w:val="4DC4B3A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7D95F7D"/>
    <w:multiLevelType w:val="hybridMultilevel"/>
    <w:tmpl w:val="10224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hint="default"/>
      </w:rPr>
    </w:lvl>
    <w:lvl w:ilvl="5" w:tplc="04090005">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1">
    <w:nsid w:val="27E95ED8"/>
    <w:multiLevelType w:val="hybridMultilevel"/>
    <w:tmpl w:val="BEFEC46A"/>
    <w:lvl w:ilvl="0" w:tplc="ED1865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47780E"/>
    <w:multiLevelType w:val="hybridMultilevel"/>
    <w:tmpl w:val="043E0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B647DE"/>
    <w:multiLevelType w:val="hybridMultilevel"/>
    <w:tmpl w:val="C770CD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E4C2076"/>
    <w:multiLevelType w:val="hybridMultilevel"/>
    <w:tmpl w:val="549658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FC7142"/>
    <w:multiLevelType w:val="hybridMultilevel"/>
    <w:tmpl w:val="01266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ED0477"/>
    <w:multiLevelType w:val="hybridMultilevel"/>
    <w:tmpl w:val="12CED8BA"/>
    <w:lvl w:ilvl="0" w:tplc="DB561F82">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9F4B85"/>
    <w:multiLevelType w:val="hybridMultilevel"/>
    <w:tmpl w:val="C91E22B0"/>
    <w:lvl w:ilvl="0" w:tplc="7854D2EE">
      <w:start w:val="1"/>
      <w:numFmt w:val="lowerLetter"/>
      <w:lvlText w:val="%1."/>
      <w:lvlJc w:val="left"/>
      <w:pPr>
        <w:ind w:left="1080" w:hanging="360"/>
      </w:pPr>
      <w:rPr>
        <w:rFonts w:hint="default"/>
        <w:sz w:val="24"/>
        <w:szCs w:val="24"/>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055078"/>
    <w:multiLevelType w:val="hybridMultilevel"/>
    <w:tmpl w:val="9728542A"/>
    <w:lvl w:ilvl="0" w:tplc="04090019">
      <w:start w:val="1"/>
      <w:numFmt w:val="lowerLetter"/>
      <w:lvlText w:val="%1."/>
      <w:lvlJc w:val="left"/>
      <w:pPr>
        <w:ind w:left="1080" w:hanging="360"/>
      </w:pPr>
      <w:rPr>
        <w:rFonts w:hint="default"/>
        <w:sz w:val="24"/>
        <w:szCs w:val="24"/>
      </w:rPr>
    </w:lvl>
    <w:lvl w:ilvl="1" w:tplc="457296B8">
      <w:start w:val="2"/>
      <w:numFmt w:val="lowerLetter"/>
      <w:lvlText w:val="%2."/>
      <w:lvlJc w:val="left"/>
      <w:pPr>
        <w:ind w:left="1800" w:hanging="360"/>
      </w:pPr>
      <w:rPr>
        <w:rFonts w:cs="Times New Roman"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A566337"/>
    <w:multiLevelType w:val="hybridMultilevel"/>
    <w:tmpl w:val="0318280E"/>
    <w:lvl w:ilvl="0" w:tplc="045ED222">
      <w:start w:val="1"/>
      <w:numFmt w:val="decimal"/>
      <w:lvlText w:val="%1."/>
      <w:lvlJc w:val="left"/>
      <w:pPr>
        <w:ind w:left="720" w:hanging="360"/>
      </w:pPr>
      <w:rPr>
        <w:rFonts w:ascii="Times New Roman" w:hAnsi="Times New Roman" w:cs="Times New Roman" w:hint="default"/>
        <w:b w:val="0"/>
        <w:sz w:val="24"/>
        <w:szCs w:val="24"/>
      </w:rPr>
    </w:lvl>
    <w:lvl w:ilvl="1" w:tplc="7A32492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1">
    <w:nsid w:val="6BE04C91"/>
    <w:multiLevelType w:val="hybridMultilevel"/>
    <w:tmpl w:val="C5E224AA"/>
    <w:lvl w:ilvl="0" w:tplc="DFD47A66">
      <w:start w:val="1"/>
      <w:numFmt w:val="lowerRoman"/>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CFF46D7"/>
    <w:multiLevelType w:val="hybridMultilevel"/>
    <w:tmpl w:val="5A6EB6D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D3854F1"/>
    <w:multiLevelType w:val="hybridMultilevel"/>
    <w:tmpl w:val="B55C39E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F5B5197"/>
    <w:multiLevelType w:val="hybridMultilevel"/>
    <w:tmpl w:val="02609FD2"/>
    <w:lvl w:ilvl="0" w:tplc="4334803E">
      <w:start w:val="1"/>
      <w:numFmt w:val="upperRoman"/>
      <w:lvlText w:val="%1."/>
      <w:lvlJc w:val="left"/>
      <w:pPr>
        <w:ind w:left="720" w:hanging="360"/>
      </w:pPr>
      <w:rPr>
        <w:rFonts w:asciiTheme="majorHAnsi" w:eastAsia="Times New Roman" w:hAnsiTheme="majorHAnsi" w:cstheme="majorBidi"/>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000852"/>
    <w:multiLevelType w:val="hybridMultilevel"/>
    <w:tmpl w:val="02166364"/>
    <w:lvl w:ilvl="0" w:tplc="DB561F82">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7C3F93"/>
    <w:multiLevelType w:val="hybridMultilevel"/>
    <w:tmpl w:val="4D229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AA51A8"/>
    <w:multiLevelType w:val="hybridMultilevel"/>
    <w:tmpl w:val="95FA3276"/>
    <w:lvl w:ilvl="0" w:tplc="045ED222">
      <w:start w:val="1"/>
      <w:numFmt w:val="decimal"/>
      <w:lvlText w:val="%1."/>
      <w:lvlJc w:val="left"/>
      <w:pPr>
        <w:ind w:left="720" w:hanging="360"/>
      </w:pPr>
      <w:rPr>
        <w:rFonts w:ascii="Times New Roman" w:hAnsi="Times New Roman" w:cs="Times New Roman" w:hint="default"/>
        <w:b w:val="0"/>
        <w:sz w:val="24"/>
        <w:szCs w:val="24"/>
      </w:rPr>
    </w:lvl>
    <w:lvl w:ilvl="1" w:tplc="7A32492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AD7DAD"/>
    <w:multiLevelType w:val="hybridMultilevel"/>
    <w:tmpl w:val="AB1A9942"/>
    <w:lvl w:ilvl="0" w:tplc="DB561F82">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F832FC"/>
    <w:multiLevelType w:val="hybridMultilevel"/>
    <w:tmpl w:val="F3A0032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9001E7"/>
    <w:multiLevelType w:val="hybridMultilevel"/>
    <w:tmpl w:val="0486041C"/>
    <w:lvl w:ilvl="0" w:tplc="045ED222">
      <w:start w:val="1"/>
      <w:numFmt w:val="decimal"/>
      <w:lvlText w:val="%1."/>
      <w:lvlJc w:val="left"/>
      <w:pPr>
        <w:ind w:left="720" w:hanging="360"/>
      </w:pPr>
      <w:rPr>
        <w:rFonts w:ascii="Times New Roman" w:hAnsi="Times New Roman" w:cs="Times New Roman" w:hint="default"/>
        <w:b w:val="0"/>
        <w:sz w:val="24"/>
        <w:szCs w:val="24"/>
      </w:rPr>
    </w:lvl>
    <w:lvl w:ilvl="1" w:tplc="7A32492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0"/>
  </w:num>
  <w:num w:numId="3">
    <w:abstractNumId w:val="4"/>
  </w:num>
  <w:num w:numId="4">
    <w:abstractNumId w:val="26"/>
  </w:num>
  <w:num w:numId="5">
    <w:abstractNumId w:val="24"/>
  </w:num>
  <w:num w:numId="6">
    <w:abstractNumId w:val="5"/>
  </w:num>
  <w:num w:numId="7">
    <w:abstractNumId w:val="12"/>
  </w:num>
  <w:num w:numId="8">
    <w:abstractNumId w:val="11"/>
  </w:num>
  <w:num w:numId="9">
    <w:abstractNumId w:val="10"/>
  </w:num>
  <w:num w:numId="10">
    <w:abstractNumId w:val="7"/>
  </w:num>
  <w:num w:numId="11">
    <w:abstractNumId w:val="23"/>
  </w:num>
  <w:num w:numId="12">
    <w:abstractNumId w:val="9"/>
  </w:num>
  <w:num w:numId="13">
    <w:abstractNumId w:val="22"/>
  </w:num>
  <w:num w:numId="14">
    <w:abstractNumId w:val="14"/>
  </w:num>
  <w:num w:numId="15">
    <w:abstractNumId w:val="18"/>
  </w:num>
  <w:num w:numId="16">
    <w:abstractNumId w:val="27"/>
  </w:num>
  <w:num w:numId="17">
    <w:abstractNumId w:val="29"/>
  </w:num>
  <w:num w:numId="18">
    <w:abstractNumId w:val="16"/>
  </w:num>
  <w:num w:numId="19">
    <w:abstractNumId w:val="3"/>
  </w:num>
  <w:num w:numId="20">
    <w:abstractNumId w:val="25"/>
  </w:num>
  <w:num w:numId="21">
    <w:abstractNumId w:val="28"/>
  </w:num>
  <w:num w:numId="22">
    <w:abstractNumId w:val="13"/>
  </w:num>
  <w:num w:numId="23">
    <w:abstractNumId w:val="1"/>
  </w:num>
  <w:num w:numId="24">
    <w:abstractNumId w:val="19"/>
  </w:num>
  <w:num w:numId="25">
    <w:abstractNumId w:val="15"/>
  </w:num>
  <w:num w:numId="26">
    <w:abstractNumId w:val="21"/>
  </w:num>
  <w:num w:numId="27">
    <w:abstractNumId w:val="6"/>
  </w:num>
  <w:num w:numId="28">
    <w:abstractNumId w:val="2"/>
  </w:num>
  <w:num w:numId="29">
    <w:abstractNumId w:val="0"/>
  </w:num>
  <w:num w:numId="30">
    <w:abstractNumId w:val="3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864"/>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1E"/>
    <w:rsid w:val="00000D4A"/>
    <w:rsid w:val="00002216"/>
    <w:rsid w:val="00002A62"/>
    <w:rsid w:val="00002DE9"/>
    <w:rsid w:val="00003A5A"/>
    <w:rsid w:val="00004A81"/>
    <w:rsid w:val="00007C33"/>
    <w:rsid w:val="0001039F"/>
    <w:rsid w:val="000242C3"/>
    <w:rsid w:val="00024A47"/>
    <w:rsid w:val="00025E51"/>
    <w:rsid w:val="00026215"/>
    <w:rsid w:val="00026F03"/>
    <w:rsid w:val="00050FE8"/>
    <w:rsid w:val="0005151F"/>
    <w:rsid w:val="00051B92"/>
    <w:rsid w:val="00056C63"/>
    <w:rsid w:val="00057561"/>
    <w:rsid w:val="000645BC"/>
    <w:rsid w:val="0006681A"/>
    <w:rsid w:val="000707AA"/>
    <w:rsid w:val="00070C35"/>
    <w:rsid w:val="00077E67"/>
    <w:rsid w:val="00081FC1"/>
    <w:rsid w:val="00086DC2"/>
    <w:rsid w:val="00091BE2"/>
    <w:rsid w:val="00095DBA"/>
    <w:rsid w:val="000A63A3"/>
    <w:rsid w:val="000C2316"/>
    <w:rsid w:val="000C3799"/>
    <w:rsid w:val="000C3C42"/>
    <w:rsid w:val="000C4996"/>
    <w:rsid w:val="000C7DE5"/>
    <w:rsid w:val="000D4BEF"/>
    <w:rsid w:val="000D4F0D"/>
    <w:rsid w:val="000D633A"/>
    <w:rsid w:val="000E449C"/>
    <w:rsid w:val="000E6424"/>
    <w:rsid w:val="000F19D2"/>
    <w:rsid w:val="000F7628"/>
    <w:rsid w:val="00101526"/>
    <w:rsid w:val="00107DFF"/>
    <w:rsid w:val="00114C67"/>
    <w:rsid w:val="001160FA"/>
    <w:rsid w:val="00122CA6"/>
    <w:rsid w:val="00123119"/>
    <w:rsid w:val="00126D74"/>
    <w:rsid w:val="00127518"/>
    <w:rsid w:val="00130476"/>
    <w:rsid w:val="001326F9"/>
    <w:rsid w:val="001338AE"/>
    <w:rsid w:val="00136C15"/>
    <w:rsid w:val="00137D6E"/>
    <w:rsid w:val="00140142"/>
    <w:rsid w:val="00143210"/>
    <w:rsid w:val="00156B8B"/>
    <w:rsid w:val="001578D2"/>
    <w:rsid w:val="0016591D"/>
    <w:rsid w:val="001716D8"/>
    <w:rsid w:val="001744F8"/>
    <w:rsid w:val="001752C1"/>
    <w:rsid w:val="00176559"/>
    <w:rsid w:val="00177037"/>
    <w:rsid w:val="00192A30"/>
    <w:rsid w:val="00193AA9"/>
    <w:rsid w:val="001950EF"/>
    <w:rsid w:val="00196608"/>
    <w:rsid w:val="001A36C8"/>
    <w:rsid w:val="001B1BE7"/>
    <w:rsid w:val="001C1FA8"/>
    <w:rsid w:val="001C3A99"/>
    <w:rsid w:val="001D2FA3"/>
    <w:rsid w:val="001D4D46"/>
    <w:rsid w:val="001E216E"/>
    <w:rsid w:val="001E2759"/>
    <w:rsid w:val="001E353A"/>
    <w:rsid w:val="001E5286"/>
    <w:rsid w:val="001E7630"/>
    <w:rsid w:val="001F253E"/>
    <w:rsid w:val="00212053"/>
    <w:rsid w:val="00213E43"/>
    <w:rsid w:val="002211F0"/>
    <w:rsid w:val="00226935"/>
    <w:rsid w:val="0023712B"/>
    <w:rsid w:val="00241FBF"/>
    <w:rsid w:val="00243406"/>
    <w:rsid w:val="00253D11"/>
    <w:rsid w:val="00254384"/>
    <w:rsid w:val="002549DD"/>
    <w:rsid w:val="00256D96"/>
    <w:rsid w:val="0025717A"/>
    <w:rsid w:val="002575EE"/>
    <w:rsid w:val="00262553"/>
    <w:rsid w:val="00277978"/>
    <w:rsid w:val="002802B6"/>
    <w:rsid w:val="00280AA3"/>
    <w:rsid w:val="00281DC1"/>
    <w:rsid w:val="00287BA0"/>
    <w:rsid w:val="00287F99"/>
    <w:rsid w:val="002916A9"/>
    <w:rsid w:val="00296AE3"/>
    <w:rsid w:val="002A077E"/>
    <w:rsid w:val="002A5408"/>
    <w:rsid w:val="002B4FF4"/>
    <w:rsid w:val="002B7A73"/>
    <w:rsid w:val="002C1B0D"/>
    <w:rsid w:val="002D62B1"/>
    <w:rsid w:val="002E339B"/>
    <w:rsid w:val="002F2E1E"/>
    <w:rsid w:val="002F6DF9"/>
    <w:rsid w:val="002F7A8E"/>
    <w:rsid w:val="0030429B"/>
    <w:rsid w:val="00310CF3"/>
    <w:rsid w:val="00315F90"/>
    <w:rsid w:val="003215A2"/>
    <w:rsid w:val="00323312"/>
    <w:rsid w:val="00323E8E"/>
    <w:rsid w:val="003259CD"/>
    <w:rsid w:val="003263BA"/>
    <w:rsid w:val="0032719C"/>
    <w:rsid w:val="00327AC5"/>
    <w:rsid w:val="00335B04"/>
    <w:rsid w:val="00335E59"/>
    <w:rsid w:val="00340CDF"/>
    <w:rsid w:val="00342DA5"/>
    <w:rsid w:val="00344649"/>
    <w:rsid w:val="0035410F"/>
    <w:rsid w:val="00354141"/>
    <w:rsid w:val="003565BC"/>
    <w:rsid w:val="003600F2"/>
    <w:rsid w:val="0036348B"/>
    <w:rsid w:val="00365B0C"/>
    <w:rsid w:val="00371205"/>
    <w:rsid w:val="00371767"/>
    <w:rsid w:val="00372D85"/>
    <w:rsid w:val="0037453D"/>
    <w:rsid w:val="00375BA6"/>
    <w:rsid w:val="003775F0"/>
    <w:rsid w:val="00377922"/>
    <w:rsid w:val="003818B2"/>
    <w:rsid w:val="0038487B"/>
    <w:rsid w:val="00384DA8"/>
    <w:rsid w:val="00387E0F"/>
    <w:rsid w:val="003900B3"/>
    <w:rsid w:val="00390162"/>
    <w:rsid w:val="003929D9"/>
    <w:rsid w:val="0039597D"/>
    <w:rsid w:val="003961EE"/>
    <w:rsid w:val="003A3A0C"/>
    <w:rsid w:val="003A6355"/>
    <w:rsid w:val="003C341F"/>
    <w:rsid w:val="003C74FD"/>
    <w:rsid w:val="003E0DFB"/>
    <w:rsid w:val="003E2224"/>
    <w:rsid w:val="003F058A"/>
    <w:rsid w:val="003F0D75"/>
    <w:rsid w:val="003F3FD9"/>
    <w:rsid w:val="004004D1"/>
    <w:rsid w:val="004054D4"/>
    <w:rsid w:val="00405D9D"/>
    <w:rsid w:val="0041725B"/>
    <w:rsid w:val="004218BB"/>
    <w:rsid w:val="00422005"/>
    <w:rsid w:val="00424116"/>
    <w:rsid w:val="00430D98"/>
    <w:rsid w:val="00431CA2"/>
    <w:rsid w:val="00432861"/>
    <w:rsid w:val="00443474"/>
    <w:rsid w:val="00450735"/>
    <w:rsid w:val="00452650"/>
    <w:rsid w:val="0045658E"/>
    <w:rsid w:val="004567D2"/>
    <w:rsid w:val="00456854"/>
    <w:rsid w:val="00456FD0"/>
    <w:rsid w:val="004659C1"/>
    <w:rsid w:val="00484E86"/>
    <w:rsid w:val="004876E6"/>
    <w:rsid w:val="00497793"/>
    <w:rsid w:val="004A2976"/>
    <w:rsid w:val="004A361C"/>
    <w:rsid w:val="004A3CE1"/>
    <w:rsid w:val="004A4239"/>
    <w:rsid w:val="004C4D2E"/>
    <w:rsid w:val="004C570A"/>
    <w:rsid w:val="004C705D"/>
    <w:rsid w:val="004D1C9B"/>
    <w:rsid w:val="004D3B4B"/>
    <w:rsid w:val="004D6905"/>
    <w:rsid w:val="004E421F"/>
    <w:rsid w:val="004E7C91"/>
    <w:rsid w:val="004F1A5A"/>
    <w:rsid w:val="004F2816"/>
    <w:rsid w:val="00500041"/>
    <w:rsid w:val="00504C79"/>
    <w:rsid w:val="005061B7"/>
    <w:rsid w:val="00513776"/>
    <w:rsid w:val="00524A86"/>
    <w:rsid w:val="00524F10"/>
    <w:rsid w:val="00530A55"/>
    <w:rsid w:val="00531558"/>
    <w:rsid w:val="005408BB"/>
    <w:rsid w:val="00546C72"/>
    <w:rsid w:val="0055248D"/>
    <w:rsid w:val="00552C82"/>
    <w:rsid w:val="00554A93"/>
    <w:rsid w:val="005554CA"/>
    <w:rsid w:val="00560DE3"/>
    <w:rsid w:val="005626F5"/>
    <w:rsid w:val="00565E6A"/>
    <w:rsid w:val="00567701"/>
    <w:rsid w:val="005705CB"/>
    <w:rsid w:val="00572506"/>
    <w:rsid w:val="005854CA"/>
    <w:rsid w:val="00591794"/>
    <w:rsid w:val="00597419"/>
    <w:rsid w:val="005A1543"/>
    <w:rsid w:val="005A2312"/>
    <w:rsid w:val="005A2A02"/>
    <w:rsid w:val="005A3B1D"/>
    <w:rsid w:val="005B23B7"/>
    <w:rsid w:val="005B6348"/>
    <w:rsid w:val="005B6617"/>
    <w:rsid w:val="005C090F"/>
    <w:rsid w:val="005C0C04"/>
    <w:rsid w:val="005C157F"/>
    <w:rsid w:val="005C278D"/>
    <w:rsid w:val="005D0774"/>
    <w:rsid w:val="005E31E6"/>
    <w:rsid w:val="005F1998"/>
    <w:rsid w:val="005F2743"/>
    <w:rsid w:val="005F6C50"/>
    <w:rsid w:val="00603E13"/>
    <w:rsid w:val="006114DE"/>
    <w:rsid w:val="00616B90"/>
    <w:rsid w:val="00616D8B"/>
    <w:rsid w:val="0062178D"/>
    <w:rsid w:val="0062186F"/>
    <w:rsid w:val="00624616"/>
    <w:rsid w:val="00627A0F"/>
    <w:rsid w:val="0063181C"/>
    <w:rsid w:val="00631E19"/>
    <w:rsid w:val="00633409"/>
    <w:rsid w:val="00634316"/>
    <w:rsid w:val="0064495A"/>
    <w:rsid w:val="00645F4C"/>
    <w:rsid w:val="00646374"/>
    <w:rsid w:val="006507C0"/>
    <w:rsid w:val="00663FC3"/>
    <w:rsid w:val="006646E7"/>
    <w:rsid w:val="006802B3"/>
    <w:rsid w:val="00682812"/>
    <w:rsid w:val="00690676"/>
    <w:rsid w:val="00693835"/>
    <w:rsid w:val="00695E8E"/>
    <w:rsid w:val="006A1859"/>
    <w:rsid w:val="006A51A9"/>
    <w:rsid w:val="006C0236"/>
    <w:rsid w:val="006C2A24"/>
    <w:rsid w:val="006C3265"/>
    <w:rsid w:val="006C39B4"/>
    <w:rsid w:val="006C52AC"/>
    <w:rsid w:val="006D0375"/>
    <w:rsid w:val="006D4FFF"/>
    <w:rsid w:val="006D5932"/>
    <w:rsid w:val="006D6617"/>
    <w:rsid w:val="006D704A"/>
    <w:rsid w:val="006D7F77"/>
    <w:rsid w:val="006E20BE"/>
    <w:rsid w:val="006E3207"/>
    <w:rsid w:val="006E52A6"/>
    <w:rsid w:val="006E5FF7"/>
    <w:rsid w:val="006F4FE2"/>
    <w:rsid w:val="006F63E8"/>
    <w:rsid w:val="006F7BD3"/>
    <w:rsid w:val="00702196"/>
    <w:rsid w:val="0070520F"/>
    <w:rsid w:val="0070553D"/>
    <w:rsid w:val="00711F22"/>
    <w:rsid w:val="0071400C"/>
    <w:rsid w:val="007143BF"/>
    <w:rsid w:val="00715C80"/>
    <w:rsid w:val="00716B77"/>
    <w:rsid w:val="00722E48"/>
    <w:rsid w:val="00723E4A"/>
    <w:rsid w:val="007258A7"/>
    <w:rsid w:val="00731A17"/>
    <w:rsid w:val="007338EF"/>
    <w:rsid w:val="00737128"/>
    <w:rsid w:val="007407F6"/>
    <w:rsid w:val="00744C36"/>
    <w:rsid w:val="00746D06"/>
    <w:rsid w:val="0075488D"/>
    <w:rsid w:val="00754FA9"/>
    <w:rsid w:val="0075614F"/>
    <w:rsid w:val="007627A0"/>
    <w:rsid w:val="0076284A"/>
    <w:rsid w:val="00772F8C"/>
    <w:rsid w:val="00774645"/>
    <w:rsid w:val="00774A4A"/>
    <w:rsid w:val="00774E6B"/>
    <w:rsid w:val="00776AAD"/>
    <w:rsid w:val="00790A81"/>
    <w:rsid w:val="00791632"/>
    <w:rsid w:val="007A0577"/>
    <w:rsid w:val="007A2202"/>
    <w:rsid w:val="007A32E8"/>
    <w:rsid w:val="007B1DB7"/>
    <w:rsid w:val="007B7108"/>
    <w:rsid w:val="007C0AE8"/>
    <w:rsid w:val="007C2D54"/>
    <w:rsid w:val="007D2F09"/>
    <w:rsid w:val="007F13A4"/>
    <w:rsid w:val="007F1468"/>
    <w:rsid w:val="00802A8F"/>
    <w:rsid w:val="0080356C"/>
    <w:rsid w:val="00806D5F"/>
    <w:rsid w:val="00811225"/>
    <w:rsid w:val="008116CC"/>
    <w:rsid w:val="00811EAB"/>
    <w:rsid w:val="008123F9"/>
    <w:rsid w:val="00813EF2"/>
    <w:rsid w:val="00816606"/>
    <w:rsid w:val="00817319"/>
    <w:rsid w:val="008232FA"/>
    <w:rsid w:val="00824149"/>
    <w:rsid w:val="00825923"/>
    <w:rsid w:val="00831FCF"/>
    <w:rsid w:val="0083206A"/>
    <w:rsid w:val="008326C9"/>
    <w:rsid w:val="0083314A"/>
    <w:rsid w:val="00835DB1"/>
    <w:rsid w:val="00837F61"/>
    <w:rsid w:val="008419C9"/>
    <w:rsid w:val="0084432C"/>
    <w:rsid w:val="00847549"/>
    <w:rsid w:val="00847BBE"/>
    <w:rsid w:val="00855315"/>
    <w:rsid w:val="00860B15"/>
    <w:rsid w:val="008652D9"/>
    <w:rsid w:val="00865A3F"/>
    <w:rsid w:val="008664AC"/>
    <w:rsid w:val="00874AF0"/>
    <w:rsid w:val="008756EB"/>
    <w:rsid w:val="00876DD2"/>
    <w:rsid w:val="0088083A"/>
    <w:rsid w:val="008814EE"/>
    <w:rsid w:val="008815C9"/>
    <w:rsid w:val="00885924"/>
    <w:rsid w:val="00894073"/>
    <w:rsid w:val="008950F9"/>
    <w:rsid w:val="008A25C3"/>
    <w:rsid w:val="008A2B1A"/>
    <w:rsid w:val="008A37E9"/>
    <w:rsid w:val="008A4D6C"/>
    <w:rsid w:val="008B1C24"/>
    <w:rsid w:val="008B685C"/>
    <w:rsid w:val="008B6FC0"/>
    <w:rsid w:val="008B779C"/>
    <w:rsid w:val="008C2ACD"/>
    <w:rsid w:val="008C77A9"/>
    <w:rsid w:val="008D0F39"/>
    <w:rsid w:val="008E2B61"/>
    <w:rsid w:val="008E333D"/>
    <w:rsid w:val="008F5A60"/>
    <w:rsid w:val="00901BE9"/>
    <w:rsid w:val="00904BE8"/>
    <w:rsid w:val="009129BB"/>
    <w:rsid w:val="009140AA"/>
    <w:rsid w:val="0091471A"/>
    <w:rsid w:val="00924721"/>
    <w:rsid w:val="00934A36"/>
    <w:rsid w:val="00936146"/>
    <w:rsid w:val="00941184"/>
    <w:rsid w:val="00943BEB"/>
    <w:rsid w:val="0094758B"/>
    <w:rsid w:val="00985CED"/>
    <w:rsid w:val="00986B11"/>
    <w:rsid w:val="00986FC1"/>
    <w:rsid w:val="00992C83"/>
    <w:rsid w:val="00992FD1"/>
    <w:rsid w:val="00994682"/>
    <w:rsid w:val="00996AC2"/>
    <w:rsid w:val="009A0768"/>
    <w:rsid w:val="009A28C9"/>
    <w:rsid w:val="009A4F18"/>
    <w:rsid w:val="009B0FBB"/>
    <w:rsid w:val="009B50F3"/>
    <w:rsid w:val="009B58E6"/>
    <w:rsid w:val="009C0F23"/>
    <w:rsid w:val="009C1D0B"/>
    <w:rsid w:val="009D282D"/>
    <w:rsid w:val="009D750D"/>
    <w:rsid w:val="009E3C91"/>
    <w:rsid w:val="009E4C7C"/>
    <w:rsid w:val="009F252E"/>
    <w:rsid w:val="009F6BF1"/>
    <w:rsid w:val="00A03A24"/>
    <w:rsid w:val="00A041FC"/>
    <w:rsid w:val="00A05FD1"/>
    <w:rsid w:val="00A060AC"/>
    <w:rsid w:val="00A0679F"/>
    <w:rsid w:val="00A127A4"/>
    <w:rsid w:val="00A137F8"/>
    <w:rsid w:val="00A13BC6"/>
    <w:rsid w:val="00A14EAF"/>
    <w:rsid w:val="00A249A4"/>
    <w:rsid w:val="00A31C1B"/>
    <w:rsid w:val="00A355AE"/>
    <w:rsid w:val="00A378C3"/>
    <w:rsid w:val="00A4181A"/>
    <w:rsid w:val="00A43FC2"/>
    <w:rsid w:val="00A44EAE"/>
    <w:rsid w:val="00A45A6F"/>
    <w:rsid w:val="00A50A8B"/>
    <w:rsid w:val="00A53D21"/>
    <w:rsid w:val="00A54B50"/>
    <w:rsid w:val="00A562AD"/>
    <w:rsid w:val="00A5745F"/>
    <w:rsid w:val="00A609BF"/>
    <w:rsid w:val="00A62C0E"/>
    <w:rsid w:val="00A6646D"/>
    <w:rsid w:val="00A67522"/>
    <w:rsid w:val="00A67FAF"/>
    <w:rsid w:val="00A7175D"/>
    <w:rsid w:val="00A725D2"/>
    <w:rsid w:val="00A75090"/>
    <w:rsid w:val="00A759CE"/>
    <w:rsid w:val="00A84C48"/>
    <w:rsid w:val="00A85AC0"/>
    <w:rsid w:val="00A9354D"/>
    <w:rsid w:val="00AA4586"/>
    <w:rsid w:val="00AC0135"/>
    <w:rsid w:val="00AC39B0"/>
    <w:rsid w:val="00AC3AD3"/>
    <w:rsid w:val="00AC5425"/>
    <w:rsid w:val="00AC5F1A"/>
    <w:rsid w:val="00AD2F09"/>
    <w:rsid w:val="00AE0652"/>
    <w:rsid w:val="00AE090C"/>
    <w:rsid w:val="00AF2607"/>
    <w:rsid w:val="00AF27B4"/>
    <w:rsid w:val="00B01656"/>
    <w:rsid w:val="00B02388"/>
    <w:rsid w:val="00B05176"/>
    <w:rsid w:val="00B11708"/>
    <w:rsid w:val="00B175BD"/>
    <w:rsid w:val="00B17B6D"/>
    <w:rsid w:val="00B2003C"/>
    <w:rsid w:val="00B277B0"/>
    <w:rsid w:val="00B34DBF"/>
    <w:rsid w:val="00B4064F"/>
    <w:rsid w:val="00B41148"/>
    <w:rsid w:val="00B4565E"/>
    <w:rsid w:val="00B51F58"/>
    <w:rsid w:val="00B524E8"/>
    <w:rsid w:val="00B6005B"/>
    <w:rsid w:val="00B70598"/>
    <w:rsid w:val="00B71600"/>
    <w:rsid w:val="00B736B0"/>
    <w:rsid w:val="00B76CBD"/>
    <w:rsid w:val="00B83189"/>
    <w:rsid w:val="00B845BC"/>
    <w:rsid w:val="00B86810"/>
    <w:rsid w:val="00BA2736"/>
    <w:rsid w:val="00BA3D21"/>
    <w:rsid w:val="00BB17F0"/>
    <w:rsid w:val="00BB2C03"/>
    <w:rsid w:val="00BB2F72"/>
    <w:rsid w:val="00BB5E51"/>
    <w:rsid w:val="00BB624E"/>
    <w:rsid w:val="00BB7055"/>
    <w:rsid w:val="00BC27DD"/>
    <w:rsid w:val="00BC3D80"/>
    <w:rsid w:val="00BD0B89"/>
    <w:rsid w:val="00BD15EA"/>
    <w:rsid w:val="00BD2C01"/>
    <w:rsid w:val="00BE124B"/>
    <w:rsid w:val="00BE144D"/>
    <w:rsid w:val="00BE4D8B"/>
    <w:rsid w:val="00BE6AFB"/>
    <w:rsid w:val="00BE7BD4"/>
    <w:rsid w:val="00BE7E13"/>
    <w:rsid w:val="00BF3F7D"/>
    <w:rsid w:val="00C03145"/>
    <w:rsid w:val="00C05300"/>
    <w:rsid w:val="00C060D9"/>
    <w:rsid w:val="00C15A1D"/>
    <w:rsid w:val="00C1738C"/>
    <w:rsid w:val="00C230EC"/>
    <w:rsid w:val="00C23F23"/>
    <w:rsid w:val="00C245AE"/>
    <w:rsid w:val="00C26ECA"/>
    <w:rsid w:val="00C33B50"/>
    <w:rsid w:val="00C36614"/>
    <w:rsid w:val="00C374CC"/>
    <w:rsid w:val="00C41470"/>
    <w:rsid w:val="00C4430A"/>
    <w:rsid w:val="00C5051F"/>
    <w:rsid w:val="00C51C72"/>
    <w:rsid w:val="00C57406"/>
    <w:rsid w:val="00C67BFE"/>
    <w:rsid w:val="00C75A97"/>
    <w:rsid w:val="00C91CDB"/>
    <w:rsid w:val="00C92721"/>
    <w:rsid w:val="00C92C56"/>
    <w:rsid w:val="00C933B0"/>
    <w:rsid w:val="00C9383F"/>
    <w:rsid w:val="00C95B45"/>
    <w:rsid w:val="00C96BBB"/>
    <w:rsid w:val="00CB4D73"/>
    <w:rsid w:val="00CB7842"/>
    <w:rsid w:val="00CC0BB4"/>
    <w:rsid w:val="00CC29D0"/>
    <w:rsid w:val="00CC390F"/>
    <w:rsid w:val="00CC4264"/>
    <w:rsid w:val="00CD1ECB"/>
    <w:rsid w:val="00CD216E"/>
    <w:rsid w:val="00CD25A1"/>
    <w:rsid w:val="00CE10E3"/>
    <w:rsid w:val="00CF22A0"/>
    <w:rsid w:val="00CF5D38"/>
    <w:rsid w:val="00CF74F9"/>
    <w:rsid w:val="00D0097F"/>
    <w:rsid w:val="00D04092"/>
    <w:rsid w:val="00D04286"/>
    <w:rsid w:val="00D10C10"/>
    <w:rsid w:val="00D228EC"/>
    <w:rsid w:val="00D279F2"/>
    <w:rsid w:val="00D42D11"/>
    <w:rsid w:val="00D52D72"/>
    <w:rsid w:val="00D55098"/>
    <w:rsid w:val="00D57DCD"/>
    <w:rsid w:val="00D61DCB"/>
    <w:rsid w:val="00D62A76"/>
    <w:rsid w:val="00D76486"/>
    <w:rsid w:val="00D8419E"/>
    <w:rsid w:val="00D858D6"/>
    <w:rsid w:val="00D86ED6"/>
    <w:rsid w:val="00D86F05"/>
    <w:rsid w:val="00D87F40"/>
    <w:rsid w:val="00D96565"/>
    <w:rsid w:val="00D97DA6"/>
    <w:rsid w:val="00DA1578"/>
    <w:rsid w:val="00DA388A"/>
    <w:rsid w:val="00DA413A"/>
    <w:rsid w:val="00DA6925"/>
    <w:rsid w:val="00DB2D7F"/>
    <w:rsid w:val="00DB76A9"/>
    <w:rsid w:val="00DC0176"/>
    <w:rsid w:val="00DC6FAE"/>
    <w:rsid w:val="00DD6099"/>
    <w:rsid w:val="00DE5BCA"/>
    <w:rsid w:val="00DE6A54"/>
    <w:rsid w:val="00DE7918"/>
    <w:rsid w:val="00DF4F3C"/>
    <w:rsid w:val="00DF51F4"/>
    <w:rsid w:val="00DF6C6C"/>
    <w:rsid w:val="00E055D5"/>
    <w:rsid w:val="00E06FD5"/>
    <w:rsid w:val="00E13130"/>
    <w:rsid w:val="00E1417A"/>
    <w:rsid w:val="00E16C62"/>
    <w:rsid w:val="00E25410"/>
    <w:rsid w:val="00E26761"/>
    <w:rsid w:val="00E27861"/>
    <w:rsid w:val="00E32A46"/>
    <w:rsid w:val="00E336D7"/>
    <w:rsid w:val="00E41FF7"/>
    <w:rsid w:val="00E42EA2"/>
    <w:rsid w:val="00E445D8"/>
    <w:rsid w:val="00E470EB"/>
    <w:rsid w:val="00E4790D"/>
    <w:rsid w:val="00E51D28"/>
    <w:rsid w:val="00E527C7"/>
    <w:rsid w:val="00E602BB"/>
    <w:rsid w:val="00E631EF"/>
    <w:rsid w:val="00E63FEC"/>
    <w:rsid w:val="00E67147"/>
    <w:rsid w:val="00E83A0D"/>
    <w:rsid w:val="00E86798"/>
    <w:rsid w:val="00E90CA2"/>
    <w:rsid w:val="00EA136A"/>
    <w:rsid w:val="00EA79B7"/>
    <w:rsid w:val="00EB134D"/>
    <w:rsid w:val="00EB1C1E"/>
    <w:rsid w:val="00EB46BD"/>
    <w:rsid w:val="00EB4F87"/>
    <w:rsid w:val="00EC0FE2"/>
    <w:rsid w:val="00EC6BC5"/>
    <w:rsid w:val="00ED41B7"/>
    <w:rsid w:val="00ED4236"/>
    <w:rsid w:val="00ED755E"/>
    <w:rsid w:val="00EE0475"/>
    <w:rsid w:val="00EE3EC6"/>
    <w:rsid w:val="00EE4F89"/>
    <w:rsid w:val="00EE7561"/>
    <w:rsid w:val="00EF012B"/>
    <w:rsid w:val="00EF0154"/>
    <w:rsid w:val="00EF47FA"/>
    <w:rsid w:val="00EF510A"/>
    <w:rsid w:val="00EF667E"/>
    <w:rsid w:val="00F019CC"/>
    <w:rsid w:val="00F10C35"/>
    <w:rsid w:val="00F1141E"/>
    <w:rsid w:val="00F118C8"/>
    <w:rsid w:val="00F125BE"/>
    <w:rsid w:val="00F14779"/>
    <w:rsid w:val="00F23AB7"/>
    <w:rsid w:val="00F26BFE"/>
    <w:rsid w:val="00F305FA"/>
    <w:rsid w:val="00F36E83"/>
    <w:rsid w:val="00F41000"/>
    <w:rsid w:val="00F42728"/>
    <w:rsid w:val="00F42C5F"/>
    <w:rsid w:val="00F42EF3"/>
    <w:rsid w:val="00F47FF4"/>
    <w:rsid w:val="00F521AA"/>
    <w:rsid w:val="00F56E16"/>
    <w:rsid w:val="00F672CC"/>
    <w:rsid w:val="00F71F47"/>
    <w:rsid w:val="00F72607"/>
    <w:rsid w:val="00F76A35"/>
    <w:rsid w:val="00F77084"/>
    <w:rsid w:val="00F8063F"/>
    <w:rsid w:val="00F82954"/>
    <w:rsid w:val="00F85B74"/>
    <w:rsid w:val="00F90AAD"/>
    <w:rsid w:val="00F9314A"/>
    <w:rsid w:val="00F968FC"/>
    <w:rsid w:val="00FA0BFF"/>
    <w:rsid w:val="00FA1C5D"/>
    <w:rsid w:val="00FB12EE"/>
    <w:rsid w:val="00FB40CF"/>
    <w:rsid w:val="00FB53D5"/>
    <w:rsid w:val="00FC137E"/>
    <w:rsid w:val="00FD190E"/>
    <w:rsid w:val="00FD4444"/>
    <w:rsid w:val="00FE0DE4"/>
    <w:rsid w:val="00FE75AB"/>
    <w:rsid w:val="00FF04E5"/>
    <w:rsid w:val="00FF37EE"/>
    <w:rsid w:val="00FF529F"/>
    <w:rsid w:val="00FF6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E19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C1E"/>
    <w:pPr>
      <w:spacing w:after="160" w:line="300" w:lineRule="auto"/>
    </w:pPr>
    <w:rPr>
      <w:rFonts w:eastAsiaTheme="minorEastAsia"/>
      <w:sz w:val="21"/>
      <w:szCs w:val="21"/>
    </w:rPr>
  </w:style>
  <w:style w:type="paragraph" w:styleId="Heading1">
    <w:name w:val="heading 1"/>
    <w:basedOn w:val="Normal"/>
    <w:next w:val="Normal"/>
    <w:link w:val="Heading1Char"/>
    <w:uiPriority w:val="9"/>
    <w:qFormat/>
    <w:rsid w:val="00EB1C1E"/>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EB1C1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B1C1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EB1C1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B1C1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B1C1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B1C1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B1C1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B1C1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C1E"/>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EB1C1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EB1C1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EB1C1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B1C1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B1C1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B1C1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B1C1E"/>
    <w:rPr>
      <w:rFonts w:asciiTheme="majorHAnsi" w:eastAsiaTheme="majorEastAsia" w:hAnsiTheme="majorHAnsi" w:cstheme="majorBidi"/>
      <w:i/>
      <w:iCs/>
    </w:rPr>
  </w:style>
  <w:style w:type="character" w:customStyle="1" w:styleId="Heading9Char">
    <w:name w:val="Heading 9 Char"/>
    <w:basedOn w:val="DefaultParagraphFont"/>
    <w:link w:val="Heading9"/>
    <w:uiPriority w:val="9"/>
    <w:semiHidden/>
    <w:rsid w:val="00EB1C1E"/>
    <w:rPr>
      <w:rFonts w:eastAsiaTheme="minorEastAsia"/>
      <w:b/>
      <w:bCs/>
      <w:i/>
      <w:iCs/>
      <w:sz w:val="21"/>
      <w:szCs w:val="21"/>
    </w:rPr>
  </w:style>
  <w:style w:type="paragraph" w:styleId="ListParagraph">
    <w:name w:val="List Paragraph"/>
    <w:basedOn w:val="Normal"/>
    <w:uiPriority w:val="34"/>
    <w:qFormat/>
    <w:rsid w:val="00EB1C1E"/>
    <w:pPr>
      <w:ind w:left="720"/>
      <w:contextualSpacing/>
    </w:pPr>
  </w:style>
  <w:style w:type="paragraph" w:styleId="FootnoteText">
    <w:name w:val="footnote text"/>
    <w:aliases w:val="Footnote Text Char1 Char,Footnote Text Char Char Char,Footnote Text Char2 Char1 Char Char,Footnote Text Char1 Char Char1 Char Char1,Footnote Text Char Char Char Char1 Char Char1,Footnote Text Char1,fn,f,fn Char Char Cha,ALTS FOOTNOTE"/>
    <w:link w:val="FootnoteTextChar2"/>
    <w:rsid w:val="00EB1C1E"/>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basedOn w:val="DefaultParagraphFont"/>
    <w:rsid w:val="00EB1C1E"/>
    <w:rPr>
      <w:rFonts w:eastAsiaTheme="minorEastAsia"/>
      <w:sz w:val="20"/>
      <w:szCs w:val="20"/>
    </w:rPr>
  </w:style>
  <w:style w:type="character" w:customStyle="1" w:styleId="FootnoteTextChar2">
    <w:name w:val="Footnote Text Char2"/>
    <w:aliases w:val="Footnote Text Char1 Char Char,Footnote Text Char Char Char Char,Footnote Text Char2 Char1 Char Char Char,Footnote Text Char1 Char Char1 Char Char1 Char,Footnote Text Char Char Char Char1 Char Char1 Char,Footnote Text Char1 Char1"/>
    <w:link w:val="FootnoteText"/>
    <w:locked/>
    <w:rsid w:val="00EB1C1E"/>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13,FR,Style 17,Style 6,Footnote Reference/,Style 3,Style 7,Style 4,Footnote Reference1"/>
    <w:rsid w:val="00EB1C1E"/>
    <w:rPr>
      <w:rFonts w:ascii="Times New Roman" w:hAnsi="Times New Roman"/>
      <w:dstrike w:val="0"/>
      <w:color w:val="auto"/>
      <w:sz w:val="20"/>
      <w:vertAlign w:val="superscript"/>
    </w:rPr>
  </w:style>
  <w:style w:type="paragraph" w:customStyle="1" w:styleId="ParaNum">
    <w:name w:val="ParaNum"/>
    <w:basedOn w:val="Normal"/>
    <w:link w:val="ParaNumChar1"/>
    <w:rsid w:val="00EB1C1E"/>
    <w:pPr>
      <w:widowControl w:val="0"/>
      <w:numPr>
        <w:numId w:val="2"/>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1">
    <w:name w:val="ParaNum Char1"/>
    <w:link w:val="ParaNum"/>
    <w:locked/>
    <w:rsid w:val="00EB1C1E"/>
    <w:rPr>
      <w:rFonts w:ascii="Times New Roman" w:eastAsia="Times New Roman" w:hAnsi="Times New Roman" w:cs="Times New Roman"/>
      <w:snapToGrid w:val="0"/>
      <w:kern w:val="28"/>
      <w:sz w:val="21"/>
      <w:szCs w:val="20"/>
    </w:rPr>
  </w:style>
  <w:style w:type="character" w:styleId="Strong">
    <w:name w:val="Strong"/>
    <w:basedOn w:val="DefaultParagraphFont"/>
    <w:uiPriority w:val="22"/>
    <w:qFormat/>
    <w:rsid w:val="00EB1C1E"/>
    <w:rPr>
      <w:b/>
      <w:bCs/>
    </w:rPr>
  </w:style>
  <w:style w:type="paragraph" w:styleId="BalloonText">
    <w:name w:val="Balloon Text"/>
    <w:basedOn w:val="Normal"/>
    <w:link w:val="BalloonTextChar"/>
    <w:uiPriority w:val="99"/>
    <w:semiHidden/>
    <w:unhideWhenUsed/>
    <w:rsid w:val="00EB1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C1E"/>
    <w:rPr>
      <w:rFonts w:ascii="Segoe UI" w:eastAsiaTheme="minorEastAsia" w:hAnsi="Segoe UI" w:cs="Segoe UI"/>
      <w:sz w:val="18"/>
      <w:szCs w:val="18"/>
    </w:rPr>
  </w:style>
  <w:style w:type="paragraph" w:styleId="TOCHeading">
    <w:name w:val="TOC Heading"/>
    <w:basedOn w:val="Heading1"/>
    <w:next w:val="Normal"/>
    <w:uiPriority w:val="39"/>
    <w:unhideWhenUsed/>
    <w:qFormat/>
    <w:rsid w:val="00EB1C1E"/>
    <w:pPr>
      <w:outlineLvl w:val="9"/>
    </w:pPr>
  </w:style>
  <w:style w:type="paragraph" w:styleId="TOC2">
    <w:name w:val="toc 2"/>
    <w:basedOn w:val="Normal"/>
    <w:next w:val="Normal"/>
    <w:autoRedefine/>
    <w:uiPriority w:val="39"/>
    <w:unhideWhenUsed/>
    <w:rsid w:val="00EB1C1E"/>
    <w:pPr>
      <w:spacing w:after="100"/>
      <w:ind w:left="220"/>
    </w:pPr>
    <w:rPr>
      <w:rFonts w:cs="Times New Roman"/>
    </w:rPr>
  </w:style>
  <w:style w:type="paragraph" w:styleId="TOC1">
    <w:name w:val="toc 1"/>
    <w:basedOn w:val="Normal"/>
    <w:next w:val="Normal"/>
    <w:autoRedefine/>
    <w:uiPriority w:val="39"/>
    <w:unhideWhenUsed/>
    <w:rsid w:val="00EB1C1E"/>
    <w:pPr>
      <w:tabs>
        <w:tab w:val="left" w:pos="450"/>
        <w:tab w:val="right" w:leader="dot" w:pos="9350"/>
      </w:tabs>
      <w:spacing w:after="100"/>
    </w:pPr>
    <w:rPr>
      <w:rFonts w:cs="Times New Roman"/>
    </w:rPr>
  </w:style>
  <w:style w:type="paragraph" w:styleId="TOC3">
    <w:name w:val="toc 3"/>
    <w:basedOn w:val="Normal"/>
    <w:next w:val="Normal"/>
    <w:autoRedefine/>
    <w:uiPriority w:val="39"/>
    <w:unhideWhenUsed/>
    <w:rsid w:val="00EB1C1E"/>
    <w:pPr>
      <w:spacing w:after="100"/>
      <w:ind w:left="440"/>
    </w:pPr>
    <w:rPr>
      <w:rFonts w:cs="Times New Roman"/>
    </w:rPr>
  </w:style>
  <w:style w:type="paragraph" w:styleId="Title">
    <w:name w:val="Title"/>
    <w:basedOn w:val="Normal"/>
    <w:next w:val="Normal"/>
    <w:link w:val="TitleChar"/>
    <w:uiPriority w:val="10"/>
    <w:qFormat/>
    <w:rsid w:val="00EB1C1E"/>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EB1C1E"/>
    <w:rPr>
      <w:rFonts w:asciiTheme="majorHAnsi" w:eastAsiaTheme="majorEastAsia" w:hAnsiTheme="majorHAnsi" w:cstheme="majorBidi"/>
      <w:caps/>
      <w:color w:val="1F497D" w:themeColor="text2"/>
      <w:spacing w:val="30"/>
      <w:sz w:val="72"/>
      <w:szCs w:val="72"/>
    </w:rPr>
  </w:style>
  <w:style w:type="character" w:styleId="Hyperlink">
    <w:name w:val="Hyperlink"/>
    <w:basedOn w:val="DefaultParagraphFont"/>
    <w:uiPriority w:val="99"/>
    <w:unhideWhenUsed/>
    <w:rsid w:val="00EB1C1E"/>
    <w:rPr>
      <w:color w:val="0000FF" w:themeColor="hyperlink"/>
      <w:u w:val="single"/>
    </w:rPr>
  </w:style>
  <w:style w:type="paragraph" w:styleId="Caption">
    <w:name w:val="caption"/>
    <w:basedOn w:val="Normal"/>
    <w:next w:val="Normal"/>
    <w:uiPriority w:val="35"/>
    <w:semiHidden/>
    <w:unhideWhenUsed/>
    <w:qFormat/>
    <w:rsid w:val="00EB1C1E"/>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EB1C1E"/>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EB1C1E"/>
    <w:rPr>
      <w:rFonts w:eastAsiaTheme="minorEastAsia"/>
      <w:color w:val="1F497D" w:themeColor="text2"/>
      <w:sz w:val="28"/>
      <w:szCs w:val="28"/>
    </w:rPr>
  </w:style>
  <w:style w:type="character" w:styleId="Emphasis">
    <w:name w:val="Emphasis"/>
    <w:basedOn w:val="DefaultParagraphFont"/>
    <w:uiPriority w:val="20"/>
    <w:qFormat/>
    <w:rsid w:val="00EB1C1E"/>
    <w:rPr>
      <w:i/>
      <w:iCs/>
      <w:color w:val="000000" w:themeColor="text1"/>
    </w:rPr>
  </w:style>
  <w:style w:type="paragraph" w:styleId="NoSpacing">
    <w:name w:val="No Spacing"/>
    <w:uiPriority w:val="1"/>
    <w:qFormat/>
    <w:rsid w:val="00EB1C1E"/>
    <w:pPr>
      <w:spacing w:after="0" w:line="240" w:lineRule="auto"/>
    </w:pPr>
    <w:rPr>
      <w:rFonts w:eastAsiaTheme="minorEastAsia"/>
      <w:sz w:val="21"/>
      <w:szCs w:val="21"/>
    </w:rPr>
  </w:style>
  <w:style w:type="paragraph" w:styleId="Quote">
    <w:name w:val="Quote"/>
    <w:basedOn w:val="Normal"/>
    <w:next w:val="Normal"/>
    <w:link w:val="QuoteChar"/>
    <w:uiPriority w:val="29"/>
    <w:qFormat/>
    <w:rsid w:val="00EB1C1E"/>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EB1C1E"/>
    <w:rPr>
      <w:rFonts w:eastAsiaTheme="minorEastAsia"/>
      <w:i/>
      <w:iCs/>
      <w:color w:val="76923C" w:themeColor="accent3" w:themeShade="BF"/>
      <w:sz w:val="24"/>
      <w:szCs w:val="24"/>
    </w:rPr>
  </w:style>
  <w:style w:type="paragraph" w:styleId="IntenseQuote">
    <w:name w:val="Intense Quote"/>
    <w:basedOn w:val="Normal"/>
    <w:next w:val="Normal"/>
    <w:link w:val="IntenseQuoteChar"/>
    <w:uiPriority w:val="30"/>
    <w:qFormat/>
    <w:rsid w:val="00EB1C1E"/>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EB1C1E"/>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EB1C1E"/>
    <w:rPr>
      <w:i/>
      <w:iCs/>
      <w:color w:val="595959" w:themeColor="text1" w:themeTint="A6"/>
    </w:rPr>
  </w:style>
  <w:style w:type="character" w:styleId="IntenseEmphasis">
    <w:name w:val="Intense Emphasis"/>
    <w:basedOn w:val="DefaultParagraphFont"/>
    <w:uiPriority w:val="21"/>
    <w:qFormat/>
    <w:rsid w:val="00EB1C1E"/>
    <w:rPr>
      <w:b/>
      <w:bCs/>
      <w:i/>
      <w:iCs/>
      <w:color w:val="auto"/>
    </w:rPr>
  </w:style>
  <w:style w:type="character" w:styleId="SubtleReference">
    <w:name w:val="Subtle Reference"/>
    <w:basedOn w:val="DefaultParagraphFont"/>
    <w:uiPriority w:val="31"/>
    <w:qFormat/>
    <w:rsid w:val="00EB1C1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B1C1E"/>
    <w:rPr>
      <w:b/>
      <w:bCs/>
      <w:caps w:val="0"/>
      <w:smallCaps/>
      <w:color w:val="auto"/>
      <w:spacing w:val="0"/>
      <w:u w:val="single"/>
    </w:rPr>
  </w:style>
  <w:style w:type="character" w:styleId="BookTitle">
    <w:name w:val="Book Title"/>
    <w:basedOn w:val="DefaultParagraphFont"/>
    <w:uiPriority w:val="33"/>
    <w:qFormat/>
    <w:rsid w:val="00EB1C1E"/>
    <w:rPr>
      <w:b/>
      <w:bCs/>
      <w:caps w:val="0"/>
      <w:smallCaps/>
      <w:spacing w:val="0"/>
    </w:rPr>
  </w:style>
  <w:style w:type="character" w:customStyle="1" w:styleId="ParaNumChar">
    <w:name w:val="ParaNum Char"/>
    <w:locked/>
    <w:rsid w:val="00EB1C1E"/>
    <w:rPr>
      <w:snapToGrid w:val="0"/>
      <w:kern w:val="28"/>
      <w:sz w:val="22"/>
    </w:rPr>
  </w:style>
  <w:style w:type="paragraph" w:styleId="Header">
    <w:name w:val="header"/>
    <w:basedOn w:val="Normal"/>
    <w:link w:val="HeaderChar"/>
    <w:uiPriority w:val="99"/>
    <w:unhideWhenUsed/>
    <w:rsid w:val="00EB1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C1E"/>
    <w:rPr>
      <w:rFonts w:eastAsiaTheme="minorEastAsia"/>
      <w:sz w:val="21"/>
      <w:szCs w:val="21"/>
    </w:rPr>
  </w:style>
  <w:style w:type="paragraph" w:styleId="Footer">
    <w:name w:val="footer"/>
    <w:basedOn w:val="Normal"/>
    <w:link w:val="FooterChar"/>
    <w:uiPriority w:val="99"/>
    <w:unhideWhenUsed/>
    <w:rsid w:val="00EB1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C1E"/>
    <w:rPr>
      <w:rFonts w:eastAsiaTheme="minorEastAsia"/>
      <w:sz w:val="21"/>
      <w:szCs w:val="21"/>
    </w:rPr>
  </w:style>
  <w:style w:type="table" w:styleId="TableGrid">
    <w:name w:val="Table Grid"/>
    <w:basedOn w:val="TableNormal"/>
    <w:uiPriority w:val="39"/>
    <w:rsid w:val="00EB1C1E"/>
    <w:pPr>
      <w:spacing w:after="0" w:line="240" w:lineRule="auto"/>
    </w:pPr>
    <w:rPr>
      <w:rFonts w:eastAsiaTheme="minorEastAsia"/>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B1C1E"/>
  </w:style>
  <w:style w:type="character" w:styleId="CommentReference">
    <w:name w:val="annotation reference"/>
    <w:basedOn w:val="DefaultParagraphFont"/>
    <w:uiPriority w:val="99"/>
    <w:semiHidden/>
    <w:unhideWhenUsed/>
    <w:rsid w:val="00EB1C1E"/>
    <w:rPr>
      <w:sz w:val="16"/>
      <w:szCs w:val="16"/>
    </w:rPr>
  </w:style>
  <w:style w:type="paragraph" w:styleId="CommentText">
    <w:name w:val="annotation text"/>
    <w:basedOn w:val="Normal"/>
    <w:link w:val="CommentTextChar"/>
    <w:uiPriority w:val="99"/>
    <w:semiHidden/>
    <w:unhideWhenUsed/>
    <w:rsid w:val="00EB1C1E"/>
    <w:pPr>
      <w:spacing w:line="240" w:lineRule="auto"/>
    </w:pPr>
    <w:rPr>
      <w:sz w:val="20"/>
      <w:szCs w:val="20"/>
    </w:rPr>
  </w:style>
  <w:style w:type="character" w:customStyle="1" w:styleId="CommentTextChar">
    <w:name w:val="Comment Text Char"/>
    <w:basedOn w:val="DefaultParagraphFont"/>
    <w:link w:val="CommentText"/>
    <w:uiPriority w:val="99"/>
    <w:semiHidden/>
    <w:rsid w:val="00EB1C1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B1C1E"/>
    <w:rPr>
      <w:b/>
      <w:bCs/>
    </w:rPr>
  </w:style>
  <w:style w:type="character" w:customStyle="1" w:styleId="CommentSubjectChar">
    <w:name w:val="Comment Subject Char"/>
    <w:basedOn w:val="CommentTextChar"/>
    <w:link w:val="CommentSubject"/>
    <w:uiPriority w:val="99"/>
    <w:semiHidden/>
    <w:rsid w:val="00EB1C1E"/>
    <w:rPr>
      <w:rFonts w:eastAsiaTheme="minorEastAsia"/>
      <w:b/>
      <w:bCs/>
      <w:sz w:val="20"/>
      <w:szCs w:val="20"/>
    </w:rPr>
  </w:style>
  <w:style w:type="character" w:customStyle="1" w:styleId="apple-style-span">
    <w:name w:val="apple-style-span"/>
    <w:rsid w:val="00002A62"/>
  </w:style>
  <w:style w:type="paragraph" w:styleId="NormalWeb">
    <w:name w:val="Normal (Web)"/>
    <w:basedOn w:val="Normal"/>
    <w:uiPriority w:val="99"/>
    <w:unhideWhenUsed/>
    <w:rsid w:val="00136C15"/>
    <w:pPr>
      <w:spacing w:before="100" w:beforeAutospacing="1" w:after="100" w:afterAutospacing="1" w:line="240" w:lineRule="auto"/>
    </w:pPr>
    <w:rPr>
      <w:rFonts w:ascii="Times" w:eastAsiaTheme="minorHAnsi" w:hAnsi="Times" w:cs="Times New Roman"/>
      <w:sz w:val="20"/>
      <w:szCs w:val="20"/>
    </w:rPr>
  </w:style>
  <w:style w:type="character" w:styleId="FollowedHyperlink">
    <w:name w:val="FollowedHyperlink"/>
    <w:basedOn w:val="DefaultParagraphFont"/>
    <w:uiPriority w:val="99"/>
    <w:semiHidden/>
    <w:unhideWhenUsed/>
    <w:rsid w:val="00BB62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C1E"/>
    <w:pPr>
      <w:spacing w:after="160" w:line="300" w:lineRule="auto"/>
    </w:pPr>
    <w:rPr>
      <w:rFonts w:eastAsiaTheme="minorEastAsia"/>
      <w:sz w:val="21"/>
      <w:szCs w:val="21"/>
    </w:rPr>
  </w:style>
  <w:style w:type="paragraph" w:styleId="Heading1">
    <w:name w:val="heading 1"/>
    <w:basedOn w:val="Normal"/>
    <w:next w:val="Normal"/>
    <w:link w:val="Heading1Char"/>
    <w:uiPriority w:val="9"/>
    <w:qFormat/>
    <w:rsid w:val="00EB1C1E"/>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EB1C1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B1C1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EB1C1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B1C1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B1C1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B1C1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B1C1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B1C1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C1E"/>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EB1C1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EB1C1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EB1C1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B1C1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B1C1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B1C1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B1C1E"/>
    <w:rPr>
      <w:rFonts w:asciiTheme="majorHAnsi" w:eastAsiaTheme="majorEastAsia" w:hAnsiTheme="majorHAnsi" w:cstheme="majorBidi"/>
      <w:i/>
      <w:iCs/>
    </w:rPr>
  </w:style>
  <w:style w:type="character" w:customStyle="1" w:styleId="Heading9Char">
    <w:name w:val="Heading 9 Char"/>
    <w:basedOn w:val="DefaultParagraphFont"/>
    <w:link w:val="Heading9"/>
    <w:uiPriority w:val="9"/>
    <w:semiHidden/>
    <w:rsid w:val="00EB1C1E"/>
    <w:rPr>
      <w:rFonts w:eastAsiaTheme="minorEastAsia"/>
      <w:b/>
      <w:bCs/>
      <w:i/>
      <w:iCs/>
      <w:sz w:val="21"/>
      <w:szCs w:val="21"/>
    </w:rPr>
  </w:style>
  <w:style w:type="paragraph" w:styleId="ListParagraph">
    <w:name w:val="List Paragraph"/>
    <w:basedOn w:val="Normal"/>
    <w:uiPriority w:val="34"/>
    <w:qFormat/>
    <w:rsid w:val="00EB1C1E"/>
    <w:pPr>
      <w:ind w:left="720"/>
      <w:contextualSpacing/>
    </w:pPr>
  </w:style>
  <w:style w:type="paragraph" w:styleId="FootnoteText">
    <w:name w:val="footnote text"/>
    <w:aliases w:val="Footnote Text Char1 Char,Footnote Text Char Char Char,Footnote Text Char2 Char1 Char Char,Footnote Text Char1 Char Char1 Char Char1,Footnote Text Char Char Char Char1 Char Char1,Footnote Text Char1,fn,f,fn Char Char Cha,ALTS FOOTNOTE"/>
    <w:link w:val="FootnoteTextChar2"/>
    <w:rsid w:val="00EB1C1E"/>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basedOn w:val="DefaultParagraphFont"/>
    <w:rsid w:val="00EB1C1E"/>
    <w:rPr>
      <w:rFonts w:eastAsiaTheme="minorEastAsia"/>
      <w:sz w:val="20"/>
      <w:szCs w:val="20"/>
    </w:rPr>
  </w:style>
  <w:style w:type="character" w:customStyle="1" w:styleId="FootnoteTextChar2">
    <w:name w:val="Footnote Text Char2"/>
    <w:aliases w:val="Footnote Text Char1 Char Char,Footnote Text Char Char Char Char,Footnote Text Char2 Char1 Char Char Char,Footnote Text Char1 Char Char1 Char Char1 Char,Footnote Text Char Char Char Char1 Char Char1 Char,Footnote Text Char1 Char1"/>
    <w:link w:val="FootnoteText"/>
    <w:locked/>
    <w:rsid w:val="00EB1C1E"/>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13,FR,Style 17,Style 6,Footnote Reference/,Style 3,Style 7,Style 4,Footnote Reference1"/>
    <w:rsid w:val="00EB1C1E"/>
    <w:rPr>
      <w:rFonts w:ascii="Times New Roman" w:hAnsi="Times New Roman"/>
      <w:dstrike w:val="0"/>
      <w:color w:val="auto"/>
      <w:sz w:val="20"/>
      <w:vertAlign w:val="superscript"/>
    </w:rPr>
  </w:style>
  <w:style w:type="paragraph" w:customStyle="1" w:styleId="ParaNum">
    <w:name w:val="ParaNum"/>
    <w:basedOn w:val="Normal"/>
    <w:link w:val="ParaNumChar1"/>
    <w:rsid w:val="00EB1C1E"/>
    <w:pPr>
      <w:widowControl w:val="0"/>
      <w:numPr>
        <w:numId w:val="2"/>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1">
    <w:name w:val="ParaNum Char1"/>
    <w:link w:val="ParaNum"/>
    <w:locked/>
    <w:rsid w:val="00EB1C1E"/>
    <w:rPr>
      <w:rFonts w:ascii="Times New Roman" w:eastAsia="Times New Roman" w:hAnsi="Times New Roman" w:cs="Times New Roman"/>
      <w:snapToGrid w:val="0"/>
      <w:kern w:val="28"/>
      <w:sz w:val="21"/>
      <w:szCs w:val="20"/>
    </w:rPr>
  </w:style>
  <w:style w:type="character" w:styleId="Strong">
    <w:name w:val="Strong"/>
    <w:basedOn w:val="DefaultParagraphFont"/>
    <w:uiPriority w:val="22"/>
    <w:qFormat/>
    <w:rsid w:val="00EB1C1E"/>
    <w:rPr>
      <w:b/>
      <w:bCs/>
    </w:rPr>
  </w:style>
  <w:style w:type="paragraph" w:styleId="BalloonText">
    <w:name w:val="Balloon Text"/>
    <w:basedOn w:val="Normal"/>
    <w:link w:val="BalloonTextChar"/>
    <w:uiPriority w:val="99"/>
    <w:semiHidden/>
    <w:unhideWhenUsed/>
    <w:rsid w:val="00EB1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C1E"/>
    <w:rPr>
      <w:rFonts w:ascii="Segoe UI" w:eastAsiaTheme="minorEastAsia" w:hAnsi="Segoe UI" w:cs="Segoe UI"/>
      <w:sz w:val="18"/>
      <w:szCs w:val="18"/>
    </w:rPr>
  </w:style>
  <w:style w:type="paragraph" w:styleId="TOCHeading">
    <w:name w:val="TOC Heading"/>
    <w:basedOn w:val="Heading1"/>
    <w:next w:val="Normal"/>
    <w:uiPriority w:val="39"/>
    <w:unhideWhenUsed/>
    <w:qFormat/>
    <w:rsid w:val="00EB1C1E"/>
    <w:pPr>
      <w:outlineLvl w:val="9"/>
    </w:pPr>
  </w:style>
  <w:style w:type="paragraph" w:styleId="TOC2">
    <w:name w:val="toc 2"/>
    <w:basedOn w:val="Normal"/>
    <w:next w:val="Normal"/>
    <w:autoRedefine/>
    <w:uiPriority w:val="39"/>
    <w:unhideWhenUsed/>
    <w:rsid w:val="00EB1C1E"/>
    <w:pPr>
      <w:spacing w:after="100"/>
      <w:ind w:left="220"/>
    </w:pPr>
    <w:rPr>
      <w:rFonts w:cs="Times New Roman"/>
    </w:rPr>
  </w:style>
  <w:style w:type="paragraph" w:styleId="TOC1">
    <w:name w:val="toc 1"/>
    <w:basedOn w:val="Normal"/>
    <w:next w:val="Normal"/>
    <w:autoRedefine/>
    <w:uiPriority w:val="39"/>
    <w:unhideWhenUsed/>
    <w:rsid w:val="00EB1C1E"/>
    <w:pPr>
      <w:tabs>
        <w:tab w:val="left" w:pos="450"/>
        <w:tab w:val="right" w:leader="dot" w:pos="9350"/>
      </w:tabs>
      <w:spacing w:after="100"/>
    </w:pPr>
    <w:rPr>
      <w:rFonts w:cs="Times New Roman"/>
    </w:rPr>
  </w:style>
  <w:style w:type="paragraph" w:styleId="TOC3">
    <w:name w:val="toc 3"/>
    <w:basedOn w:val="Normal"/>
    <w:next w:val="Normal"/>
    <w:autoRedefine/>
    <w:uiPriority w:val="39"/>
    <w:unhideWhenUsed/>
    <w:rsid w:val="00EB1C1E"/>
    <w:pPr>
      <w:spacing w:after="100"/>
      <w:ind w:left="440"/>
    </w:pPr>
    <w:rPr>
      <w:rFonts w:cs="Times New Roman"/>
    </w:rPr>
  </w:style>
  <w:style w:type="paragraph" w:styleId="Title">
    <w:name w:val="Title"/>
    <w:basedOn w:val="Normal"/>
    <w:next w:val="Normal"/>
    <w:link w:val="TitleChar"/>
    <w:uiPriority w:val="10"/>
    <w:qFormat/>
    <w:rsid w:val="00EB1C1E"/>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EB1C1E"/>
    <w:rPr>
      <w:rFonts w:asciiTheme="majorHAnsi" w:eastAsiaTheme="majorEastAsia" w:hAnsiTheme="majorHAnsi" w:cstheme="majorBidi"/>
      <w:caps/>
      <w:color w:val="1F497D" w:themeColor="text2"/>
      <w:spacing w:val="30"/>
      <w:sz w:val="72"/>
      <w:szCs w:val="72"/>
    </w:rPr>
  </w:style>
  <w:style w:type="character" w:styleId="Hyperlink">
    <w:name w:val="Hyperlink"/>
    <w:basedOn w:val="DefaultParagraphFont"/>
    <w:uiPriority w:val="99"/>
    <w:unhideWhenUsed/>
    <w:rsid w:val="00EB1C1E"/>
    <w:rPr>
      <w:color w:val="0000FF" w:themeColor="hyperlink"/>
      <w:u w:val="single"/>
    </w:rPr>
  </w:style>
  <w:style w:type="paragraph" w:styleId="Caption">
    <w:name w:val="caption"/>
    <w:basedOn w:val="Normal"/>
    <w:next w:val="Normal"/>
    <w:uiPriority w:val="35"/>
    <w:semiHidden/>
    <w:unhideWhenUsed/>
    <w:qFormat/>
    <w:rsid w:val="00EB1C1E"/>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EB1C1E"/>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EB1C1E"/>
    <w:rPr>
      <w:rFonts w:eastAsiaTheme="minorEastAsia"/>
      <w:color w:val="1F497D" w:themeColor="text2"/>
      <w:sz w:val="28"/>
      <w:szCs w:val="28"/>
    </w:rPr>
  </w:style>
  <w:style w:type="character" w:styleId="Emphasis">
    <w:name w:val="Emphasis"/>
    <w:basedOn w:val="DefaultParagraphFont"/>
    <w:uiPriority w:val="20"/>
    <w:qFormat/>
    <w:rsid w:val="00EB1C1E"/>
    <w:rPr>
      <w:i/>
      <w:iCs/>
      <w:color w:val="000000" w:themeColor="text1"/>
    </w:rPr>
  </w:style>
  <w:style w:type="paragraph" w:styleId="NoSpacing">
    <w:name w:val="No Spacing"/>
    <w:uiPriority w:val="1"/>
    <w:qFormat/>
    <w:rsid w:val="00EB1C1E"/>
    <w:pPr>
      <w:spacing w:after="0" w:line="240" w:lineRule="auto"/>
    </w:pPr>
    <w:rPr>
      <w:rFonts w:eastAsiaTheme="minorEastAsia"/>
      <w:sz w:val="21"/>
      <w:szCs w:val="21"/>
    </w:rPr>
  </w:style>
  <w:style w:type="paragraph" w:styleId="Quote">
    <w:name w:val="Quote"/>
    <w:basedOn w:val="Normal"/>
    <w:next w:val="Normal"/>
    <w:link w:val="QuoteChar"/>
    <w:uiPriority w:val="29"/>
    <w:qFormat/>
    <w:rsid w:val="00EB1C1E"/>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EB1C1E"/>
    <w:rPr>
      <w:rFonts w:eastAsiaTheme="minorEastAsia"/>
      <w:i/>
      <w:iCs/>
      <w:color w:val="76923C" w:themeColor="accent3" w:themeShade="BF"/>
      <w:sz w:val="24"/>
      <w:szCs w:val="24"/>
    </w:rPr>
  </w:style>
  <w:style w:type="paragraph" w:styleId="IntenseQuote">
    <w:name w:val="Intense Quote"/>
    <w:basedOn w:val="Normal"/>
    <w:next w:val="Normal"/>
    <w:link w:val="IntenseQuoteChar"/>
    <w:uiPriority w:val="30"/>
    <w:qFormat/>
    <w:rsid w:val="00EB1C1E"/>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EB1C1E"/>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EB1C1E"/>
    <w:rPr>
      <w:i/>
      <w:iCs/>
      <w:color w:val="595959" w:themeColor="text1" w:themeTint="A6"/>
    </w:rPr>
  </w:style>
  <w:style w:type="character" w:styleId="IntenseEmphasis">
    <w:name w:val="Intense Emphasis"/>
    <w:basedOn w:val="DefaultParagraphFont"/>
    <w:uiPriority w:val="21"/>
    <w:qFormat/>
    <w:rsid w:val="00EB1C1E"/>
    <w:rPr>
      <w:b/>
      <w:bCs/>
      <w:i/>
      <w:iCs/>
      <w:color w:val="auto"/>
    </w:rPr>
  </w:style>
  <w:style w:type="character" w:styleId="SubtleReference">
    <w:name w:val="Subtle Reference"/>
    <w:basedOn w:val="DefaultParagraphFont"/>
    <w:uiPriority w:val="31"/>
    <w:qFormat/>
    <w:rsid w:val="00EB1C1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B1C1E"/>
    <w:rPr>
      <w:b/>
      <w:bCs/>
      <w:caps w:val="0"/>
      <w:smallCaps/>
      <w:color w:val="auto"/>
      <w:spacing w:val="0"/>
      <w:u w:val="single"/>
    </w:rPr>
  </w:style>
  <w:style w:type="character" w:styleId="BookTitle">
    <w:name w:val="Book Title"/>
    <w:basedOn w:val="DefaultParagraphFont"/>
    <w:uiPriority w:val="33"/>
    <w:qFormat/>
    <w:rsid w:val="00EB1C1E"/>
    <w:rPr>
      <w:b/>
      <w:bCs/>
      <w:caps w:val="0"/>
      <w:smallCaps/>
      <w:spacing w:val="0"/>
    </w:rPr>
  </w:style>
  <w:style w:type="character" w:customStyle="1" w:styleId="ParaNumChar">
    <w:name w:val="ParaNum Char"/>
    <w:locked/>
    <w:rsid w:val="00EB1C1E"/>
    <w:rPr>
      <w:snapToGrid w:val="0"/>
      <w:kern w:val="28"/>
      <w:sz w:val="22"/>
    </w:rPr>
  </w:style>
  <w:style w:type="paragraph" w:styleId="Header">
    <w:name w:val="header"/>
    <w:basedOn w:val="Normal"/>
    <w:link w:val="HeaderChar"/>
    <w:uiPriority w:val="99"/>
    <w:unhideWhenUsed/>
    <w:rsid w:val="00EB1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C1E"/>
    <w:rPr>
      <w:rFonts w:eastAsiaTheme="minorEastAsia"/>
      <w:sz w:val="21"/>
      <w:szCs w:val="21"/>
    </w:rPr>
  </w:style>
  <w:style w:type="paragraph" w:styleId="Footer">
    <w:name w:val="footer"/>
    <w:basedOn w:val="Normal"/>
    <w:link w:val="FooterChar"/>
    <w:uiPriority w:val="99"/>
    <w:unhideWhenUsed/>
    <w:rsid w:val="00EB1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C1E"/>
    <w:rPr>
      <w:rFonts w:eastAsiaTheme="minorEastAsia"/>
      <w:sz w:val="21"/>
      <w:szCs w:val="21"/>
    </w:rPr>
  </w:style>
  <w:style w:type="table" w:styleId="TableGrid">
    <w:name w:val="Table Grid"/>
    <w:basedOn w:val="TableNormal"/>
    <w:uiPriority w:val="39"/>
    <w:rsid w:val="00EB1C1E"/>
    <w:pPr>
      <w:spacing w:after="0" w:line="240" w:lineRule="auto"/>
    </w:pPr>
    <w:rPr>
      <w:rFonts w:eastAsiaTheme="minorEastAsia"/>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B1C1E"/>
  </w:style>
  <w:style w:type="character" w:styleId="CommentReference">
    <w:name w:val="annotation reference"/>
    <w:basedOn w:val="DefaultParagraphFont"/>
    <w:uiPriority w:val="99"/>
    <w:semiHidden/>
    <w:unhideWhenUsed/>
    <w:rsid w:val="00EB1C1E"/>
    <w:rPr>
      <w:sz w:val="16"/>
      <w:szCs w:val="16"/>
    </w:rPr>
  </w:style>
  <w:style w:type="paragraph" w:styleId="CommentText">
    <w:name w:val="annotation text"/>
    <w:basedOn w:val="Normal"/>
    <w:link w:val="CommentTextChar"/>
    <w:uiPriority w:val="99"/>
    <w:semiHidden/>
    <w:unhideWhenUsed/>
    <w:rsid w:val="00EB1C1E"/>
    <w:pPr>
      <w:spacing w:line="240" w:lineRule="auto"/>
    </w:pPr>
    <w:rPr>
      <w:sz w:val="20"/>
      <w:szCs w:val="20"/>
    </w:rPr>
  </w:style>
  <w:style w:type="character" w:customStyle="1" w:styleId="CommentTextChar">
    <w:name w:val="Comment Text Char"/>
    <w:basedOn w:val="DefaultParagraphFont"/>
    <w:link w:val="CommentText"/>
    <w:uiPriority w:val="99"/>
    <w:semiHidden/>
    <w:rsid w:val="00EB1C1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B1C1E"/>
    <w:rPr>
      <w:b/>
      <w:bCs/>
    </w:rPr>
  </w:style>
  <w:style w:type="character" w:customStyle="1" w:styleId="CommentSubjectChar">
    <w:name w:val="Comment Subject Char"/>
    <w:basedOn w:val="CommentTextChar"/>
    <w:link w:val="CommentSubject"/>
    <w:uiPriority w:val="99"/>
    <w:semiHidden/>
    <w:rsid w:val="00EB1C1E"/>
    <w:rPr>
      <w:rFonts w:eastAsiaTheme="minorEastAsia"/>
      <w:b/>
      <w:bCs/>
      <w:sz w:val="20"/>
      <w:szCs w:val="20"/>
    </w:rPr>
  </w:style>
  <w:style w:type="character" w:customStyle="1" w:styleId="apple-style-span">
    <w:name w:val="apple-style-span"/>
    <w:rsid w:val="00002A62"/>
  </w:style>
  <w:style w:type="paragraph" w:styleId="NormalWeb">
    <w:name w:val="Normal (Web)"/>
    <w:basedOn w:val="Normal"/>
    <w:uiPriority w:val="99"/>
    <w:unhideWhenUsed/>
    <w:rsid w:val="00136C15"/>
    <w:pPr>
      <w:spacing w:before="100" w:beforeAutospacing="1" w:after="100" w:afterAutospacing="1" w:line="240" w:lineRule="auto"/>
    </w:pPr>
    <w:rPr>
      <w:rFonts w:ascii="Times" w:eastAsiaTheme="minorHAnsi" w:hAnsi="Times" w:cs="Times New Roman"/>
      <w:sz w:val="20"/>
      <w:szCs w:val="20"/>
    </w:rPr>
  </w:style>
  <w:style w:type="character" w:styleId="FollowedHyperlink">
    <w:name w:val="FollowedHyperlink"/>
    <w:basedOn w:val="DefaultParagraphFont"/>
    <w:uiPriority w:val="99"/>
    <w:semiHidden/>
    <w:unhideWhenUsed/>
    <w:rsid w:val="00BB62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8100">
      <w:bodyDiv w:val="1"/>
      <w:marLeft w:val="0"/>
      <w:marRight w:val="0"/>
      <w:marTop w:val="0"/>
      <w:marBottom w:val="0"/>
      <w:divBdr>
        <w:top w:val="none" w:sz="0" w:space="0" w:color="auto"/>
        <w:left w:val="none" w:sz="0" w:space="0" w:color="auto"/>
        <w:bottom w:val="none" w:sz="0" w:space="0" w:color="auto"/>
        <w:right w:val="none" w:sz="0" w:space="0" w:color="auto"/>
      </w:divBdr>
    </w:div>
    <w:div w:id="105932718">
      <w:bodyDiv w:val="1"/>
      <w:marLeft w:val="0"/>
      <w:marRight w:val="0"/>
      <w:marTop w:val="0"/>
      <w:marBottom w:val="0"/>
      <w:divBdr>
        <w:top w:val="none" w:sz="0" w:space="0" w:color="auto"/>
        <w:left w:val="none" w:sz="0" w:space="0" w:color="auto"/>
        <w:bottom w:val="none" w:sz="0" w:space="0" w:color="auto"/>
        <w:right w:val="none" w:sz="0" w:space="0" w:color="auto"/>
      </w:divBdr>
    </w:div>
    <w:div w:id="367068670">
      <w:bodyDiv w:val="1"/>
      <w:marLeft w:val="0"/>
      <w:marRight w:val="0"/>
      <w:marTop w:val="0"/>
      <w:marBottom w:val="0"/>
      <w:divBdr>
        <w:top w:val="none" w:sz="0" w:space="0" w:color="auto"/>
        <w:left w:val="none" w:sz="0" w:space="0" w:color="auto"/>
        <w:bottom w:val="none" w:sz="0" w:space="0" w:color="auto"/>
        <w:right w:val="none" w:sz="0" w:space="0" w:color="auto"/>
      </w:divBdr>
      <w:divsChild>
        <w:div w:id="935944993">
          <w:marLeft w:val="0"/>
          <w:marRight w:val="0"/>
          <w:marTop w:val="0"/>
          <w:marBottom w:val="0"/>
          <w:divBdr>
            <w:top w:val="none" w:sz="0" w:space="0" w:color="auto"/>
            <w:left w:val="none" w:sz="0" w:space="0" w:color="auto"/>
            <w:bottom w:val="none" w:sz="0" w:space="0" w:color="auto"/>
            <w:right w:val="none" w:sz="0" w:space="0" w:color="auto"/>
          </w:divBdr>
          <w:divsChild>
            <w:div w:id="2088962093">
              <w:marLeft w:val="0"/>
              <w:marRight w:val="0"/>
              <w:marTop w:val="0"/>
              <w:marBottom w:val="0"/>
              <w:divBdr>
                <w:top w:val="none" w:sz="0" w:space="0" w:color="auto"/>
                <w:left w:val="none" w:sz="0" w:space="0" w:color="auto"/>
                <w:bottom w:val="none" w:sz="0" w:space="0" w:color="auto"/>
                <w:right w:val="none" w:sz="0" w:space="0" w:color="auto"/>
              </w:divBdr>
              <w:divsChild>
                <w:div w:id="5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534179">
      <w:bodyDiv w:val="1"/>
      <w:marLeft w:val="0"/>
      <w:marRight w:val="0"/>
      <w:marTop w:val="0"/>
      <w:marBottom w:val="0"/>
      <w:divBdr>
        <w:top w:val="none" w:sz="0" w:space="0" w:color="auto"/>
        <w:left w:val="none" w:sz="0" w:space="0" w:color="auto"/>
        <w:bottom w:val="none" w:sz="0" w:space="0" w:color="auto"/>
        <w:right w:val="none" w:sz="0" w:space="0" w:color="auto"/>
      </w:divBdr>
    </w:div>
    <w:div w:id="1575774658">
      <w:bodyDiv w:val="1"/>
      <w:marLeft w:val="0"/>
      <w:marRight w:val="0"/>
      <w:marTop w:val="0"/>
      <w:marBottom w:val="0"/>
      <w:divBdr>
        <w:top w:val="none" w:sz="0" w:space="0" w:color="auto"/>
        <w:left w:val="none" w:sz="0" w:space="0" w:color="auto"/>
        <w:bottom w:val="none" w:sz="0" w:space="0" w:color="auto"/>
        <w:right w:val="none" w:sz="0" w:space="0" w:color="auto"/>
      </w:divBdr>
    </w:div>
    <w:div w:id="206637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cc.gov/document/mobility-fund-auction-procedures-and-filing-requirements" TargetMode="External"/><Relationship Id="rId22" Type="http://schemas.openxmlformats.org/officeDocument/2006/relationships/header" Target="header10.xml"/></Relationships>
</file>

<file path=word/_rels/footnotes.xml.rels><?xml version="1.0" encoding="UTF-8" standalone="yes"?>
<Relationships xmlns="http://schemas.openxmlformats.org/package/2006/relationships"><Relationship Id="rId3" Type="http://schemas.openxmlformats.org/officeDocument/2006/relationships/hyperlink" Target="http://wireless.fcc.gov/auctions/901" TargetMode="External"/><Relationship Id="rId2" Type="http://schemas.openxmlformats.org/officeDocument/2006/relationships/hyperlink" Target="https://www2.census.gov/geo/pdfs/maps-data/data/tiger/tgrshp2009/TGRSHP09AF.pdf" TargetMode="External"/><Relationship Id="rId1" Type="http://schemas.openxmlformats.org/officeDocument/2006/relationships/hyperlink" Target="http://www.mosaik.com/" TargetMode="External"/><Relationship Id="rId5" Type="http://schemas.openxmlformats.org/officeDocument/2006/relationships/hyperlink" Target="http://www.census.gov/geo/maps-data/data/gazetteer2010.html" TargetMode="External"/><Relationship Id="rId4" Type="http://schemas.openxmlformats.org/officeDocument/2006/relationships/hyperlink" Target="http://wireless.fcc.gov/auctions/9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7679</Words>
  <Characters>40589</Characters>
  <Application>Microsoft Office Word</Application>
  <DocSecurity>0</DocSecurity>
  <Lines>1770</Lines>
  <Paragraphs>719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47928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2016-09-30T14:28:00Z</cp:lastPrinted>
  <dcterms:created xsi:type="dcterms:W3CDTF">2016-09-30T18:04:00Z</dcterms:created>
  <dcterms:modified xsi:type="dcterms:W3CDTF">2016-09-30T18:04:00Z</dcterms:modified>
  <cp:category> </cp:category>
  <cp:contentStatus> </cp:contentStatus>
</cp:coreProperties>
</file>