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0A63F" w14:textId="30762F08" w:rsidR="00D372BD" w:rsidRPr="002246AE" w:rsidRDefault="00D4596C" w:rsidP="00D372BD">
      <w:pPr>
        <w:spacing w:after="0"/>
        <w:jc w:val="center"/>
        <w:rPr>
          <w:rFonts w:cs="Times New Roman"/>
          <w:b/>
        </w:rPr>
      </w:pPr>
      <w:bookmarkStart w:id="0" w:name="_GoBack"/>
      <w:bookmarkEnd w:id="0"/>
      <w:r w:rsidRPr="002246AE">
        <w:rPr>
          <w:rFonts w:cs="Times New Roman"/>
          <w:b/>
        </w:rPr>
        <w:t xml:space="preserve">CHAIRMAN WHEELER’S PROPOSAL </w:t>
      </w:r>
      <w:r w:rsidR="00722A17" w:rsidRPr="002246AE">
        <w:rPr>
          <w:rFonts w:cs="Times New Roman"/>
          <w:b/>
        </w:rPr>
        <w:t xml:space="preserve">TO </w:t>
      </w:r>
      <w:r w:rsidR="004D66B2" w:rsidRPr="002246AE">
        <w:rPr>
          <w:rFonts w:cs="Times New Roman"/>
          <w:b/>
        </w:rPr>
        <w:t xml:space="preserve">PROMOTE </w:t>
      </w:r>
      <w:r w:rsidR="00722A17" w:rsidRPr="002246AE">
        <w:rPr>
          <w:rFonts w:cs="Times New Roman"/>
          <w:b/>
        </w:rPr>
        <w:t>FAIRNESS, COMPETITION</w:t>
      </w:r>
      <w:r w:rsidR="00282676" w:rsidRPr="002246AE">
        <w:rPr>
          <w:rFonts w:cs="Times New Roman"/>
          <w:b/>
        </w:rPr>
        <w:t>,</w:t>
      </w:r>
      <w:r w:rsidR="00722A17" w:rsidRPr="002246AE">
        <w:rPr>
          <w:rFonts w:cs="Times New Roman"/>
          <w:b/>
        </w:rPr>
        <w:t xml:space="preserve"> AND INVESTMENT </w:t>
      </w:r>
      <w:r w:rsidR="00A17DED" w:rsidRPr="002246AE">
        <w:rPr>
          <w:rFonts w:cs="Times New Roman"/>
          <w:b/>
        </w:rPr>
        <w:t>IN THE BUSINESS DATA SERVICES MARKET</w:t>
      </w:r>
    </w:p>
    <w:p w14:paraId="1FE6CCE1" w14:textId="77777777" w:rsidR="00D372BD" w:rsidRPr="002246AE" w:rsidRDefault="00D372BD" w:rsidP="00D372BD">
      <w:pPr>
        <w:spacing w:after="0"/>
        <w:jc w:val="center"/>
        <w:rPr>
          <w:rFonts w:cs="Times New Roman"/>
          <w:b/>
        </w:rPr>
      </w:pPr>
    </w:p>
    <w:p w14:paraId="744E8F4E" w14:textId="20F3B887" w:rsidR="00BA0252" w:rsidRPr="002246AE" w:rsidRDefault="00BD42C6" w:rsidP="00D372BD">
      <w:pPr>
        <w:spacing w:after="100" w:afterAutospacing="1" w:line="240" w:lineRule="auto"/>
        <w:rPr>
          <w:rFonts w:cs="Times New Roman"/>
        </w:rPr>
      </w:pPr>
      <w:r w:rsidRPr="002246AE">
        <w:rPr>
          <w:rFonts w:eastAsia="Calibri" w:cs="Times New Roman"/>
          <w:b/>
        </w:rPr>
        <w:t xml:space="preserve">Business Data Services: </w:t>
      </w:r>
      <w:r w:rsidR="00904ABB" w:rsidRPr="002246AE">
        <w:rPr>
          <w:rFonts w:eastAsia="Calibri" w:cs="Times New Roman"/>
          <w:b/>
        </w:rPr>
        <w:t>Networks That Support Essential Services</w:t>
      </w:r>
      <w:r w:rsidRPr="002246AE">
        <w:rPr>
          <w:rFonts w:eastAsia="Calibri" w:cs="Times New Roman"/>
        </w:rPr>
        <w:br/>
        <w:t>Business Data Services (BDS)</w:t>
      </w:r>
      <w:r w:rsidRPr="002246AE">
        <w:t xml:space="preserve">, sometimes </w:t>
      </w:r>
      <w:r w:rsidR="00DD2247" w:rsidRPr="002246AE">
        <w:t>referred to as “special access</w:t>
      </w:r>
      <w:r w:rsidR="00282676" w:rsidRPr="002246AE">
        <w:t>,</w:t>
      </w:r>
      <w:r w:rsidR="00DD2247" w:rsidRPr="002246AE">
        <w:t>”</w:t>
      </w:r>
      <w:r w:rsidR="00282676" w:rsidRPr="002246AE">
        <w:t xml:space="preserve"> </w:t>
      </w:r>
      <w:r w:rsidRPr="002246AE">
        <w:rPr>
          <w:rFonts w:eastAsia="Calibri" w:cs="Times New Roman"/>
        </w:rPr>
        <w:t>are</w:t>
      </w:r>
      <w:r w:rsidR="003D5D47" w:rsidRPr="002246AE">
        <w:rPr>
          <w:rFonts w:eastAsia="Calibri" w:cs="Times New Roman"/>
        </w:rPr>
        <w:t xml:space="preserve"> </w:t>
      </w:r>
      <w:r w:rsidR="00722A17" w:rsidRPr="002246AE">
        <w:rPr>
          <w:rFonts w:cs="Times New Roman"/>
        </w:rPr>
        <w:t>enterprise data services</w:t>
      </w:r>
      <w:r w:rsidRPr="002246AE">
        <w:rPr>
          <w:rFonts w:cs="Times New Roman"/>
        </w:rPr>
        <w:t xml:space="preserve"> that</w:t>
      </w:r>
      <w:r w:rsidR="003D5D47" w:rsidRPr="002246AE">
        <w:rPr>
          <w:rFonts w:cs="Times New Roman"/>
        </w:rPr>
        <w:t xml:space="preserve"> ar</w:t>
      </w:r>
      <w:r w:rsidRPr="002246AE">
        <w:rPr>
          <w:rFonts w:cs="Times New Roman"/>
        </w:rPr>
        <w:t>e a fundamental part of the U.S. economy. These dedicated network connections support essential</w:t>
      </w:r>
      <w:r w:rsidR="003D5D47" w:rsidRPr="002246AE">
        <w:rPr>
          <w:rFonts w:cs="Times New Roman"/>
        </w:rPr>
        <w:t xml:space="preserve"> services like </w:t>
      </w:r>
      <w:r w:rsidRPr="002246AE">
        <w:rPr>
          <w:rFonts w:cs="Times New Roman"/>
        </w:rPr>
        <w:t>ATM</w:t>
      </w:r>
      <w:r w:rsidR="00CC341A" w:rsidRPr="002246AE">
        <w:rPr>
          <w:rFonts w:cs="Times New Roman"/>
        </w:rPr>
        <w:t>s</w:t>
      </w:r>
      <w:r w:rsidR="00E45862" w:rsidRPr="002246AE">
        <w:rPr>
          <w:rFonts w:cs="Times New Roman"/>
        </w:rPr>
        <w:t xml:space="preserve">, </w:t>
      </w:r>
      <w:r w:rsidR="003D5D47" w:rsidRPr="002246AE">
        <w:rPr>
          <w:rFonts w:cs="Times New Roman"/>
        </w:rPr>
        <w:t>credit</w:t>
      </w:r>
      <w:r w:rsidR="00CC341A" w:rsidRPr="002246AE">
        <w:rPr>
          <w:rFonts w:cs="Times New Roman"/>
        </w:rPr>
        <w:t>-</w:t>
      </w:r>
      <w:r w:rsidR="00237F09" w:rsidRPr="002246AE">
        <w:rPr>
          <w:rFonts w:cs="Times New Roman"/>
        </w:rPr>
        <w:t xml:space="preserve">card </w:t>
      </w:r>
      <w:r w:rsidR="003D5D47" w:rsidRPr="002246AE">
        <w:rPr>
          <w:rFonts w:cs="Times New Roman"/>
        </w:rPr>
        <w:t>readers</w:t>
      </w:r>
      <w:r w:rsidR="00282676" w:rsidRPr="002246AE">
        <w:rPr>
          <w:rFonts w:cs="Times New Roman"/>
        </w:rPr>
        <w:t>,</w:t>
      </w:r>
      <w:r w:rsidRPr="002246AE">
        <w:rPr>
          <w:rFonts w:cs="Times New Roman"/>
        </w:rPr>
        <w:t xml:space="preserve"> and mobile</w:t>
      </w:r>
      <w:r w:rsidR="00CC341A" w:rsidRPr="002246AE">
        <w:rPr>
          <w:rFonts w:cs="Times New Roman"/>
        </w:rPr>
        <w:t>-</w:t>
      </w:r>
      <w:r w:rsidRPr="002246AE">
        <w:rPr>
          <w:rFonts w:cs="Times New Roman"/>
        </w:rPr>
        <w:t>phone service. BDS carr</w:t>
      </w:r>
      <w:r w:rsidR="00B61119" w:rsidRPr="002246AE">
        <w:rPr>
          <w:rFonts w:cs="Times New Roman"/>
        </w:rPr>
        <w:t>ies</w:t>
      </w:r>
      <w:r w:rsidR="003D5D47" w:rsidRPr="002246AE">
        <w:rPr>
          <w:rFonts w:cs="Times New Roman"/>
        </w:rPr>
        <w:t xml:space="preserve"> the massive flows of data </w:t>
      </w:r>
      <w:r w:rsidR="00E45862" w:rsidRPr="002246AE">
        <w:rPr>
          <w:rFonts w:cs="Times New Roman"/>
        </w:rPr>
        <w:t xml:space="preserve">exchanged by </w:t>
      </w:r>
      <w:r w:rsidRPr="002246AE">
        <w:rPr>
          <w:rFonts w:cs="Times New Roman"/>
        </w:rPr>
        <w:t>business, industry,</w:t>
      </w:r>
      <w:r w:rsidR="003D5D47" w:rsidRPr="002246AE">
        <w:rPr>
          <w:rFonts w:cs="Times New Roman"/>
        </w:rPr>
        <w:t xml:space="preserve"> and </w:t>
      </w:r>
      <w:r w:rsidR="00E45862" w:rsidRPr="002246AE">
        <w:rPr>
          <w:rFonts w:cs="Times New Roman"/>
        </w:rPr>
        <w:t>institutions like hospitals</w:t>
      </w:r>
      <w:r w:rsidR="00AB4530" w:rsidRPr="002246AE">
        <w:rPr>
          <w:rFonts w:cs="Times New Roman"/>
        </w:rPr>
        <w:t>, schools</w:t>
      </w:r>
      <w:r w:rsidR="00E45862" w:rsidRPr="002246AE">
        <w:rPr>
          <w:rFonts w:cs="Times New Roman"/>
        </w:rPr>
        <w:t xml:space="preserve"> and universities</w:t>
      </w:r>
      <w:r w:rsidRPr="002246AE">
        <w:rPr>
          <w:rFonts w:cs="Times New Roman"/>
        </w:rPr>
        <w:t>, and provides</w:t>
      </w:r>
      <w:r w:rsidR="0021075B" w:rsidRPr="002246AE">
        <w:rPr>
          <w:rFonts w:cs="Times New Roman"/>
        </w:rPr>
        <w:t xml:space="preserve"> essential infrastructure to support wireless innovation, including 5G</w:t>
      </w:r>
      <w:r w:rsidR="00E45862" w:rsidRPr="002246AE">
        <w:rPr>
          <w:rFonts w:cs="Times New Roman"/>
        </w:rPr>
        <w:t xml:space="preserve">. </w:t>
      </w:r>
      <w:r w:rsidRPr="002246AE">
        <w:t xml:space="preserve">They can be provided over fiber or copper and use either </w:t>
      </w:r>
      <w:r w:rsidR="00904ABB" w:rsidRPr="002246AE">
        <w:t>TDM</w:t>
      </w:r>
      <w:r w:rsidRPr="002246AE">
        <w:t xml:space="preserve"> or </w:t>
      </w:r>
      <w:r w:rsidR="009A35C9" w:rsidRPr="002246AE">
        <w:t xml:space="preserve">packet-based </w:t>
      </w:r>
      <w:r w:rsidR="00656BE2" w:rsidRPr="002246AE">
        <w:t xml:space="preserve">(IP) </w:t>
      </w:r>
      <w:r w:rsidR="009A35C9" w:rsidRPr="002246AE">
        <w:t>Ethernet</w:t>
      </w:r>
      <w:r w:rsidR="00904ABB" w:rsidRPr="002246AE">
        <w:t xml:space="preserve"> technology. </w:t>
      </w:r>
    </w:p>
    <w:p w14:paraId="21433863" w14:textId="69CB7723" w:rsidR="00282676" w:rsidRPr="002246AE" w:rsidRDefault="00904ABB" w:rsidP="00D372BD">
      <w:pPr>
        <w:spacing w:after="100" w:afterAutospacing="1" w:line="240" w:lineRule="auto"/>
        <w:rPr>
          <w:rFonts w:cs="Times New Roman"/>
        </w:rPr>
      </w:pPr>
      <w:r w:rsidRPr="002246AE">
        <w:rPr>
          <w:rFonts w:eastAsia="Calibri" w:cs="Times New Roman"/>
          <w:b/>
        </w:rPr>
        <w:t>A New Framework: Targeted Action to Encourage Competition</w:t>
      </w:r>
      <w:r w:rsidR="00DD045E" w:rsidRPr="002246AE">
        <w:rPr>
          <w:rFonts w:eastAsia="Calibri" w:cs="Times New Roman"/>
          <w:b/>
        </w:rPr>
        <w:t>, Fair Access</w:t>
      </w:r>
      <w:r w:rsidRPr="002246AE">
        <w:rPr>
          <w:rFonts w:eastAsia="Calibri" w:cs="Times New Roman"/>
          <w:b/>
        </w:rPr>
        <w:br/>
      </w:r>
      <w:r w:rsidR="00282676" w:rsidRPr="002246AE">
        <w:rPr>
          <w:rFonts w:eastAsia="Calibri" w:cs="Times New Roman"/>
        </w:rPr>
        <w:t>T</w:t>
      </w:r>
      <w:r w:rsidRPr="002246AE">
        <w:rPr>
          <w:rFonts w:eastAsia="Calibri" w:cs="Times New Roman"/>
        </w:rPr>
        <w:t xml:space="preserve">o </w:t>
      </w:r>
      <w:r w:rsidR="00D372BD" w:rsidRPr="002246AE">
        <w:rPr>
          <w:rFonts w:eastAsia="Calibri" w:cs="Times New Roman"/>
        </w:rPr>
        <w:t>promote fairness, c</w:t>
      </w:r>
      <w:r w:rsidR="00BD42C6" w:rsidRPr="002246AE">
        <w:rPr>
          <w:rFonts w:eastAsia="Calibri" w:cs="Times New Roman"/>
        </w:rPr>
        <w:t>ompetition</w:t>
      </w:r>
      <w:r w:rsidR="00282676" w:rsidRPr="002246AE">
        <w:rPr>
          <w:rFonts w:eastAsia="Calibri" w:cs="Times New Roman"/>
        </w:rPr>
        <w:t>,</w:t>
      </w:r>
      <w:r w:rsidR="00BD42C6" w:rsidRPr="002246AE">
        <w:rPr>
          <w:rFonts w:eastAsia="Calibri" w:cs="Times New Roman"/>
        </w:rPr>
        <w:t xml:space="preserve"> and investment in this</w:t>
      </w:r>
      <w:r w:rsidR="00D372BD" w:rsidRPr="002246AE">
        <w:rPr>
          <w:rFonts w:eastAsia="Calibri" w:cs="Times New Roman"/>
        </w:rPr>
        <w:t xml:space="preserve"> $45 billion </w:t>
      </w:r>
      <w:r w:rsidR="00BD42C6" w:rsidRPr="002246AE">
        <w:rPr>
          <w:rFonts w:eastAsia="Calibri" w:cs="Times New Roman"/>
        </w:rPr>
        <w:t>marketplace</w:t>
      </w:r>
      <w:r w:rsidRPr="002246AE">
        <w:rPr>
          <w:rFonts w:eastAsia="Calibri" w:cs="Times New Roman"/>
        </w:rPr>
        <w:t xml:space="preserve">, FCC Chairman Tom Wheeler circulated to his fellow Commissioners </w:t>
      </w:r>
      <w:r w:rsidRPr="002246AE">
        <w:rPr>
          <w:rFonts w:cs="Times New Roman"/>
        </w:rPr>
        <w:t>proposed rules</w:t>
      </w:r>
      <w:r w:rsidR="00237F09" w:rsidRPr="002246AE">
        <w:rPr>
          <w:rFonts w:cs="Times New Roman"/>
        </w:rPr>
        <w:t xml:space="preserve"> </w:t>
      </w:r>
      <w:r w:rsidRPr="002246AE">
        <w:rPr>
          <w:rFonts w:cs="Times New Roman"/>
        </w:rPr>
        <w:t xml:space="preserve">to take </w:t>
      </w:r>
      <w:r w:rsidR="0021075B" w:rsidRPr="002246AE">
        <w:rPr>
          <w:rFonts w:cs="Times New Roman"/>
        </w:rPr>
        <w:t xml:space="preserve">necessary and overdue steps to </w:t>
      </w:r>
      <w:r w:rsidR="00237F09" w:rsidRPr="002246AE">
        <w:rPr>
          <w:rFonts w:cs="Times New Roman"/>
        </w:rPr>
        <w:t xml:space="preserve">reform a </w:t>
      </w:r>
      <w:r w:rsidR="00AD6A24" w:rsidRPr="002246AE">
        <w:rPr>
          <w:rFonts w:cs="Times New Roman"/>
        </w:rPr>
        <w:t>long-</w:t>
      </w:r>
      <w:r w:rsidR="00BD42C6" w:rsidRPr="002246AE">
        <w:rPr>
          <w:rFonts w:cs="Times New Roman"/>
        </w:rPr>
        <w:t xml:space="preserve">broken regulatory regime. </w:t>
      </w:r>
      <w:r w:rsidR="0021075B" w:rsidRPr="002246AE">
        <w:rPr>
          <w:rFonts w:cs="Times New Roman"/>
        </w:rPr>
        <w:t xml:space="preserve">The </w:t>
      </w:r>
      <w:r w:rsidRPr="002246AE">
        <w:rPr>
          <w:rFonts w:cs="Times New Roman"/>
        </w:rPr>
        <w:t xml:space="preserve">Order provides a </w:t>
      </w:r>
      <w:r w:rsidR="0021075B" w:rsidRPr="002246AE">
        <w:rPr>
          <w:rFonts w:cs="Times New Roman"/>
        </w:rPr>
        <w:t>new framework</w:t>
      </w:r>
      <w:r w:rsidRPr="002246AE">
        <w:rPr>
          <w:rFonts w:cs="Times New Roman"/>
        </w:rPr>
        <w:t xml:space="preserve"> for this market</w:t>
      </w:r>
      <w:r w:rsidR="0021075B" w:rsidRPr="002246AE">
        <w:rPr>
          <w:rFonts w:cs="Times New Roman"/>
        </w:rPr>
        <w:t xml:space="preserve"> </w:t>
      </w:r>
      <w:r w:rsidRPr="002246AE">
        <w:rPr>
          <w:rFonts w:cs="Times New Roman"/>
        </w:rPr>
        <w:t xml:space="preserve">that </w:t>
      </w:r>
      <w:r w:rsidR="0021075B" w:rsidRPr="002246AE">
        <w:rPr>
          <w:rFonts w:cs="Times New Roman"/>
        </w:rPr>
        <w:t xml:space="preserve">strikes a balance between targeted regulation </w:t>
      </w:r>
      <w:r w:rsidR="00BD42C6" w:rsidRPr="002246AE">
        <w:rPr>
          <w:rFonts w:cs="Times New Roman"/>
        </w:rPr>
        <w:t xml:space="preserve">for legacy </w:t>
      </w:r>
      <w:r w:rsidRPr="002246AE">
        <w:rPr>
          <w:rFonts w:cs="Times New Roman"/>
        </w:rPr>
        <w:t>TDM (</w:t>
      </w:r>
      <w:r w:rsidR="00BD42C6" w:rsidRPr="002246AE">
        <w:rPr>
          <w:rFonts w:cs="Times New Roman"/>
        </w:rPr>
        <w:t>DS1 and DS3</w:t>
      </w:r>
      <w:r w:rsidRPr="002246AE">
        <w:rPr>
          <w:rFonts w:cs="Times New Roman"/>
        </w:rPr>
        <w:t>)</w:t>
      </w:r>
      <w:r w:rsidR="00BD42C6" w:rsidRPr="002246AE">
        <w:rPr>
          <w:rFonts w:cs="Times New Roman"/>
        </w:rPr>
        <w:t xml:space="preserve"> services</w:t>
      </w:r>
      <w:r w:rsidR="0053467B" w:rsidRPr="002246AE">
        <w:rPr>
          <w:rFonts w:cs="Times New Roman"/>
        </w:rPr>
        <w:t xml:space="preserve">, </w:t>
      </w:r>
      <w:r w:rsidR="0021075B" w:rsidRPr="002246AE">
        <w:rPr>
          <w:rFonts w:cs="Times New Roman"/>
        </w:rPr>
        <w:t>where evidence of market power is strongest</w:t>
      </w:r>
      <w:r w:rsidR="0053467B" w:rsidRPr="002246AE">
        <w:rPr>
          <w:rFonts w:cs="Times New Roman"/>
        </w:rPr>
        <w:t>,</w:t>
      </w:r>
      <w:r w:rsidR="00122001" w:rsidRPr="002246AE">
        <w:rPr>
          <w:rFonts w:cs="Times New Roman"/>
        </w:rPr>
        <w:t xml:space="preserve"> and lighter-touch regulation </w:t>
      </w:r>
      <w:r w:rsidR="00CC341A" w:rsidRPr="002246AE">
        <w:rPr>
          <w:rFonts w:cs="Times New Roman"/>
        </w:rPr>
        <w:t xml:space="preserve">of </w:t>
      </w:r>
      <w:r w:rsidR="009A35C9" w:rsidRPr="002246AE">
        <w:rPr>
          <w:rFonts w:cs="Times New Roman"/>
        </w:rPr>
        <w:t>packet-based</w:t>
      </w:r>
      <w:r w:rsidR="00B27B32" w:rsidRPr="002246AE">
        <w:rPr>
          <w:rFonts w:cs="Times New Roman"/>
        </w:rPr>
        <w:t xml:space="preserve"> </w:t>
      </w:r>
      <w:r w:rsidR="00651A93" w:rsidRPr="002246AE">
        <w:rPr>
          <w:rFonts w:cs="Times New Roman"/>
        </w:rPr>
        <w:t xml:space="preserve">services, </w:t>
      </w:r>
      <w:r w:rsidR="00122001" w:rsidRPr="002246AE">
        <w:rPr>
          <w:rFonts w:cs="Times New Roman"/>
        </w:rPr>
        <w:t xml:space="preserve">where </w:t>
      </w:r>
      <w:r w:rsidRPr="002246AE">
        <w:rPr>
          <w:rFonts w:cs="Times New Roman"/>
        </w:rPr>
        <w:t xml:space="preserve">there has been </w:t>
      </w:r>
      <w:r w:rsidR="00BD42C6" w:rsidRPr="002246AE">
        <w:rPr>
          <w:rFonts w:cs="Times New Roman"/>
        </w:rPr>
        <w:t xml:space="preserve">new </w:t>
      </w:r>
      <w:r w:rsidR="00122001" w:rsidRPr="002246AE">
        <w:rPr>
          <w:rFonts w:cs="Times New Roman"/>
        </w:rPr>
        <w:t xml:space="preserve">entry and </w:t>
      </w:r>
      <w:r w:rsidR="00282676" w:rsidRPr="002246AE">
        <w:rPr>
          <w:rFonts w:cs="Times New Roman"/>
        </w:rPr>
        <w:t>competition may be emerging</w:t>
      </w:r>
      <w:r w:rsidR="00122001" w:rsidRPr="002246AE">
        <w:rPr>
          <w:rFonts w:cs="Times New Roman"/>
        </w:rPr>
        <w:t xml:space="preserve">. </w:t>
      </w:r>
      <w:r w:rsidR="00DD045E" w:rsidRPr="002246AE">
        <w:rPr>
          <w:rFonts w:cs="Times New Roman"/>
        </w:rPr>
        <w:t xml:space="preserve">The Order </w:t>
      </w:r>
      <w:r w:rsidR="00282676" w:rsidRPr="002246AE">
        <w:rPr>
          <w:rFonts w:cs="Times New Roman"/>
        </w:rPr>
        <w:t xml:space="preserve">also </w:t>
      </w:r>
      <w:r w:rsidR="005B3A2C" w:rsidRPr="002246AE">
        <w:rPr>
          <w:rFonts w:cs="Times New Roman"/>
        </w:rPr>
        <w:t>re</w:t>
      </w:r>
      <w:r w:rsidR="003E4933" w:rsidRPr="002246AE">
        <w:rPr>
          <w:rFonts w:cs="Times New Roman"/>
        </w:rPr>
        <w:t>affirms</w:t>
      </w:r>
      <w:r w:rsidR="00BE3262" w:rsidRPr="002246AE">
        <w:rPr>
          <w:rFonts w:cs="Times New Roman"/>
        </w:rPr>
        <w:t xml:space="preserve"> </w:t>
      </w:r>
      <w:r w:rsidR="00DD045E" w:rsidRPr="002246AE">
        <w:rPr>
          <w:rFonts w:cs="Times New Roman"/>
        </w:rPr>
        <w:t xml:space="preserve">that </w:t>
      </w:r>
      <w:r w:rsidR="00CC341A" w:rsidRPr="002246AE">
        <w:rPr>
          <w:rFonts w:cs="Times New Roman"/>
        </w:rPr>
        <w:t xml:space="preserve">TDM </w:t>
      </w:r>
      <w:r w:rsidR="003B6B50" w:rsidRPr="002246AE">
        <w:rPr>
          <w:rFonts w:cs="Times New Roman"/>
        </w:rPr>
        <w:t xml:space="preserve">and Ethernet BDS </w:t>
      </w:r>
      <w:r w:rsidR="00282676" w:rsidRPr="002246AE">
        <w:rPr>
          <w:rFonts w:cs="Times New Roman"/>
        </w:rPr>
        <w:t xml:space="preserve">are </w:t>
      </w:r>
      <w:r w:rsidR="003B6B50" w:rsidRPr="002246AE">
        <w:rPr>
          <w:rFonts w:cs="Times New Roman"/>
        </w:rPr>
        <w:t>both</w:t>
      </w:r>
      <w:r w:rsidR="00282676" w:rsidRPr="002246AE">
        <w:rPr>
          <w:rFonts w:cs="Times New Roman"/>
        </w:rPr>
        <w:t xml:space="preserve"> </w:t>
      </w:r>
      <w:r w:rsidR="003B6B50" w:rsidRPr="002246AE">
        <w:rPr>
          <w:rFonts w:cs="Times New Roman"/>
        </w:rPr>
        <w:t xml:space="preserve">subject to the Commission’s Title II oversight. </w:t>
      </w:r>
    </w:p>
    <w:p w14:paraId="1C0DFE67" w14:textId="4310BAA9" w:rsidR="00337766" w:rsidRPr="002246AE" w:rsidRDefault="003B6B50" w:rsidP="00D372BD">
      <w:pPr>
        <w:spacing w:after="100" w:afterAutospacing="1" w:line="240" w:lineRule="auto"/>
      </w:pPr>
      <w:r w:rsidRPr="002246AE">
        <w:rPr>
          <w:rFonts w:cs="Times New Roman"/>
        </w:rPr>
        <w:t xml:space="preserve">This framework supports </w:t>
      </w:r>
      <w:r w:rsidR="00282676" w:rsidRPr="002246AE">
        <w:rPr>
          <w:rFonts w:cs="Times New Roman"/>
        </w:rPr>
        <w:t xml:space="preserve">the </w:t>
      </w:r>
      <w:r w:rsidRPr="002246AE">
        <w:rPr>
          <w:rFonts w:cs="Times New Roman"/>
        </w:rPr>
        <w:t>rapid deployment of innovative 5G mobile service by ensuring that wireless providers have fair access to BDS</w:t>
      </w:r>
      <w:r w:rsidR="001E28FC" w:rsidRPr="002246AE">
        <w:rPr>
          <w:rFonts w:cs="Times New Roman"/>
        </w:rPr>
        <w:t>, including packet-based BDS,</w:t>
      </w:r>
      <w:r w:rsidR="00282676" w:rsidRPr="002246AE">
        <w:rPr>
          <w:rFonts w:cs="Times New Roman"/>
        </w:rPr>
        <w:t xml:space="preserve"> </w:t>
      </w:r>
      <w:r w:rsidRPr="002246AE">
        <w:rPr>
          <w:rFonts w:cs="Times New Roman"/>
        </w:rPr>
        <w:t>at</w:t>
      </w:r>
      <w:r w:rsidR="00122001" w:rsidRPr="002246AE">
        <w:rPr>
          <w:rFonts w:cs="Times New Roman"/>
        </w:rPr>
        <w:t xml:space="preserve"> just and reasonable </w:t>
      </w:r>
      <w:r w:rsidRPr="002246AE">
        <w:rPr>
          <w:rFonts w:cs="Times New Roman"/>
        </w:rPr>
        <w:t>rates, terms, and conditions</w:t>
      </w:r>
      <w:r w:rsidR="00656BE2" w:rsidRPr="002246AE">
        <w:rPr>
          <w:rFonts w:cs="Times New Roman"/>
        </w:rPr>
        <w:t xml:space="preserve">. These requirements are enforced by strengthening our complaint process to expedite resolution of problems if they arise. </w:t>
      </w:r>
      <w:r w:rsidR="00651A93" w:rsidRPr="002246AE">
        <w:rPr>
          <w:rFonts w:cs="Times New Roman"/>
        </w:rPr>
        <w:t>The Chairman is also proposing a Further Notice on packet-based BDS</w:t>
      </w:r>
      <w:r w:rsidR="00B150CD" w:rsidRPr="002246AE">
        <w:rPr>
          <w:rFonts w:cs="Times New Roman"/>
        </w:rPr>
        <w:t>, which will provide the Commission with a vehicle to take further action</w:t>
      </w:r>
      <w:r w:rsidR="008F033C" w:rsidRPr="002246AE">
        <w:rPr>
          <w:rFonts w:cs="Times New Roman"/>
        </w:rPr>
        <w:t xml:space="preserve"> on Ethernet pricing</w:t>
      </w:r>
      <w:r w:rsidR="00B150CD" w:rsidRPr="002246AE">
        <w:rPr>
          <w:rFonts w:cs="Times New Roman"/>
        </w:rPr>
        <w:t xml:space="preserve"> if that proves necessary. </w:t>
      </w:r>
    </w:p>
    <w:p w14:paraId="5FE56D50" w14:textId="2061E9C1" w:rsidR="00DD045E" w:rsidRPr="002246AE" w:rsidRDefault="00A4468E" w:rsidP="00D372BD">
      <w:pPr>
        <w:pStyle w:val="ParaNum"/>
        <w:numPr>
          <w:ilvl w:val="0"/>
          <w:numId w:val="0"/>
        </w:numPr>
        <w:spacing w:after="100" w:afterAutospacing="1"/>
        <w:rPr>
          <w:rFonts w:asciiTheme="minorHAnsi" w:hAnsiTheme="minorHAnsi"/>
          <w:b/>
          <w:szCs w:val="22"/>
          <w:u w:val="single"/>
        </w:rPr>
      </w:pPr>
      <w:r w:rsidRPr="00B67984">
        <w:rPr>
          <w:rFonts w:asciiTheme="minorHAnsi" w:hAnsiTheme="minorHAnsi"/>
          <w:b/>
          <w:szCs w:val="22"/>
        </w:rPr>
        <w:t xml:space="preserve">Overdue </w:t>
      </w:r>
      <w:r w:rsidR="00E660C0" w:rsidRPr="00B67984">
        <w:rPr>
          <w:rFonts w:asciiTheme="minorHAnsi" w:hAnsiTheme="minorHAnsi"/>
          <w:b/>
          <w:szCs w:val="22"/>
        </w:rPr>
        <w:t xml:space="preserve">Reforms to Address the Lack of Competition in </w:t>
      </w:r>
      <w:r w:rsidR="0030656D" w:rsidRPr="00B67984">
        <w:rPr>
          <w:rFonts w:asciiTheme="minorHAnsi" w:hAnsiTheme="minorHAnsi"/>
          <w:b/>
          <w:szCs w:val="22"/>
        </w:rPr>
        <w:t>L</w:t>
      </w:r>
      <w:r w:rsidR="00FC1D01" w:rsidRPr="00B67984">
        <w:rPr>
          <w:rFonts w:asciiTheme="minorHAnsi" w:hAnsiTheme="minorHAnsi"/>
          <w:b/>
          <w:szCs w:val="22"/>
        </w:rPr>
        <w:t xml:space="preserve">egacy </w:t>
      </w:r>
      <w:r w:rsidR="00F72AE0" w:rsidRPr="00B67984">
        <w:rPr>
          <w:rFonts w:asciiTheme="minorHAnsi" w:hAnsiTheme="minorHAnsi"/>
          <w:b/>
          <w:szCs w:val="22"/>
        </w:rPr>
        <w:t xml:space="preserve">(TDM) </w:t>
      </w:r>
      <w:r w:rsidR="00B27B32" w:rsidRPr="00B67984">
        <w:rPr>
          <w:rFonts w:asciiTheme="minorHAnsi" w:hAnsiTheme="minorHAnsi"/>
          <w:b/>
          <w:szCs w:val="22"/>
        </w:rPr>
        <w:t>Services</w:t>
      </w:r>
      <w:r w:rsidR="00DD045E" w:rsidRPr="002246AE">
        <w:rPr>
          <w:rFonts w:asciiTheme="minorHAnsi" w:hAnsiTheme="minorHAnsi"/>
          <w:b/>
          <w:szCs w:val="22"/>
          <w:u w:val="single"/>
        </w:rPr>
        <w:br/>
      </w:r>
      <w:r w:rsidR="0084412C" w:rsidRPr="002246AE">
        <w:rPr>
          <w:rFonts w:asciiTheme="minorHAnsi" w:hAnsiTheme="minorHAnsi"/>
          <w:szCs w:val="22"/>
        </w:rPr>
        <w:t xml:space="preserve">The Order would provide </w:t>
      </w:r>
      <w:r w:rsidR="003A65E1" w:rsidRPr="002246AE">
        <w:rPr>
          <w:rFonts w:asciiTheme="minorHAnsi" w:hAnsiTheme="minorHAnsi"/>
          <w:szCs w:val="22"/>
        </w:rPr>
        <w:t xml:space="preserve">a </w:t>
      </w:r>
      <w:r w:rsidR="0084412C" w:rsidRPr="002246AE">
        <w:rPr>
          <w:rFonts w:asciiTheme="minorHAnsi" w:hAnsiTheme="minorHAnsi"/>
          <w:szCs w:val="22"/>
        </w:rPr>
        <w:t xml:space="preserve">long-overdue </w:t>
      </w:r>
      <w:r w:rsidR="008F4F2F" w:rsidRPr="002246AE">
        <w:rPr>
          <w:rFonts w:asciiTheme="minorHAnsi" w:hAnsiTheme="minorHAnsi"/>
          <w:szCs w:val="22"/>
        </w:rPr>
        <w:t>u</w:t>
      </w:r>
      <w:r w:rsidR="00A2763C" w:rsidRPr="002246AE">
        <w:rPr>
          <w:rFonts w:asciiTheme="minorHAnsi" w:hAnsiTheme="minorHAnsi"/>
          <w:szCs w:val="22"/>
        </w:rPr>
        <w:t xml:space="preserve">pdate of legacy TDM </w:t>
      </w:r>
      <w:r w:rsidR="003A65E1" w:rsidRPr="002246AE">
        <w:rPr>
          <w:rFonts w:asciiTheme="minorHAnsi" w:hAnsiTheme="minorHAnsi"/>
          <w:szCs w:val="22"/>
        </w:rPr>
        <w:t xml:space="preserve">rules governing </w:t>
      </w:r>
      <w:r w:rsidR="00DD045E" w:rsidRPr="002246AE">
        <w:rPr>
          <w:rFonts w:asciiTheme="minorHAnsi" w:hAnsiTheme="minorHAnsi"/>
        </w:rPr>
        <w:t>incumbent telephone companies</w:t>
      </w:r>
      <w:r w:rsidR="00DD045E" w:rsidRPr="002246AE">
        <w:rPr>
          <w:rFonts w:asciiTheme="minorHAnsi" w:hAnsiTheme="minorHAnsi"/>
          <w:szCs w:val="22"/>
        </w:rPr>
        <w:t xml:space="preserve"> (</w:t>
      </w:r>
      <w:r w:rsidR="004C6079" w:rsidRPr="002246AE">
        <w:rPr>
          <w:rFonts w:asciiTheme="minorHAnsi" w:hAnsiTheme="minorHAnsi"/>
          <w:szCs w:val="22"/>
        </w:rPr>
        <w:t>ILECs</w:t>
      </w:r>
      <w:r w:rsidR="00DD045E" w:rsidRPr="002246AE">
        <w:rPr>
          <w:rFonts w:asciiTheme="minorHAnsi" w:hAnsiTheme="minorHAnsi"/>
          <w:szCs w:val="22"/>
        </w:rPr>
        <w:t>)</w:t>
      </w:r>
      <w:r w:rsidR="003B6B50" w:rsidRPr="002246AE">
        <w:rPr>
          <w:rFonts w:asciiTheme="minorHAnsi" w:hAnsiTheme="minorHAnsi"/>
          <w:szCs w:val="22"/>
        </w:rPr>
        <w:t xml:space="preserve"> designed to address the artificially high prices being charged to small </w:t>
      </w:r>
      <w:r w:rsidR="00DD045E" w:rsidRPr="002246AE">
        <w:rPr>
          <w:rFonts w:asciiTheme="minorHAnsi" w:hAnsiTheme="minorHAnsi"/>
          <w:szCs w:val="22"/>
        </w:rPr>
        <w:t xml:space="preserve">businesses, schools, libraries, and, </w:t>
      </w:r>
      <w:r w:rsidR="003B6B50" w:rsidRPr="002246AE">
        <w:rPr>
          <w:rFonts w:asciiTheme="minorHAnsi" w:hAnsiTheme="minorHAnsi"/>
          <w:szCs w:val="22"/>
        </w:rPr>
        <w:t>ultimately</w:t>
      </w:r>
      <w:r w:rsidR="00DD045E" w:rsidRPr="002246AE">
        <w:rPr>
          <w:rFonts w:asciiTheme="minorHAnsi" w:hAnsiTheme="minorHAnsi"/>
          <w:szCs w:val="22"/>
        </w:rPr>
        <w:t>,</w:t>
      </w:r>
      <w:r w:rsidR="003B6B50" w:rsidRPr="002246AE">
        <w:rPr>
          <w:rFonts w:asciiTheme="minorHAnsi" w:hAnsiTheme="minorHAnsi"/>
          <w:szCs w:val="22"/>
        </w:rPr>
        <w:t xml:space="preserve"> consumers</w:t>
      </w:r>
      <w:r w:rsidR="00A2763C" w:rsidRPr="002246AE">
        <w:rPr>
          <w:rFonts w:asciiTheme="minorHAnsi" w:hAnsiTheme="minorHAnsi"/>
          <w:szCs w:val="22"/>
        </w:rPr>
        <w:t xml:space="preserve">. </w:t>
      </w:r>
    </w:p>
    <w:p w14:paraId="7F9F833B" w14:textId="435F9708" w:rsidR="00DD045E" w:rsidRPr="002246AE" w:rsidRDefault="00DD045E" w:rsidP="00D372BD">
      <w:pPr>
        <w:pStyle w:val="ParaNum"/>
        <w:numPr>
          <w:ilvl w:val="0"/>
          <w:numId w:val="0"/>
        </w:numPr>
        <w:spacing w:after="100" w:afterAutospacing="1"/>
        <w:rPr>
          <w:rFonts w:asciiTheme="minorHAnsi" w:hAnsiTheme="minorHAnsi"/>
          <w:szCs w:val="22"/>
        </w:rPr>
      </w:pPr>
      <w:r w:rsidRPr="002246AE">
        <w:rPr>
          <w:rFonts w:asciiTheme="minorHAnsi" w:hAnsiTheme="minorHAnsi"/>
          <w:b/>
          <w:i/>
          <w:szCs w:val="22"/>
        </w:rPr>
        <w:t>Price Caps: Adjusting for Efficiency after More Than A Decade</w:t>
      </w:r>
      <w:r w:rsidRPr="002246AE">
        <w:rPr>
          <w:rFonts w:asciiTheme="minorHAnsi" w:hAnsiTheme="minorHAnsi"/>
          <w:b/>
          <w:szCs w:val="22"/>
        </w:rPr>
        <w:br/>
      </w:r>
      <w:r w:rsidR="00A2763C" w:rsidRPr="002246AE">
        <w:rPr>
          <w:rFonts w:asciiTheme="minorHAnsi" w:hAnsiTheme="minorHAnsi"/>
          <w:szCs w:val="22"/>
        </w:rPr>
        <w:t xml:space="preserve">These </w:t>
      </w:r>
      <w:r w:rsidR="003A65E1" w:rsidRPr="002246AE">
        <w:rPr>
          <w:rFonts w:asciiTheme="minorHAnsi" w:hAnsiTheme="minorHAnsi"/>
          <w:szCs w:val="22"/>
        </w:rPr>
        <w:t xml:space="preserve">TDM </w:t>
      </w:r>
      <w:r w:rsidR="00A2763C" w:rsidRPr="002246AE">
        <w:rPr>
          <w:rFonts w:asciiTheme="minorHAnsi" w:hAnsiTheme="minorHAnsi"/>
          <w:szCs w:val="22"/>
        </w:rPr>
        <w:t xml:space="preserve">services will continue to be governed by what is known as “price cap” regulation. </w:t>
      </w:r>
      <w:r w:rsidR="009F7F95" w:rsidRPr="002246AE">
        <w:rPr>
          <w:rFonts w:asciiTheme="minorHAnsi" w:hAnsiTheme="minorHAnsi"/>
          <w:szCs w:val="22"/>
        </w:rPr>
        <w:t>Price caps are designed to replicate the effects of a competitive market by setting a maximum price for services</w:t>
      </w:r>
      <w:r w:rsidR="00A2763C" w:rsidRPr="002246AE">
        <w:rPr>
          <w:rFonts w:asciiTheme="minorHAnsi" w:hAnsiTheme="minorHAnsi"/>
          <w:szCs w:val="22"/>
        </w:rPr>
        <w:t xml:space="preserve">, </w:t>
      </w:r>
      <w:r w:rsidR="009F7F95" w:rsidRPr="002246AE">
        <w:rPr>
          <w:rFonts w:asciiTheme="minorHAnsi" w:hAnsiTheme="minorHAnsi"/>
          <w:szCs w:val="22"/>
        </w:rPr>
        <w:t>which is continually adjusted downward to account fo</w:t>
      </w:r>
      <w:r w:rsidR="00AE331B" w:rsidRPr="002246AE">
        <w:rPr>
          <w:rFonts w:asciiTheme="minorHAnsi" w:hAnsiTheme="minorHAnsi"/>
          <w:szCs w:val="22"/>
        </w:rPr>
        <w:t>r efficiency gains, offset by inflation.</w:t>
      </w:r>
      <w:r w:rsidR="003A65E1" w:rsidRPr="002246AE">
        <w:rPr>
          <w:rFonts w:asciiTheme="minorHAnsi" w:hAnsiTheme="minorHAnsi"/>
          <w:szCs w:val="22"/>
        </w:rPr>
        <w:t xml:space="preserve"> The</w:t>
      </w:r>
      <w:r w:rsidR="00524D5C" w:rsidRPr="002246AE">
        <w:rPr>
          <w:rFonts w:asciiTheme="minorHAnsi" w:hAnsiTheme="minorHAnsi"/>
          <w:szCs w:val="22"/>
        </w:rPr>
        <w:t xml:space="preserve"> rate of this downward </w:t>
      </w:r>
      <w:r w:rsidR="003A65E1" w:rsidRPr="002246AE">
        <w:rPr>
          <w:rFonts w:asciiTheme="minorHAnsi" w:hAnsiTheme="minorHAnsi"/>
          <w:szCs w:val="22"/>
        </w:rPr>
        <w:t xml:space="preserve">productivity </w:t>
      </w:r>
      <w:r w:rsidR="00524D5C" w:rsidRPr="002246AE">
        <w:rPr>
          <w:rFonts w:asciiTheme="minorHAnsi" w:hAnsiTheme="minorHAnsi"/>
          <w:szCs w:val="22"/>
        </w:rPr>
        <w:t xml:space="preserve">price adjustment is called the “X factor.” </w:t>
      </w:r>
    </w:p>
    <w:p w14:paraId="257A613A" w14:textId="77777777" w:rsidR="009F7F95" w:rsidRPr="002246AE" w:rsidRDefault="00DD045E" w:rsidP="00D372BD">
      <w:pPr>
        <w:pStyle w:val="ParaNum"/>
        <w:numPr>
          <w:ilvl w:val="0"/>
          <w:numId w:val="0"/>
        </w:numPr>
        <w:spacing w:after="100" w:afterAutospacing="1"/>
        <w:rPr>
          <w:rFonts w:asciiTheme="minorHAnsi" w:hAnsiTheme="minorHAnsi"/>
          <w:b/>
          <w:szCs w:val="22"/>
        </w:rPr>
      </w:pPr>
      <w:r w:rsidRPr="002246AE">
        <w:rPr>
          <w:rFonts w:asciiTheme="minorHAnsi" w:hAnsiTheme="minorHAnsi"/>
          <w:szCs w:val="22"/>
        </w:rPr>
        <w:t>D</w:t>
      </w:r>
      <w:r w:rsidR="009F7F95" w:rsidRPr="002246AE">
        <w:rPr>
          <w:rFonts w:asciiTheme="minorHAnsi" w:hAnsiTheme="minorHAnsi"/>
          <w:szCs w:val="22"/>
        </w:rPr>
        <w:t xml:space="preserve">ue to regulatory inaction, the current </w:t>
      </w:r>
      <w:r w:rsidR="003A65E1" w:rsidRPr="002246AE">
        <w:rPr>
          <w:rFonts w:asciiTheme="minorHAnsi" w:hAnsiTheme="minorHAnsi"/>
          <w:szCs w:val="22"/>
        </w:rPr>
        <w:t xml:space="preserve">price </w:t>
      </w:r>
      <w:r w:rsidR="009F7F95" w:rsidRPr="002246AE">
        <w:rPr>
          <w:rFonts w:asciiTheme="minorHAnsi" w:hAnsiTheme="minorHAnsi"/>
          <w:szCs w:val="22"/>
        </w:rPr>
        <w:t xml:space="preserve">caps have not been adjusted since </w:t>
      </w:r>
      <w:r w:rsidR="005F2773" w:rsidRPr="002246AE">
        <w:rPr>
          <w:rFonts w:asciiTheme="minorHAnsi" w:hAnsiTheme="minorHAnsi"/>
          <w:szCs w:val="22"/>
        </w:rPr>
        <w:t>2004.</w:t>
      </w:r>
      <w:r w:rsidR="00AE331B" w:rsidRPr="002246AE">
        <w:rPr>
          <w:rFonts w:asciiTheme="minorHAnsi" w:hAnsiTheme="minorHAnsi"/>
          <w:i/>
          <w:szCs w:val="22"/>
        </w:rPr>
        <w:t xml:space="preserve"> </w:t>
      </w:r>
      <w:r w:rsidR="00AE331B" w:rsidRPr="002246AE">
        <w:rPr>
          <w:rFonts w:asciiTheme="minorHAnsi" w:hAnsiTheme="minorHAnsi"/>
          <w:szCs w:val="22"/>
        </w:rPr>
        <w:t>The Order acts to restore fairn</w:t>
      </w:r>
      <w:r w:rsidRPr="002246AE">
        <w:rPr>
          <w:rFonts w:asciiTheme="minorHAnsi" w:hAnsiTheme="minorHAnsi"/>
          <w:szCs w:val="22"/>
        </w:rPr>
        <w:t xml:space="preserve">ess and </w:t>
      </w:r>
      <w:r w:rsidR="005C3C4A" w:rsidRPr="002246AE">
        <w:rPr>
          <w:rFonts w:asciiTheme="minorHAnsi" w:hAnsiTheme="minorHAnsi"/>
          <w:szCs w:val="22"/>
        </w:rPr>
        <w:t>address the lack of competition</w:t>
      </w:r>
      <w:r w:rsidRPr="002246AE">
        <w:rPr>
          <w:rFonts w:asciiTheme="minorHAnsi" w:hAnsiTheme="minorHAnsi"/>
          <w:szCs w:val="22"/>
        </w:rPr>
        <w:t xml:space="preserve"> through four specific </w:t>
      </w:r>
      <w:r w:rsidR="005C3C4A" w:rsidRPr="002246AE">
        <w:rPr>
          <w:rFonts w:asciiTheme="minorHAnsi" w:hAnsiTheme="minorHAnsi"/>
          <w:szCs w:val="22"/>
        </w:rPr>
        <w:t>reforms:</w:t>
      </w:r>
      <w:r w:rsidRPr="002246AE">
        <w:rPr>
          <w:rFonts w:asciiTheme="minorHAnsi" w:hAnsiTheme="minorHAnsi"/>
          <w:szCs w:val="22"/>
        </w:rPr>
        <w:t xml:space="preserve"> </w:t>
      </w:r>
    </w:p>
    <w:p w14:paraId="62F0AC09" w14:textId="098689B1" w:rsidR="004A4906" w:rsidRPr="002246AE" w:rsidRDefault="00DD045E" w:rsidP="00D372BD">
      <w:pPr>
        <w:pStyle w:val="ParaNum"/>
        <w:numPr>
          <w:ilvl w:val="1"/>
          <w:numId w:val="15"/>
        </w:numPr>
        <w:spacing w:after="100" w:afterAutospacing="1"/>
        <w:rPr>
          <w:rFonts w:asciiTheme="minorHAnsi" w:hAnsiTheme="minorHAnsi"/>
          <w:b/>
          <w:szCs w:val="22"/>
        </w:rPr>
      </w:pPr>
      <w:r w:rsidRPr="002246AE">
        <w:rPr>
          <w:rFonts w:asciiTheme="minorHAnsi" w:hAnsiTheme="minorHAnsi"/>
          <w:szCs w:val="22"/>
        </w:rPr>
        <w:t>Updat</w:t>
      </w:r>
      <w:r w:rsidR="00FA159C" w:rsidRPr="002246AE">
        <w:rPr>
          <w:rFonts w:asciiTheme="minorHAnsi" w:hAnsiTheme="minorHAnsi"/>
          <w:szCs w:val="22"/>
        </w:rPr>
        <w:t>ing</w:t>
      </w:r>
      <w:r w:rsidR="009F7F95" w:rsidRPr="002246AE">
        <w:rPr>
          <w:rFonts w:asciiTheme="minorHAnsi" w:hAnsiTheme="minorHAnsi"/>
          <w:szCs w:val="22"/>
        </w:rPr>
        <w:t xml:space="preserve"> price caps to account for </w:t>
      </w:r>
      <w:r w:rsidR="005F2773" w:rsidRPr="002246AE">
        <w:rPr>
          <w:rFonts w:asciiTheme="minorHAnsi" w:hAnsiTheme="minorHAnsi"/>
          <w:szCs w:val="22"/>
        </w:rPr>
        <w:t xml:space="preserve">over a decade of </w:t>
      </w:r>
      <w:r w:rsidR="009F7F95" w:rsidRPr="002246AE">
        <w:rPr>
          <w:rFonts w:asciiTheme="minorHAnsi" w:hAnsiTheme="minorHAnsi"/>
          <w:szCs w:val="22"/>
        </w:rPr>
        <w:t xml:space="preserve">efficiency gains through a </w:t>
      </w:r>
      <w:r w:rsidR="00A2763C" w:rsidRPr="002246AE">
        <w:rPr>
          <w:rFonts w:asciiTheme="minorHAnsi" w:hAnsiTheme="minorHAnsi"/>
          <w:szCs w:val="22"/>
        </w:rPr>
        <w:t xml:space="preserve">one-time downward adjustment of </w:t>
      </w:r>
      <w:r w:rsidR="00E660C0" w:rsidRPr="002246AE">
        <w:rPr>
          <w:rFonts w:asciiTheme="minorHAnsi" w:hAnsiTheme="minorHAnsi"/>
          <w:szCs w:val="22"/>
        </w:rPr>
        <w:t>11</w:t>
      </w:r>
      <w:r w:rsidR="00A2763C" w:rsidRPr="002246AE">
        <w:rPr>
          <w:rFonts w:asciiTheme="minorHAnsi" w:hAnsiTheme="minorHAnsi"/>
          <w:szCs w:val="22"/>
        </w:rPr>
        <w:t>%</w:t>
      </w:r>
      <w:r w:rsidR="00A57A41" w:rsidRPr="002246AE">
        <w:rPr>
          <w:rFonts w:asciiTheme="minorHAnsi" w:hAnsiTheme="minorHAnsi"/>
          <w:szCs w:val="22"/>
        </w:rPr>
        <w:t xml:space="preserve">, phased in over </w:t>
      </w:r>
      <w:r w:rsidR="00E660C0" w:rsidRPr="002246AE">
        <w:rPr>
          <w:rFonts w:asciiTheme="minorHAnsi" w:hAnsiTheme="minorHAnsi"/>
          <w:szCs w:val="22"/>
        </w:rPr>
        <w:t>3</w:t>
      </w:r>
      <w:r w:rsidR="0091570D" w:rsidRPr="002246AE">
        <w:rPr>
          <w:rFonts w:asciiTheme="minorHAnsi" w:hAnsiTheme="minorHAnsi"/>
          <w:szCs w:val="22"/>
        </w:rPr>
        <w:t xml:space="preserve"> </w:t>
      </w:r>
      <w:r w:rsidR="00A57A41" w:rsidRPr="002246AE">
        <w:rPr>
          <w:rFonts w:asciiTheme="minorHAnsi" w:hAnsiTheme="minorHAnsi"/>
          <w:szCs w:val="22"/>
        </w:rPr>
        <w:t>years</w:t>
      </w:r>
      <w:r w:rsidR="00E660C0" w:rsidRPr="002246AE">
        <w:rPr>
          <w:rFonts w:asciiTheme="minorHAnsi" w:hAnsiTheme="minorHAnsi"/>
          <w:szCs w:val="22"/>
        </w:rPr>
        <w:t>, beginning in July 2017</w:t>
      </w:r>
      <w:r w:rsidR="005D2A81" w:rsidRPr="002246AE">
        <w:rPr>
          <w:rFonts w:asciiTheme="minorHAnsi" w:hAnsiTheme="minorHAnsi"/>
          <w:szCs w:val="22"/>
        </w:rPr>
        <w:t xml:space="preserve"> (specifically, 3% in year one, 4% in year two, and 4% in year three)</w:t>
      </w:r>
    </w:p>
    <w:p w14:paraId="4604B76D" w14:textId="7A4A2551" w:rsidR="00A2763C" w:rsidRPr="002246AE" w:rsidRDefault="009233C7" w:rsidP="00D372BD">
      <w:pPr>
        <w:pStyle w:val="ParaNum"/>
        <w:numPr>
          <w:ilvl w:val="1"/>
          <w:numId w:val="15"/>
        </w:numPr>
        <w:spacing w:after="100" w:afterAutospacing="1"/>
        <w:rPr>
          <w:rFonts w:asciiTheme="minorHAnsi" w:hAnsiTheme="minorHAnsi"/>
          <w:b/>
          <w:szCs w:val="22"/>
        </w:rPr>
      </w:pPr>
      <w:r w:rsidRPr="002246AE">
        <w:rPr>
          <w:rFonts w:asciiTheme="minorHAnsi" w:hAnsiTheme="minorHAnsi"/>
          <w:szCs w:val="22"/>
        </w:rPr>
        <w:t>R</w:t>
      </w:r>
      <w:r w:rsidR="00DD045E" w:rsidRPr="002246AE">
        <w:rPr>
          <w:rFonts w:asciiTheme="minorHAnsi" w:hAnsiTheme="minorHAnsi"/>
          <w:szCs w:val="22"/>
        </w:rPr>
        <w:t>educ</w:t>
      </w:r>
      <w:r w:rsidR="00FA159C" w:rsidRPr="002246AE">
        <w:rPr>
          <w:rFonts w:asciiTheme="minorHAnsi" w:hAnsiTheme="minorHAnsi"/>
          <w:szCs w:val="22"/>
        </w:rPr>
        <w:t>ing</w:t>
      </w:r>
      <w:r w:rsidR="004C6079" w:rsidRPr="002246AE">
        <w:rPr>
          <w:rFonts w:asciiTheme="minorHAnsi" w:hAnsiTheme="minorHAnsi"/>
          <w:szCs w:val="22"/>
        </w:rPr>
        <w:t xml:space="preserve"> price caps</w:t>
      </w:r>
      <w:r w:rsidR="00DD045E" w:rsidRPr="002246AE">
        <w:rPr>
          <w:rFonts w:asciiTheme="minorHAnsi" w:hAnsiTheme="minorHAnsi"/>
          <w:szCs w:val="22"/>
        </w:rPr>
        <w:t xml:space="preserve"> going forward</w:t>
      </w:r>
      <w:r w:rsidR="004C6079" w:rsidRPr="002246AE">
        <w:rPr>
          <w:rFonts w:asciiTheme="minorHAnsi" w:hAnsiTheme="minorHAnsi"/>
          <w:szCs w:val="22"/>
        </w:rPr>
        <w:t xml:space="preserve"> by an annual </w:t>
      </w:r>
      <w:r w:rsidR="00524D5C" w:rsidRPr="002246AE">
        <w:rPr>
          <w:rFonts w:asciiTheme="minorHAnsi" w:hAnsiTheme="minorHAnsi"/>
          <w:szCs w:val="22"/>
        </w:rPr>
        <w:t xml:space="preserve">X factor </w:t>
      </w:r>
      <w:r w:rsidR="00A57A41" w:rsidRPr="002246AE">
        <w:rPr>
          <w:rFonts w:asciiTheme="minorHAnsi" w:hAnsiTheme="minorHAnsi"/>
          <w:szCs w:val="22"/>
        </w:rPr>
        <w:t xml:space="preserve">reduction </w:t>
      </w:r>
      <w:r w:rsidR="00AE331B" w:rsidRPr="002246AE">
        <w:rPr>
          <w:rFonts w:asciiTheme="minorHAnsi" w:hAnsiTheme="minorHAnsi"/>
          <w:szCs w:val="22"/>
        </w:rPr>
        <w:t xml:space="preserve">of </w:t>
      </w:r>
      <w:r w:rsidR="00A57A41" w:rsidRPr="002246AE">
        <w:rPr>
          <w:rFonts w:asciiTheme="minorHAnsi" w:hAnsiTheme="minorHAnsi"/>
          <w:szCs w:val="22"/>
        </w:rPr>
        <w:t>3</w:t>
      </w:r>
      <w:r w:rsidR="00524D5C" w:rsidRPr="002246AE">
        <w:rPr>
          <w:rFonts w:asciiTheme="minorHAnsi" w:hAnsiTheme="minorHAnsi"/>
          <w:szCs w:val="22"/>
        </w:rPr>
        <w:t>%</w:t>
      </w:r>
      <w:r w:rsidR="00A57A41" w:rsidRPr="002246AE">
        <w:rPr>
          <w:rFonts w:asciiTheme="minorHAnsi" w:hAnsiTheme="minorHAnsi"/>
          <w:szCs w:val="22"/>
        </w:rPr>
        <w:t xml:space="preserve">, </w:t>
      </w:r>
      <w:r w:rsidR="00656BE2" w:rsidRPr="002246AE">
        <w:rPr>
          <w:rFonts w:asciiTheme="minorHAnsi" w:hAnsiTheme="minorHAnsi"/>
          <w:szCs w:val="22"/>
        </w:rPr>
        <w:t>offset by</w:t>
      </w:r>
      <w:r w:rsidRPr="002246AE">
        <w:rPr>
          <w:rFonts w:asciiTheme="minorHAnsi" w:hAnsiTheme="minorHAnsi"/>
          <w:szCs w:val="22"/>
        </w:rPr>
        <w:t xml:space="preserve"> inflation, b</w:t>
      </w:r>
      <w:r w:rsidR="00A57A41" w:rsidRPr="002246AE">
        <w:rPr>
          <w:rFonts w:asciiTheme="minorHAnsi" w:hAnsiTheme="minorHAnsi"/>
          <w:szCs w:val="22"/>
        </w:rPr>
        <w:t>eginning in July 2017</w:t>
      </w:r>
      <w:r w:rsidRPr="002246AE">
        <w:rPr>
          <w:rFonts w:asciiTheme="minorHAnsi" w:hAnsiTheme="minorHAnsi"/>
          <w:szCs w:val="22"/>
        </w:rPr>
        <w:t>, in addition to the one-time adjustment above</w:t>
      </w:r>
    </w:p>
    <w:p w14:paraId="3DFDA87D" w14:textId="5146DC13" w:rsidR="00B72511" w:rsidRPr="002246AE" w:rsidRDefault="0091570D" w:rsidP="00D372BD">
      <w:pPr>
        <w:pStyle w:val="ParaNum"/>
        <w:numPr>
          <w:ilvl w:val="1"/>
          <w:numId w:val="15"/>
        </w:numPr>
        <w:spacing w:after="100" w:afterAutospacing="1"/>
        <w:rPr>
          <w:rFonts w:asciiTheme="minorHAnsi" w:hAnsiTheme="minorHAnsi"/>
          <w:b/>
          <w:szCs w:val="22"/>
        </w:rPr>
      </w:pPr>
      <w:r w:rsidRPr="002246AE">
        <w:rPr>
          <w:rFonts w:asciiTheme="minorHAnsi" w:hAnsiTheme="minorHAnsi"/>
          <w:szCs w:val="22"/>
        </w:rPr>
        <w:t>Apply</w:t>
      </w:r>
      <w:r w:rsidR="00FA159C" w:rsidRPr="002246AE">
        <w:rPr>
          <w:rFonts w:asciiTheme="minorHAnsi" w:hAnsiTheme="minorHAnsi"/>
          <w:szCs w:val="22"/>
        </w:rPr>
        <w:t>ing</w:t>
      </w:r>
      <w:r w:rsidRPr="002246AE">
        <w:rPr>
          <w:rFonts w:asciiTheme="minorHAnsi" w:hAnsiTheme="minorHAnsi"/>
          <w:szCs w:val="22"/>
        </w:rPr>
        <w:t xml:space="preserve"> </w:t>
      </w:r>
      <w:r w:rsidR="003D395C" w:rsidRPr="002246AE">
        <w:rPr>
          <w:rFonts w:asciiTheme="minorHAnsi" w:hAnsiTheme="minorHAnsi"/>
          <w:szCs w:val="22"/>
        </w:rPr>
        <w:t>“</w:t>
      </w:r>
      <w:r w:rsidR="00B72511" w:rsidRPr="002246AE">
        <w:rPr>
          <w:rFonts w:asciiTheme="minorHAnsi" w:hAnsiTheme="minorHAnsi"/>
          <w:szCs w:val="22"/>
        </w:rPr>
        <w:t xml:space="preserve">Phase I” </w:t>
      </w:r>
      <w:r w:rsidRPr="002246AE">
        <w:rPr>
          <w:rFonts w:asciiTheme="minorHAnsi" w:hAnsiTheme="minorHAnsi"/>
          <w:szCs w:val="22"/>
        </w:rPr>
        <w:t xml:space="preserve">pricing </w:t>
      </w:r>
      <w:r w:rsidR="00B72511" w:rsidRPr="002246AE">
        <w:rPr>
          <w:rFonts w:asciiTheme="minorHAnsi" w:hAnsiTheme="minorHAnsi"/>
          <w:szCs w:val="22"/>
        </w:rPr>
        <w:t>rules</w:t>
      </w:r>
      <w:r w:rsidRPr="002246AE">
        <w:rPr>
          <w:rFonts w:asciiTheme="minorHAnsi" w:hAnsiTheme="minorHAnsi"/>
          <w:szCs w:val="22"/>
        </w:rPr>
        <w:t xml:space="preserve"> to all price cap LECs</w:t>
      </w:r>
      <w:r w:rsidR="00B72511" w:rsidRPr="002246AE">
        <w:rPr>
          <w:rFonts w:asciiTheme="minorHAnsi" w:hAnsiTheme="minorHAnsi"/>
          <w:szCs w:val="22"/>
        </w:rPr>
        <w:t xml:space="preserve">, which allow </w:t>
      </w:r>
      <w:r w:rsidR="008F4F2F" w:rsidRPr="002246AE">
        <w:rPr>
          <w:rFonts w:asciiTheme="minorHAnsi" w:hAnsiTheme="minorHAnsi"/>
          <w:szCs w:val="22"/>
        </w:rPr>
        <w:t>contract</w:t>
      </w:r>
      <w:r w:rsidR="00B72511" w:rsidRPr="002246AE">
        <w:rPr>
          <w:rFonts w:asciiTheme="minorHAnsi" w:hAnsiTheme="minorHAnsi"/>
          <w:szCs w:val="22"/>
        </w:rPr>
        <w:t xml:space="preserve"> negotiations for </w:t>
      </w:r>
      <w:r w:rsidR="00B72511" w:rsidRPr="002246AE">
        <w:rPr>
          <w:rFonts w:asciiTheme="minorHAnsi" w:hAnsiTheme="minorHAnsi"/>
          <w:szCs w:val="22"/>
        </w:rPr>
        <w:lastRenderedPageBreak/>
        <w:t>service</w:t>
      </w:r>
      <w:r w:rsidR="0084412C" w:rsidRPr="002246AE">
        <w:rPr>
          <w:rFonts w:asciiTheme="minorHAnsi" w:hAnsiTheme="minorHAnsi"/>
          <w:szCs w:val="22"/>
        </w:rPr>
        <w:t xml:space="preserve"> </w:t>
      </w:r>
      <w:r w:rsidR="00656BE2" w:rsidRPr="002246AE">
        <w:rPr>
          <w:rFonts w:asciiTheme="minorHAnsi" w:hAnsiTheme="minorHAnsi"/>
          <w:szCs w:val="22"/>
        </w:rPr>
        <w:t xml:space="preserve">at rates that may, for example, be below </w:t>
      </w:r>
      <w:r w:rsidR="00B72511" w:rsidRPr="002246AE">
        <w:rPr>
          <w:rFonts w:asciiTheme="minorHAnsi" w:hAnsiTheme="minorHAnsi"/>
          <w:szCs w:val="22"/>
        </w:rPr>
        <w:t>the price cap</w:t>
      </w:r>
      <w:r w:rsidR="003D395C" w:rsidRPr="002246AE">
        <w:rPr>
          <w:rFonts w:asciiTheme="minorHAnsi" w:hAnsiTheme="minorHAnsi"/>
          <w:szCs w:val="22"/>
        </w:rPr>
        <w:t xml:space="preserve"> filed in tariffs at the FCC</w:t>
      </w:r>
      <w:r w:rsidR="00B72511" w:rsidRPr="002246AE">
        <w:rPr>
          <w:rFonts w:asciiTheme="minorHAnsi" w:hAnsiTheme="minorHAnsi"/>
          <w:szCs w:val="22"/>
        </w:rPr>
        <w:t xml:space="preserve">. </w:t>
      </w:r>
      <w:r w:rsidR="004D66B2" w:rsidRPr="002246AE">
        <w:rPr>
          <w:rFonts w:asciiTheme="minorHAnsi" w:hAnsiTheme="minorHAnsi"/>
          <w:szCs w:val="22"/>
        </w:rPr>
        <w:t xml:space="preserve"> As a result, price cap carriers who lacked the ability to decrease their prices below the cap </w:t>
      </w:r>
      <w:r w:rsidR="001273A8" w:rsidRPr="002246AE">
        <w:rPr>
          <w:rFonts w:asciiTheme="minorHAnsi" w:hAnsiTheme="minorHAnsi"/>
          <w:szCs w:val="22"/>
        </w:rPr>
        <w:t xml:space="preserve">on an individualized basis </w:t>
      </w:r>
      <w:r w:rsidR="004D66B2" w:rsidRPr="002246AE">
        <w:rPr>
          <w:rFonts w:asciiTheme="minorHAnsi" w:hAnsiTheme="minorHAnsi"/>
          <w:szCs w:val="22"/>
        </w:rPr>
        <w:t xml:space="preserve">obtain that flexibility for the first time.  And customers of providers who sold legacy services at </w:t>
      </w:r>
      <w:r w:rsidR="001A2847">
        <w:rPr>
          <w:rFonts w:asciiTheme="minorHAnsi" w:hAnsiTheme="minorHAnsi"/>
          <w:szCs w:val="22"/>
        </w:rPr>
        <w:t xml:space="preserve">essentially </w:t>
      </w:r>
      <w:r w:rsidR="004D66B2" w:rsidRPr="002246AE">
        <w:rPr>
          <w:rFonts w:asciiTheme="minorHAnsi" w:hAnsiTheme="minorHAnsi"/>
          <w:szCs w:val="22"/>
        </w:rPr>
        <w:t>whatever price they felt fit to charge—meaning that they had “Phase II” flexibility—will have protecti</w:t>
      </w:r>
      <w:r w:rsidR="0059358E" w:rsidRPr="002246AE">
        <w:rPr>
          <w:rFonts w:asciiTheme="minorHAnsi" w:hAnsiTheme="minorHAnsi"/>
          <w:szCs w:val="22"/>
        </w:rPr>
        <w:t>on from arbitrarily high prices</w:t>
      </w:r>
    </w:p>
    <w:p w14:paraId="47359FB9" w14:textId="6FDBFB56" w:rsidR="004C6079" w:rsidRPr="002246AE" w:rsidRDefault="00DD045E" w:rsidP="00D372BD">
      <w:pPr>
        <w:pStyle w:val="ParaNum"/>
        <w:numPr>
          <w:ilvl w:val="1"/>
          <w:numId w:val="15"/>
        </w:numPr>
        <w:spacing w:after="100" w:afterAutospacing="1"/>
        <w:rPr>
          <w:rFonts w:asciiTheme="minorHAnsi" w:hAnsiTheme="minorHAnsi"/>
          <w:b/>
          <w:szCs w:val="22"/>
        </w:rPr>
      </w:pPr>
      <w:r w:rsidRPr="002246AE">
        <w:rPr>
          <w:rFonts w:asciiTheme="minorHAnsi" w:hAnsiTheme="minorHAnsi"/>
          <w:szCs w:val="22"/>
        </w:rPr>
        <w:t>Mandat</w:t>
      </w:r>
      <w:r w:rsidR="00FA159C" w:rsidRPr="002246AE">
        <w:rPr>
          <w:rFonts w:asciiTheme="minorHAnsi" w:hAnsiTheme="minorHAnsi"/>
          <w:szCs w:val="22"/>
        </w:rPr>
        <w:t>ing</w:t>
      </w:r>
      <w:r w:rsidR="009B252D" w:rsidRPr="002246AE">
        <w:rPr>
          <w:rFonts w:asciiTheme="minorHAnsi" w:hAnsiTheme="minorHAnsi"/>
          <w:szCs w:val="22"/>
        </w:rPr>
        <w:t xml:space="preserve"> fair terms and conditions</w:t>
      </w:r>
      <w:r w:rsidR="005D5337" w:rsidRPr="002246AE">
        <w:rPr>
          <w:rFonts w:asciiTheme="minorHAnsi" w:hAnsiTheme="minorHAnsi"/>
          <w:szCs w:val="22"/>
        </w:rPr>
        <w:t xml:space="preserve"> based on the </w:t>
      </w:r>
      <w:r w:rsidR="00225CDB" w:rsidRPr="002246AE">
        <w:rPr>
          <w:rFonts w:asciiTheme="minorHAnsi" w:hAnsiTheme="minorHAnsi"/>
          <w:szCs w:val="22"/>
        </w:rPr>
        <w:t xml:space="preserve">findings in </w:t>
      </w:r>
      <w:r w:rsidR="00362ECF">
        <w:rPr>
          <w:rFonts w:asciiTheme="minorHAnsi" w:hAnsiTheme="minorHAnsi"/>
          <w:szCs w:val="22"/>
        </w:rPr>
        <w:t xml:space="preserve">the </w:t>
      </w:r>
      <w:r w:rsidR="005D5337" w:rsidRPr="002246AE">
        <w:rPr>
          <w:rFonts w:asciiTheme="minorHAnsi" w:hAnsiTheme="minorHAnsi"/>
          <w:szCs w:val="22"/>
        </w:rPr>
        <w:t xml:space="preserve">FCC’s </w:t>
      </w:r>
      <w:r w:rsidR="00225CDB" w:rsidRPr="002246AE">
        <w:rPr>
          <w:rFonts w:asciiTheme="minorHAnsi" w:hAnsiTheme="minorHAnsi"/>
          <w:szCs w:val="22"/>
        </w:rPr>
        <w:t>May</w:t>
      </w:r>
      <w:r w:rsidR="00AC7500" w:rsidRPr="002246AE">
        <w:rPr>
          <w:rFonts w:asciiTheme="minorHAnsi" w:hAnsiTheme="minorHAnsi"/>
          <w:szCs w:val="22"/>
        </w:rPr>
        <w:t xml:space="preserve"> 2,</w:t>
      </w:r>
      <w:r w:rsidR="00225CDB" w:rsidRPr="002246AE">
        <w:rPr>
          <w:rFonts w:asciiTheme="minorHAnsi" w:hAnsiTheme="minorHAnsi"/>
          <w:szCs w:val="22"/>
        </w:rPr>
        <w:t xml:space="preserve"> 2016 </w:t>
      </w:r>
      <w:hyperlink r:id="rId8" w:history="1">
        <w:r w:rsidR="00225CDB" w:rsidRPr="002246AE">
          <w:rPr>
            <w:rStyle w:val="Hyperlink"/>
            <w:rFonts w:asciiTheme="minorHAnsi" w:hAnsiTheme="minorHAnsi"/>
            <w:szCs w:val="22"/>
          </w:rPr>
          <w:t>Tariff Investigation Order</w:t>
        </w:r>
      </w:hyperlink>
      <w:r w:rsidR="009B252D" w:rsidRPr="002246AE">
        <w:rPr>
          <w:rFonts w:asciiTheme="minorHAnsi" w:hAnsiTheme="minorHAnsi"/>
          <w:szCs w:val="22"/>
        </w:rPr>
        <w:t>, including</w:t>
      </w:r>
      <w:r w:rsidR="004C6079" w:rsidRPr="002246AE">
        <w:rPr>
          <w:rFonts w:asciiTheme="minorHAnsi" w:hAnsiTheme="minorHAnsi"/>
          <w:szCs w:val="22"/>
        </w:rPr>
        <w:t>:</w:t>
      </w:r>
    </w:p>
    <w:p w14:paraId="6F3D4DA7" w14:textId="095D091F" w:rsidR="004C6079" w:rsidRPr="002246AE" w:rsidRDefault="004C6079" w:rsidP="00D372BD">
      <w:pPr>
        <w:pStyle w:val="ParaNum"/>
        <w:numPr>
          <w:ilvl w:val="2"/>
          <w:numId w:val="15"/>
        </w:numPr>
        <w:spacing w:after="100" w:afterAutospacing="1"/>
        <w:rPr>
          <w:rFonts w:asciiTheme="minorHAnsi" w:hAnsiTheme="minorHAnsi"/>
          <w:b/>
          <w:szCs w:val="22"/>
        </w:rPr>
      </w:pPr>
      <w:r w:rsidRPr="002246AE">
        <w:rPr>
          <w:rFonts w:asciiTheme="minorHAnsi" w:hAnsiTheme="minorHAnsi"/>
          <w:szCs w:val="22"/>
        </w:rPr>
        <w:t>B</w:t>
      </w:r>
      <w:r w:rsidR="009B252D" w:rsidRPr="002246AE">
        <w:rPr>
          <w:rFonts w:asciiTheme="minorHAnsi" w:hAnsiTheme="minorHAnsi"/>
          <w:szCs w:val="22"/>
        </w:rPr>
        <w:t xml:space="preserve">arring </w:t>
      </w:r>
      <w:r w:rsidR="004D66B2" w:rsidRPr="002246AE">
        <w:rPr>
          <w:rFonts w:asciiTheme="minorHAnsi" w:hAnsiTheme="minorHAnsi"/>
          <w:szCs w:val="22"/>
        </w:rPr>
        <w:t xml:space="preserve">new </w:t>
      </w:r>
      <w:r w:rsidR="009B252D" w:rsidRPr="002246AE">
        <w:rPr>
          <w:rFonts w:asciiTheme="minorHAnsi" w:hAnsiTheme="minorHAnsi"/>
          <w:szCs w:val="22"/>
        </w:rPr>
        <w:t xml:space="preserve">“all-or-nothing” plans </w:t>
      </w:r>
      <w:r w:rsidR="00225CDB" w:rsidRPr="002246AE">
        <w:rPr>
          <w:rFonts w:asciiTheme="minorHAnsi" w:hAnsiTheme="minorHAnsi"/>
          <w:szCs w:val="22"/>
        </w:rPr>
        <w:t xml:space="preserve">that </w:t>
      </w:r>
      <w:r w:rsidR="009B252D" w:rsidRPr="002246AE">
        <w:rPr>
          <w:rFonts w:asciiTheme="minorHAnsi" w:hAnsiTheme="minorHAnsi"/>
          <w:szCs w:val="22"/>
        </w:rPr>
        <w:t xml:space="preserve">force users to make all of their purchases under one plan rather than split them among more tailored </w:t>
      </w:r>
      <w:r w:rsidR="00225CDB" w:rsidRPr="002246AE">
        <w:rPr>
          <w:rFonts w:asciiTheme="minorHAnsi" w:hAnsiTheme="minorHAnsi"/>
          <w:szCs w:val="22"/>
        </w:rPr>
        <w:t xml:space="preserve">and cost-effective </w:t>
      </w:r>
      <w:r w:rsidR="009B252D" w:rsidRPr="002246AE">
        <w:rPr>
          <w:rFonts w:asciiTheme="minorHAnsi" w:hAnsiTheme="minorHAnsi"/>
          <w:szCs w:val="22"/>
        </w:rPr>
        <w:t>options</w:t>
      </w:r>
    </w:p>
    <w:p w14:paraId="1DD8EA85" w14:textId="5133981E" w:rsidR="00524D5C" w:rsidRPr="002246AE" w:rsidRDefault="004C6079" w:rsidP="00D372BD">
      <w:pPr>
        <w:pStyle w:val="ParaNum"/>
        <w:numPr>
          <w:ilvl w:val="2"/>
          <w:numId w:val="15"/>
        </w:numPr>
        <w:spacing w:after="100" w:afterAutospacing="1"/>
        <w:rPr>
          <w:rFonts w:asciiTheme="minorHAnsi" w:hAnsiTheme="minorHAnsi"/>
          <w:b/>
          <w:szCs w:val="22"/>
        </w:rPr>
      </w:pPr>
      <w:r w:rsidRPr="002246AE">
        <w:rPr>
          <w:rFonts w:asciiTheme="minorHAnsi" w:hAnsiTheme="minorHAnsi"/>
          <w:szCs w:val="22"/>
        </w:rPr>
        <w:t xml:space="preserve">Reining in </w:t>
      </w:r>
      <w:r w:rsidR="009B252D" w:rsidRPr="002246AE">
        <w:rPr>
          <w:rFonts w:asciiTheme="minorHAnsi" w:hAnsiTheme="minorHAnsi"/>
          <w:szCs w:val="22"/>
        </w:rPr>
        <w:t>excessive penalties for early termination or fail</w:t>
      </w:r>
      <w:r w:rsidRPr="002246AE">
        <w:rPr>
          <w:rFonts w:asciiTheme="minorHAnsi" w:hAnsiTheme="minorHAnsi"/>
          <w:szCs w:val="22"/>
        </w:rPr>
        <w:t xml:space="preserve">ure </w:t>
      </w:r>
      <w:r w:rsidR="009B252D" w:rsidRPr="002246AE">
        <w:rPr>
          <w:rFonts w:asciiTheme="minorHAnsi" w:hAnsiTheme="minorHAnsi"/>
          <w:szCs w:val="22"/>
        </w:rPr>
        <w:t xml:space="preserve">to purchase a </w:t>
      </w:r>
      <w:r w:rsidRPr="002246AE">
        <w:rPr>
          <w:rFonts w:asciiTheme="minorHAnsi" w:hAnsiTheme="minorHAnsi"/>
          <w:szCs w:val="22"/>
        </w:rPr>
        <w:t>set minimum amount of capacity</w:t>
      </w:r>
    </w:p>
    <w:p w14:paraId="7CB4FCF2" w14:textId="1246A75D" w:rsidR="006A6A9A" w:rsidRPr="00B67984" w:rsidRDefault="005C3C4A" w:rsidP="00D372BD">
      <w:pPr>
        <w:pStyle w:val="ListParagraph"/>
        <w:spacing w:after="100" w:afterAutospacing="1" w:line="240" w:lineRule="auto"/>
        <w:ind w:left="0"/>
        <w:rPr>
          <w:rFonts w:cs="Times New Roman"/>
          <w:b/>
          <w:i/>
        </w:rPr>
      </w:pPr>
      <w:r w:rsidRPr="00B67984">
        <w:rPr>
          <w:rFonts w:cs="Times New Roman"/>
          <w:b/>
          <w:i/>
        </w:rPr>
        <w:t xml:space="preserve">A Simplified </w:t>
      </w:r>
      <w:r w:rsidR="006A6A9A" w:rsidRPr="00B67984">
        <w:rPr>
          <w:rFonts w:cs="Times New Roman"/>
          <w:b/>
          <w:i/>
        </w:rPr>
        <w:t xml:space="preserve">Framework </w:t>
      </w:r>
      <w:r w:rsidRPr="00B67984">
        <w:rPr>
          <w:rFonts w:cs="Times New Roman"/>
          <w:b/>
          <w:i/>
        </w:rPr>
        <w:t xml:space="preserve">to </w:t>
      </w:r>
      <w:r w:rsidR="007E2F94" w:rsidRPr="00B67984">
        <w:rPr>
          <w:rFonts w:cs="Times New Roman"/>
          <w:b/>
          <w:i/>
        </w:rPr>
        <w:t xml:space="preserve">Promote </w:t>
      </w:r>
      <w:r w:rsidRPr="00B67984">
        <w:rPr>
          <w:rFonts w:cs="Times New Roman"/>
          <w:b/>
          <w:i/>
        </w:rPr>
        <w:t xml:space="preserve">Competition </w:t>
      </w:r>
      <w:r w:rsidR="007E2F94" w:rsidRPr="00B67984">
        <w:rPr>
          <w:rFonts w:cs="Times New Roman"/>
          <w:b/>
          <w:i/>
        </w:rPr>
        <w:t>and Investment in</w:t>
      </w:r>
      <w:r w:rsidR="006A6A9A" w:rsidRPr="00B67984">
        <w:rPr>
          <w:rFonts w:cs="Times New Roman"/>
          <w:b/>
          <w:i/>
        </w:rPr>
        <w:t xml:space="preserve"> </w:t>
      </w:r>
      <w:r w:rsidR="007E4156" w:rsidRPr="00B67984">
        <w:rPr>
          <w:rFonts w:cs="Times New Roman"/>
          <w:b/>
          <w:i/>
        </w:rPr>
        <w:t xml:space="preserve">Packet-Based </w:t>
      </w:r>
      <w:r w:rsidR="006A6A9A" w:rsidRPr="00B67984">
        <w:rPr>
          <w:rFonts w:cs="Times New Roman"/>
          <w:b/>
          <w:i/>
        </w:rPr>
        <w:t>Services</w:t>
      </w:r>
    </w:p>
    <w:p w14:paraId="4658C913" w14:textId="6B1FE1EE" w:rsidR="00EE596C" w:rsidRPr="002246AE" w:rsidRDefault="00EE596C" w:rsidP="00D372BD">
      <w:pPr>
        <w:pStyle w:val="ListParagraph"/>
        <w:spacing w:after="100" w:afterAutospacing="1" w:line="240" w:lineRule="auto"/>
        <w:ind w:left="0"/>
        <w:rPr>
          <w:rFonts w:cs="Times New Roman"/>
        </w:rPr>
      </w:pPr>
      <w:r w:rsidRPr="002246AE">
        <w:rPr>
          <w:rFonts w:cs="Times New Roman"/>
        </w:rPr>
        <w:t>For packet-based services and circuit-based services above the level of DS3</w:t>
      </w:r>
      <w:r w:rsidR="00EF59F5" w:rsidRPr="002246AE">
        <w:rPr>
          <w:rFonts w:cs="Times New Roman"/>
        </w:rPr>
        <w:t xml:space="preserve"> (45 Mbps)</w:t>
      </w:r>
      <w:r w:rsidRPr="002246AE">
        <w:rPr>
          <w:rFonts w:cs="Times New Roman"/>
        </w:rPr>
        <w:t>,</w:t>
      </w:r>
      <w:r w:rsidR="00375B77" w:rsidRPr="002246AE">
        <w:rPr>
          <w:rFonts w:cs="Times New Roman"/>
        </w:rPr>
        <w:t xml:space="preserve"> there is evidence of emerging competition</w:t>
      </w:r>
      <w:r w:rsidR="009233C7" w:rsidRPr="002246AE">
        <w:rPr>
          <w:rFonts w:cs="Times New Roman"/>
        </w:rPr>
        <w:t xml:space="preserve"> and falling prices.</w:t>
      </w:r>
      <w:r w:rsidR="0059358E" w:rsidRPr="002246AE">
        <w:rPr>
          <w:rFonts w:cs="Times New Roman"/>
        </w:rPr>
        <w:t xml:space="preserve"> </w:t>
      </w:r>
      <w:r w:rsidR="00FA159C" w:rsidRPr="002246AE">
        <w:rPr>
          <w:rFonts w:cs="Times New Roman"/>
        </w:rPr>
        <w:t xml:space="preserve"> </w:t>
      </w:r>
      <w:r w:rsidR="003B6B50" w:rsidRPr="002246AE">
        <w:rPr>
          <w:rFonts w:cs="Times New Roman"/>
        </w:rPr>
        <w:t xml:space="preserve">New entrants include cable companies </w:t>
      </w:r>
      <w:r w:rsidR="00FA159C" w:rsidRPr="002246AE">
        <w:rPr>
          <w:rFonts w:cs="Times New Roman"/>
        </w:rPr>
        <w:t>that</w:t>
      </w:r>
      <w:r w:rsidR="003B6B50" w:rsidRPr="002246AE">
        <w:rPr>
          <w:rFonts w:cs="Times New Roman"/>
        </w:rPr>
        <w:t>, with their already ubiquitous networks, are</w:t>
      </w:r>
      <w:r w:rsidR="005C3C4A" w:rsidRPr="002246AE">
        <w:rPr>
          <w:rFonts w:cs="Times New Roman"/>
        </w:rPr>
        <w:t xml:space="preserve"> primed to challenge </w:t>
      </w:r>
      <w:r w:rsidR="00FA159C" w:rsidRPr="002246AE">
        <w:rPr>
          <w:rFonts w:cs="Times New Roman"/>
        </w:rPr>
        <w:t xml:space="preserve">incumbent </w:t>
      </w:r>
      <w:r w:rsidR="002A5F5F" w:rsidRPr="002246AE">
        <w:rPr>
          <w:rFonts w:cs="Times New Roman"/>
        </w:rPr>
        <w:t>LECs</w:t>
      </w:r>
      <w:r w:rsidR="005C3C4A" w:rsidRPr="002246AE">
        <w:rPr>
          <w:rFonts w:cs="Times New Roman"/>
        </w:rPr>
        <w:t xml:space="preserve">. In addition, </w:t>
      </w:r>
      <w:r w:rsidR="003B6B50" w:rsidRPr="002246AE">
        <w:rPr>
          <w:rFonts w:cs="Times New Roman"/>
        </w:rPr>
        <w:t xml:space="preserve">revenues from high-bandwidth offerings enable </w:t>
      </w:r>
      <w:r w:rsidR="005C3C4A" w:rsidRPr="002246AE">
        <w:t xml:space="preserve">competitive </w:t>
      </w:r>
      <w:r w:rsidR="001273A8" w:rsidRPr="002246AE">
        <w:t xml:space="preserve">LECs </w:t>
      </w:r>
      <w:r w:rsidR="005C3C4A" w:rsidRPr="002246AE">
        <w:t>(</w:t>
      </w:r>
      <w:r w:rsidR="003B6B50" w:rsidRPr="002246AE">
        <w:rPr>
          <w:rFonts w:cs="Times New Roman"/>
        </w:rPr>
        <w:t>CLECs</w:t>
      </w:r>
      <w:r w:rsidR="005C3C4A" w:rsidRPr="002246AE">
        <w:rPr>
          <w:rFonts w:cs="Times New Roman"/>
        </w:rPr>
        <w:t>)</w:t>
      </w:r>
      <w:r w:rsidR="003B6B50" w:rsidRPr="002246AE">
        <w:rPr>
          <w:rFonts w:cs="Times New Roman"/>
        </w:rPr>
        <w:t xml:space="preserve"> to deploy their own networks to serve the most </w:t>
      </w:r>
      <w:r w:rsidR="00FA159C" w:rsidRPr="002246AE">
        <w:rPr>
          <w:rFonts w:cs="Times New Roman"/>
        </w:rPr>
        <w:t xml:space="preserve">attractive </w:t>
      </w:r>
      <w:r w:rsidR="003B6B50" w:rsidRPr="002246AE">
        <w:rPr>
          <w:rFonts w:cs="Times New Roman"/>
        </w:rPr>
        <w:t>customers.</w:t>
      </w:r>
      <w:r w:rsidR="005C3C4A" w:rsidRPr="002246AE">
        <w:rPr>
          <w:rFonts w:cs="Times New Roman"/>
        </w:rPr>
        <w:t xml:space="preserve"> </w:t>
      </w:r>
      <w:r w:rsidR="003B6B50" w:rsidRPr="002246AE">
        <w:rPr>
          <w:rFonts w:cs="Times New Roman"/>
        </w:rPr>
        <w:t xml:space="preserve">Recognizing these trends, </w:t>
      </w:r>
      <w:r w:rsidRPr="002246AE">
        <w:rPr>
          <w:rFonts w:cs="Times New Roman"/>
        </w:rPr>
        <w:t>the Order appl</w:t>
      </w:r>
      <w:r w:rsidR="00FA159C" w:rsidRPr="002246AE">
        <w:rPr>
          <w:rFonts w:cs="Times New Roman"/>
        </w:rPr>
        <w:t>ies</w:t>
      </w:r>
      <w:r w:rsidRPr="002246AE">
        <w:rPr>
          <w:rFonts w:cs="Times New Roman"/>
        </w:rPr>
        <w:t xml:space="preserve"> a light-touch regulatory app</w:t>
      </w:r>
      <w:r w:rsidR="00CE2FE5" w:rsidRPr="002246AE">
        <w:rPr>
          <w:rFonts w:cs="Times New Roman"/>
        </w:rPr>
        <w:t>r</w:t>
      </w:r>
      <w:r w:rsidR="00EF59F5" w:rsidRPr="002246AE">
        <w:rPr>
          <w:rFonts w:cs="Times New Roman"/>
        </w:rPr>
        <w:t>oach</w:t>
      </w:r>
      <w:r w:rsidR="00820D65" w:rsidRPr="002246AE">
        <w:rPr>
          <w:rFonts w:cs="Times New Roman"/>
        </w:rPr>
        <w:t xml:space="preserve"> that promote</w:t>
      </w:r>
      <w:r w:rsidR="008C11EE" w:rsidRPr="002246AE">
        <w:rPr>
          <w:rFonts w:cs="Times New Roman"/>
        </w:rPr>
        <w:t>s</w:t>
      </w:r>
      <w:r w:rsidR="00820D65" w:rsidRPr="002246AE">
        <w:rPr>
          <w:rFonts w:cs="Times New Roman"/>
        </w:rPr>
        <w:t xml:space="preserve"> continued investment while ensuring </w:t>
      </w:r>
      <w:r w:rsidR="00747800" w:rsidRPr="002246AE">
        <w:rPr>
          <w:rFonts w:cs="Times New Roman"/>
        </w:rPr>
        <w:t>just and re</w:t>
      </w:r>
      <w:r w:rsidR="00820D65" w:rsidRPr="002246AE">
        <w:rPr>
          <w:rFonts w:cs="Times New Roman"/>
        </w:rPr>
        <w:t>asonable prices and other term</w:t>
      </w:r>
      <w:r w:rsidR="00CD7077" w:rsidRPr="002246AE">
        <w:rPr>
          <w:rFonts w:cs="Times New Roman"/>
        </w:rPr>
        <w:t>s</w:t>
      </w:r>
      <w:r w:rsidR="003B6B50" w:rsidRPr="002246AE">
        <w:rPr>
          <w:rFonts w:cs="Times New Roman"/>
        </w:rPr>
        <w:t>.</w:t>
      </w:r>
      <w:r w:rsidR="00EF59F5" w:rsidRPr="002246AE">
        <w:rPr>
          <w:rFonts w:cs="Times New Roman"/>
        </w:rPr>
        <w:t xml:space="preserve"> </w:t>
      </w:r>
      <w:r w:rsidR="00CD7077" w:rsidRPr="002246AE">
        <w:rPr>
          <w:rFonts w:cs="Times New Roman"/>
        </w:rPr>
        <w:t xml:space="preserve">Key elements of this framework </w:t>
      </w:r>
      <w:r w:rsidR="00AB5001" w:rsidRPr="002246AE">
        <w:rPr>
          <w:rFonts w:cs="Times New Roman"/>
        </w:rPr>
        <w:t>include:</w:t>
      </w:r>
    </w:p>
    <w:p w14:paraId="5726ACCD" w14:textId="77777777" w:rsidR="005C3C4A" w:rsidRPr="002246AE" w:rsidRDefault="005C3C4A" w:rsidP="00D372BD">
      <w:pPr>
        <w:pStyle w:val="ListParagraph"/>
        <w:spacing w:after="100" w:afterAutospacing="1" w:line="240" w:lineRule="auto"/>
        <w:ind w:left="0"/>
        <w:rPr>
          <w:rFonts w:cs="Times New Roman"/>
        </w:rPr>
      </w:pPr>
    </w:p>
    <w:p w14:paraId="01C01895" w14:textId="6C8B8F83" w:rsidR="005C3C4A" w:rsidRPr="002246AE" w:rsidRDefault="005B3A2C" w:rsidP="005C3C4A">
      <w:pPr>
        <w:pStyle w:val="ListParagraph"/>
        <w:numPr>
          <w:ilvl w:val="1"/>
          <w:numId w:val="15"/>
        </w:numPr>
        <w:spacing w:after="100" w:afterAutospacing="1" w:line="240" w:lineRule="auto"/>
        <w:rPr>
          <w:rFonts w:cs="Times New Roman"/>
        </w:rPr>
      </w:pPr>
      <w:r w:rsidRPr="002246AE">
        <w:rPr>
          <w:rFonts w:cs="Times New Roman"/>
          <w:b/>
        </w:rPr>
        <w:t>Reaffirm</w:t>
      </w:r>
      <w:r w:rsidR="00FA159C" w:rsidRPr="002246AE">
        <w:rPr>
          <w:rFonts w:cs="Times New Roman"/>
          <w:b/>
        </w:rPr>
        <w:t>ing</w:t>
      </w:r>
      <w:r w:rsidRPr="002246AE">
        <w:rPr>
          <w:rFonts w:cs="Times New Roman"/>
          <w:b/>
        </w:rPr>
        <w:t xml:space="preserve"> </w:t>
      </w:r>
      <w:r w:rsidR="00BE0408" w:rsidRPr="002246AE">
        <w:rPr>
          <w:rFonts w:cs="Times New Roman"/>
          <w:b/>
        </w:rPr>
        <w:t xml:space="preserve">that </w:t>
      </w:r>
      <w:r w:rsidR="008651DB" w:rsidRPr="002246AE">
        <w:rPr>
          <w:rFonts w:cs="Times New Roman"/>
          <w:b/>
        </w:rPr>
        <w:t xml:space="preserve">packet-based </w:t>
      </w:r>
      <w:r w:rsidR="00BE0408" w:rsidRPr="002246AE">
        <w:rPr>
          <w:rFonts w:cs="Times New Roman"/>
          <w:b/>
        </w:rPr>
        <w:t xml:space="preserve">BDS is </w:t>
      </w:r>
      <w:r w:rsidR="002279B7" w:rsidRPr="002246AE">
        <w:rPr>
          <w:rFonts w:cs="Times New Roman"/>
          <w:b/>
        </w:rPr>
        <w:t xml:space="preserve">largely </w:t>
      </w:r>
      <w:r w:rsidR="00BE0408" w:rsidRPr="002246AE">
        <w:rPr>
          <w:rFonts w:cs="Times New Roman"/>
          <w:b/>
        </w:rPr>
        <w:t>a “telecommunications service</w:t>
      </w:r>
      <w:r w:rsidR="005F2F53" w:rsidRPr="002246AE">
        <w:rPr>
          <w:rFonts w:cs="Times New Roman"/>
          <w:b/>
        </w:rPr>
        <w:t>,</w:t>
      </w:r>
      <w:r w:rsidR="00BE0408" w:rsidRPr="002246AE">
        <w:rPr>
          <w:rFonts w:cs="Times New Roman"/>
          <w:b/>
        </w:rPr>
        <w:t xml:space="preserve">” </w:t>
      </w:r>
      <w:r w:rsidR="005F2F53" w:rsidRPr="002246AE">
        <w:rPr>
          <w:rFonts w:cs="Times New Roman"/>
          <w:b/>
        </w:rPr>
        <w:t>as are TDM-based services.</w:t>
      </w:r>
      <w:r w:rsidR="005F2F53" w:rsidRPr="002246AE">
        <w:rPr>
          <w:rFonts w:cs="Times New Roman"/>
        </w:rPr>
        <w:t xml:space="preserve"> </w:t>
      </w:r>
      <w:r w:rsidR="002279B7" w:rsidRPr="002246AE">
        <w:rPr>
          <w:rFonts w:cs="Times New Roman"/>
        </w:rPr>
        <w:t xml:space="preserve">This </w:t>
      </w:r>
      <w:r w:rsidR="00BE0408" w:rsidRPr="002246AE">
        <w:rPr>
          <w:rFonts w:cs="Times New Roman"/>
        </w:rPr>
        <w:t>means that</w:t>
      </w:r>
      <w:r w:rsidR="002279B7" w:rsidRPr="002246AE">
        <w:rPr>
          <w:rFonts w:cs="Times New Roman"/>
        </w:rPr>
        <w:t>, with rare exception</w:t>
      </w:r>
      <w:r w:rsidR="00FA159C" w:rsidRPr="002246AE">
        <w:rPr>
          <w:rFonts w:cs="Times New Roman"/>
        </w:rPr>
        <w:t>s</w:t>
      </w:r>
      <w:r w:rsidR="002279B7" w:rsidRPr="002246AE">
        <w:rPr>
          <w:rFonts w:cs="Times New Roman"/>
        </w:rPr>
        <w:t xml:space="preserve">, </w:t>
      </w:r>
      <w:r w:rsidR="00BE0408" w:rsidRPr="002246AE">
        <w:rPr>
          <w:rFonts w:cs="Times New Roman"/>
        </w:rPr>
        <w:t>providers</w:t>
      </w:r>
      <w:r w:rsidR="00253565" w:rsidRPr="002246AE">
        <w:rPr>
          <w:rFonts w:cs="Times New Roman"/>
        </w:rPr>
        <w:t xml:space="preserve">, including packet-based Ethernet providers, </w:t>
      </w:r>
      <w:r w:rsidR="00BE0408" w:rsidRPr="002246AE">
        <w:rPr>
          <w:rFonts w:cs="Times New Roman"/>
        </w:rPr>
        <w:t xml:space="preserve">are common carriers </w:t>
      </w:r>
      <w:r w:rsidR="002279B7" w:rsidRPr="002246AE">
        <w:rPr>
          <w:rFonts w:cs="Times New Roman"/>
        </w:rPr>
        <w:t xml:space="preserve">and as such </w:t>
      </w:r>
      <w:r w:rsidR="001A2847">
        <w:rPr>
          <w:rFonts w:cs="Times New Roman"/>
        </w:rPr>
        <w:t>need to</w:t>
      </w:r>
      <w:r w:rsidR="001A2847" w:rsidRPr="002246AE">
        <w:rPr>
          <w:rFonts w:cs="Times New Roman"/>
        </w:rPr>
        <w:t xml:space="preserve"> </w:t>
      </w:r>
      <w:r w:rsidR="001A2847">
        <w:t>deal on reasonable and nondiscriminatory terms</w:t>
      </w:r>
      <w:r w:rsidR="001F752B" w:rsidRPr="002246AE">
        <w:rPr>
          <w:rFonts w:cs="Times New Roman"/>
        </w:rPr>
        <w:t xml:space="preserve">.  </w:t>
      </w:r>
      <w:r w:rsidR="008651DB" w:rsidRPr="002246AE">
        <w:rPr>
          <w:rFonts w:cs="Times New Roman"/>
        </w:rPr>
        <w:t>The Order provide</w:t>
      </w:r>
      <w:r w:rsidR="001F752B" w:rsidRPr="002246AE">
        <w:rPr>
          <w:rFonts w:cs="Times New Roman"/>
        </w:rPr>
        <w:t>s</w:t>
      </w:r>
      <w:r w:rsidR="008651DB" w:rsidRPr="002246AE">
        <w:rPr>
          <w:rFonts w:cs="Times New Roman"/>
        </w:rPr>
        <w:t xml:space="preserve"> guidance on the FCC’s application of </w:t>
      </w:r>
      <w:r w:rsidR="004D66B2" w:rsidRPr="002246AE">
        <w:rPr>
          <w:rFonts w:cs="Times New Roman"/>
        </w:rPr>
        <w:t>these basic statutory requirements</w:t>
      </w:r>
      <w:r w:rsidR="008651DB" w:rsidRPr="002246AE">
        <w:rPr>
          <w:rFonts w:cs="Times New Roman"/>
        </w:rPr>
        <w:t>.</w:t>
      </w:r>
      <w:r w:rsidR="009E45F8" w:rsidRPr="002246AE">
        <w:rPr>
          <w:rFonts w:cs="Times New Roman"/>
        </w:rPr>
        <w:t xml:space="preserve">  To be clear, the Order would not mandate more prescriptive requirements like network unbundli</w:t>
      </w:r>
      <w:r w:rsidR="0059358E" w:rsidRPr="002246AE">
        <w:rPr>
          <w:rFonts w:cs="Times New Roman"/>
        </w:rPr>
        <w:t>ng or wholesale rate discounts</w:t>
      </w:r>
    </w:p>
    <w:p w14:paraId="417BB304" w14:textId="21CAA4C6" w:rsidR="005C3C4A" w:rsidRPr="002246AE" w:rsidRDefault="005C3C4A" w:rsidP="005C3C4A">
      <w:pPr>
        <w:pStyle w:val="ListParagraph"/>
        <w:numPr>
          <w:ilvl w:val="1"/>
          <w:numId w:val="15"/>
        </w:numPr>
        <w:spacing w:after="100" w:afterAutospacing="1" w:line="240" w:lineRule="auto"/>
        <w:rPr>
          <w:rFonts w:cs="Times New Roman"/>
        </w:rPr>
      </w:pPr>
      <w:r w:rsidRPr="002246AE">
        <w:rPr>
          <w:rFonts w:cs="Times New Roman"/>
          <w:b/>
        </w:rPr>
        <w:t xml:space="preserve">No </w:t>
      </w:r>
      <w:r w:rsidR="001F752B" w:rsidRPr="002246AE">
        <w:rPr>
          <w:rFonts w:cs="Times New Roman"/>
          <w:b/>
        </w:rPr>
        <w:t xml:space="preserve">ex ante </w:t>
      </w:r>
      <w:r w:rsidRPr="002246AE">
        <w:rPr>
          <w:rFonts w:cs="Times New Roman"/>
          <w:b/>
        </w:rPr>
        <w:t>pricing regulation:</w:t>
      </w:r>
      <w:r w:rsidR="0053467B" w:rsidRPr="002246AE">
        <w:rPr>
          <w:rFonts w:cs="Times New Roman"/>
          <w:b/>
        </w:rPr>
        <w:t xml:space="preserve"> </w:t>
      </w:r>
      <w:r w:rsidR="0053467B" w:rsidRPr="002246AE">
        <w:rPr>
          <w:rFonts w:cs="Times New Roman"/>
        </w:rPr>
        <w:t>Based on the record and t</w:t>
      </w:r>
      <w:r w:rsidR="009B6A5F" w:rsidRPr="002246AE">
        <w:rPr>
          <w:rFonts w:cs="Times New Roman"/>
        </w:rPr>
        <w:t xml:space="preserve">o </w:t>
      </w:r>
      <w:r w:rsidR="00C6732F" w:rsidRPr="002246AE">
        <w:rPr>
          <w:rFonts w:cs="Times New Roman"/>
        </w:rPr>
        <w:t xml:space="preserve">promote </w:t>
      </w:r>
      <w:r w:rsidR="009E45F8" w:rsidRPr="002246AE">
        <w:rPr>
          <w:rFonts w:cs="Times New Roman"/>
        </w:rPr>
        <w:t xml:space="preserve">continued </w:t>
      </w:r>
      <w:r w:rsidR="00C6732F" w:rsidRPr="002246AE">
        <w:rPr>
          <w:rFonts w:cs="Times New Roman"/>
        </w:rPr>
        <w:t>investment in packet-based BDS</w:t>
      </w:r>
      <w:r w:rsidR="00B233DF" w:rsidRPr="002246AE">
        <w:rPr>
          <w:rFonts w:cs="Times New Roman"/>
        </w:rPr>
        <w:t xml:space="preserve">, </w:t>
      </w:r>
      <w:r w:rsidR="002279B7" w:rsidRPr="002246AE">
        <w:rPr>
          <w:rFonts w:cs="Times New Roman"/>
        </w:rPr>
        <w:t>no price caps</w:t>
      </w:r>
      <w:r w:rsidR="009E45F8" w:rsidRPr="002246AE">
        <w:rPr>
          <w:rFonts w:cs="Times New Roman"/>
        </w:rPr>
        <w:t>, benchmarking,</w:t>
      </w:r>
      <w:r w:rsidR="002279B7" w:rsidRPr="002246AE">
        <w:rPr>
          <w:rFonts w:cs="Times New Roman"/>
        </w:rPr>
        <w:t xml:space="preserve"> or other forms of ex ante pricing regulation will apply</w:t>
      </w:r>
    </w:p>
    <w:p w14:paraId="418F84B6" w14:textId="462DC766" w:rsidR="002279B7" w:rsidRPr="002246AE" w:rsidRDefault="005C3C4A" w:rsidP="00D372BD">
      <w:pPr>
        <w:pStyle w:val="ListParagraph"/>
        <w:numPr>
          <w:ilvl w:val="1"/>
          <w:numId w:val="15"/>
        </w:numPr>
        <w:spacing w:after="100" w:afterAutospacing="1" w:line="240" w:lineRule="auto"/>
        <w:rPr>
          <w:rFonts w:cs="Times New Roman"/>
        </w:rPr>
      </w:pPr>
      <w:r w:rsidRPr="002246AE">
        <w:rPr>
          <w:rFonts w:cs="Times New Roman"/>
          <w:b/>
        </w:rPr>
        <w:t>Robust complaint process</w:t>
      </w:r>
      <w:r w:rsidRPr="002246AE">
        <w:rPr>
          <w:rFonts w:cs="Times New Roman"/>
        </w:rPr>
        <w:t xml:space="preserve">: </w:t>
      </w:r>
      <w:r w:rsidR="002279B7" w:rsidRPr="002246AE">
        <w:rPr>
          <w:rFonts w:cs="Times New Roman"/>
        </w:rPr>
        <w:t>Pricing and other disputes will be resolved through the FCC’s complain</w:t>
      </w:r>
      <w:r w:rsidR="008651DB" w:rsidRPr="002246AE">
        <w:rPr>
          <w:rFonts w:cs="Times New Roman"/>
        </w:rPr>
        <w:t>t</w:t>
      </w:r>
      <w:r w:rsidR="002279B7" w:rsidRPr="002246AE">
        <w:rPr>
          <w:rFonts w:cs="Times New Roman"/>
        </w:rPr>
        <w:t xml:space="preserve"> process</w:t>
      </w:r>
      <w:r w:rsidRPr="002246AE">
        <w:rPr>
          <w:rFonts w:cs="Times New Roman"/>
        </w:rPr>
        <w:t>.</w:t>
      </w:r>
      <w:r w:rsidR="002279B7" w:rsidRPr="002246AE">
        <w:rPr>
          <w:rFonts w:cs="Times New Roman"/>
        </w:rPr>
        <w:t xml:space="preserve"> </w:t>
      </w:r>
      <w:r w:rsidR="00FD7405" w:rsidRPr="002246AE">
        <w:rPr>
          <w:rFonts w:cs="Times New Roman"/>
        </w:rPr>
        <w:t xml:space="preserve">Complaints will be </w:t>
      </w:r>
      <w:r w:rsidR="008651DB" w:rsidRPr="002246AE">
        <w:rPr>
          <w:rFonts w:cs="Times New Roman"/>
        </w:rPr>
        <w:t xml:space="preserve">expedited by guidance and </w:t>
      </w:r>
      <w:r w:rsidR="00F450A6" w:rsidRPr="002246AE">
        <w:rPr>
          <w:rFonts w:cs="Times New Roman"/>
        </w:rPr>
        <w:t>requirements that include the following</w:t>
      </w:r>
      <w:r w:rsidR="0059358E" w:rsidRPr="002246AE">
        <w:rPr>
          <w:rFonts w:cs="Times New Roman"/>
        </w:rPr>
        <w:t>:</w:t>
      </w:r>
    </w:p>
    <w:p w14:paraId="39E305F2" w14:textId="4E6C8213" w:rsidR="002279B7" w:rsidRPr="002246AE" w:rsidRDefault="008651DB" w:rsidP="00D372BD">
      <w:pPr>
        <w:pStyle w:val="ListParagraph"/>
        <w:numPr>
          <w:ilvl w:val="2"/>
          <w:numId w:val="15"/>
        </w:numPr>
        <w:spacing w:after="100" w:afterAutospacing="1" w:line="240" w:lineRule="auto"/>
        <w:rPr>
          <w:rFonts w:cs="Times New Roman"/>
        </w:rPr>
      </w:pPr>
      <w:r w:rsidRPr="002246AE">
        <w:rPr>
          <w:rFonts w:cs="Times New Roman"/>
        </w:rPr>
        <w:t xml:space="preserve">Wholesale rates </w:t>
      </w:r>
      <w:r w:rsidR="001E28FC" w:rsidRPr="002246AE">
        <w:rPr>
          <w:rFonts w:cs="Times New Roman"/>
        </w:rPr>
        <w:t xml:space="preserve">are presumptively unreasonable if they </w:t>
      </w:r>
      <w:r w:rsidRPr="002246AE">
        <w:rPr>
          <w:rFonts w:cs="Times New Roman"/>
        </w:rPr>
        <w:t>exceed retail rates</w:t>
      </w:r>
      <w:r w:rsidR="004D66B2" w:rsidRPr="002246AE">
        <w:rPr>
          <w:rFonts w:cs="Times New Roman"/>
        </w:rPr>
        <w:t xml:space="preserve"> for like services</w:t>
      </w:r>
      <w:r w:rsidR="00AD59AD" w:rsidRPr="002246AE">
        <w:rPr>
          <w:rFonts w:cs="Times New Roman"/>
        </w:rPr>
        <w:t>. Also applies to TDM</w:t>
      </w:r>
    </w:p>
    <w:p w14:paraId="5567E7DC" w14:textId="65475C82" w:rsidR="005F2F53" w:rsidRPr="002246AE" w:rsidRDefault="005D2A81" w:rsidP="00D372BD">
      <w:pPr>
        <w:pStyle w:val="ListParagraph"/>
        <w:numPr>
          <w:ilvl w:val="2"/>
          <w:numId w:val="15"/>
        </w:numPr>
        <w:spacing w:after="100" w:afterAutospacing="1" w:line="240" w:lineRule="auto"/>
        <w:rPr>
          <w:rFonts w:cs="Times New Roman"/>
        </w:rPr>
      </w:pPr>
      <w:r w:rsidRPr="002246AE">
        <w:rPr>
          <w:rFonts w:cs="Times New Roman"/>
        </w:rPr>
        <w:t>The FCC expects to apply greater scrutiny when there is evidence of r</w:t>
      </w:r>
      <w:r w:rsidR="005F2F53" w:rsidRPr="002246AE">
        <w:rPr>
          <w:rFonts w:cs="Times New Roman"/>
        </w:rPr>
        <w:t xml:space="preserve">ates </w:t>
      </w:r>
      <w:r w:rsidRPr="002246AE">
        <w:rPr>
          <w:rFonts w:cs="Times New Roman"/>
        </w:rPr>
        <w:t xml:space="preserve">that are </w:t>
      </w:r>
      <w:r w:rsidR="005F2F53" w:rsidRPr="002246AE">
        <w:rPr>
          <w:rFonts w:cs="Times New Roman"/>
        </w:rPr>
        <w:t xml:space="preserve">materially higher than </w:t>
      </w:r>
      <w:r w:rsidR="00D71D47" w:rsidRPr="002246AE">
        <w:rPr>
          <w:rFonts w:cs="Times New Roman"/>
        </w:rPr>
        <w:t>those</w:t>
      </w:r>
      <w:r w:rsidR="005F2F53" w:rsidRPr="002246AE">
        <w:rPr>
          <w:rFonts w:cs="Times New Roman"/>
        </w:rPr>
        <w:t xml:space="preserve"> charge</w:t>
      </w:r>
      <w:r w:rsidR="00D71D47" w:rsidRPr="002246AE">
        <w:rPr>
          <w:rFonts w:cs="Times New Roman"/>
        </w:rPr>
        <w:t>d by the same provider</w:t>
      </w:r>
      <w:r w:rsidR="005F2F53" w:rsidRPr="002246AE">
        <w:rPr>
          <w:rFonts w:cs="Times New Roman"/>
        </w:rPr>
        <w:t xml:space="preserve"> for the same circuit in </w:t>
      </w:r>
      <w:r w:rsidRPr="002246AE">
        <w:rPr>
          <w:rFonts w:cs="Times New Roman"/>
        </w:rPr>
        <w:t xml:space="preserve">nearby </w:t>
      </w:r>
      <w:r w:rsidR="005F2F53" w:rsidRPr="002246AE">
        <w:rPr>
          <w:rFonts w:cs="Times New Roman"/>
        </w:rPr>
        <w:t>buildings with competition</w:t>
      </w:r>
    </w:p>
    <w:p w14:paraId="0E36BFB0" w14:textId="7DB4D9DD" w:rsidR="005F2F53" w:rsidRPr="002246AE" w:rsidRDefault="005D2A81" w:rsidP="00D372BD">
      <w:pPr>
        <w:pStyle w:val="ListParagraph"/>
        <w:numPr>
          <w:ilvl w:val="2"/>
          <w:numId w:val="15"/>
        </w:numPr>
        <w:spacing w:after="100" w:afterAutospacing="1" w:line="240" w:lineRule="auto"/>
        <w:rPr>
          <w:rFonts w:cs="Times New Roman"/>
        </w:rPr>
      </w:pPr>
      <w:r w:rsidRPr="002246AE">
        <w:rPr>
          <w:rFonts w:cs="Times New Roman"/>
        </w:rPr>
        <w:t>The FCC also expects to apply greater scrutiny when there is evidence of r</w:t>
      </w:r>
      <w:r w:rsidR="005F2F53" w:rsidRPr="002246AE">
        <w:rPr>
          <w:rFonts w:cs="Times New Roman"/>
        </w:rPr>
        <w:t xml:space="preserve">ates for low-bandwidth Ethernet service that are materially higher than </w:t>
      </w:r>
      <w:r w:rsidRPr="002246AE">
        <w:rPr>
          <w:rFonts w:cs="Times New Roman"/>
        </w:rPr>
        <w:t xml:space="preserve">rates for the nearest-bandwidth </w:t>
      </w:r>
      <w:r w:rsidR="005F2F53" w:rsidRPr="002246AE">
        <w:rPr>
          <w:rFonts w:cs="Times New Roman"/>
        </w:rPr>
        <w:t>TDM rates</w:t>
      </w:r>
    </w:p>
    <w:p w14:paraId="65647177" w14:textId="71039A1A" w:rsidR="005F2F53" w:rsidRPr="002246AE" w:rsidRDefault="004D66B2" w:rsidP="00D372BD">
      <w:pPr>
        <w:pStyle w:val="ListParagraph"/>
        <w:numPr>
          <w:ilvl w:val="2"/>
          <w:numId w:val="15"/>
        </w:numPr>
        <w:spacing w:after="100" w:afterAutospacing="1" w:line="240" w:lineRule="auto"/>
        <w:rPr>
          <w:rFonts w:cs="Times New Roman"/>
        </w:rPr>
      </w:pPr>
      <w:r w:rsidRPr="002246AE">
        <w:rPr>
          <w:rFonts w:cs="Times New Roman"/>
        </w:rPr>
        <w:t>Rates of n</w:t>
      </w:r>
      <w:r w:rsidR="005F2F53" w:rsidRPr="002246AE">
        <w:rPr>
          <w:rFonts w:cs="Times New Roman"/>
        </w:rPr>
        <w:t>ew entrants and parties with smaller market shares are unlikely to be questioned</w:t>
      </w:r>
    </w:p>
    <w:p w14:paraId="5961DAB7" w14:textId="323BDBEB" w:rsidR="008651DB" w:rsidRPr="002246AE" w:rsidRDefault="00716361" w:rsidP="00D372BD">
      <w:pPr>
        <w:pStyle w:val="ListParagraph"/>
        <w:numPr>
          <w:ilvl w:val="2"/>
          <w:numId w:val="15"/>
        </w:numPr>
        <w:spacing w:after="100" w:afterAutospacing="1" w:line="240" w:lineRule="auto"/>
        <w:rPr>
          <w:rFonts w:cs="Times New Roman"/>
        </w:rPr>
      </w:pPr>
      <w:r w:rsidRPr="002246AE">
        <w:rPr>
          <w:rFonts w:cs="Times New Roman"/>
        </w:rPr>
        <w:t>S</w:t>
      </w:r>
      <w:r w:rsidR="008651DB" w:rsidRPr="002246AE">
        <w:rPr>
          <w:rFonts w:cs="Times New Roman"/>
        </w:rPr>
        <w:t xml:space="preserve">taff-supervised mediation </w:t>
      </w:r>
      <w:r w:rsidRPr="002246AE">
        <w:rPr>
          <w:rFonts w:cs="Times New Roman"/>
        </w:rPr>
        <w:t xml:space="preserve">is required </w:t>
      </w:r>
      <w:r w:rsidR="008651DB" w:rsidRPr="002246AE">
        <w:rPr>
          <w:rFonts w:cs="Times New Roman"/>
        </w:rPr>
        <w:t>prior to the filing of a complaint, which will expedite adjudication</w:t>
      </w:r>
    </w:p>
    <w:p w14:paraId="1A107B52" w14:textId="3AB2AE5E" w:rsidR="008651DB" w:rsidRPr="002246AE" w:rsidRDefault="00716361" w:rsidP="00D372BD">
      <w:pPr>
        <w:pStyle w:val="ListParagraph"/>
        <w:numPr>
          <w:ilvl w:val="2"/>
          <w:numId w:val="15"/>
        </w:numPr>
        <w:spacing w:after="100" w:afterAutospacing="1" w:line="240" w:lineRule="auto"/>
        <w:rPr>
          <w:rFonts w:cs="Times New Roman"/>
        </w:rPr>
      </w:pPr>
      <w:r w:rsidRPr="002246AE">
        <w:rPr>
          <w:rFonts w:cs="Times New Roman"/>
        </w:rPr>
        <w:t>P</w:t>
      </w:r>
      <w:r w:rsidR="00B901B0" w:rsidRPr="002246AE">
        <w:rPr>
          <w:rFonts w:cs="Times New Roman"/>
        </w:rPr>
        <w:t>roviders</w:t>
      </w:r>
      <w:r w:rsidRPr="002246AE">
        <w:rPr>
          <w:rFonts w:cs="Times New Roman"/>
        </w:rPr>
        <w:t xml:space="preserve"> are requ</w:t>
      </w:r>
      <w:r w:rsidR="00642C0D" w:rsidRPr="002246AE">
        <w:rPr>
          <w:rFonts w:cs="Times New Roman"/>
        </w:rPr>
        <w:t>i</w:t>
      </w:r>
      <w:r w:rsidRPr="002246AE">
        <w:rPr>
          <w:rFonts w:cs="Times New Roman"/>
        </w:rPr>
        <w:t>red</w:t>
      </w:r>
      <w:r w:rsidR="00B901B0" w:rsidRPr="002246AE">
        <w:rPr>
          <w:rFonts w:cs="Times New Roman"/>
        </w:rPr>
        <w:t xml:space="preserve"> to furnish specific</w:t>
      </w:r>
      <w:r w:rsidR="0004525F" w:rsidRPr="002246AE">
        <w:rPr>
          <w:rFonts w:cs="Times New Roman"/>
        </w:rPr>
        <w:t xml:space="preserve"> rate</w:t>
      </w:r>
      <w:r w:rsidR="00B901B0" w:rsidRPr="002246AE">
        <w:rPr>
          <w:rFonts w:cs="Times New Roman"/>
        </w:rPr>
        <w:t xml:space="preserve"> information </w:t>
      </w:r>
      <w:r w:rsidR="0058711C" w:rsidRPr="002246AE">
        <w:rPr>
          <w:rFonts w:cs="Times New Roman"/>
        </w:rPr>
        <w:t>d</w:t>
      </w:r>
      <w:r w:rsidR="0004525F" w:rsidRPr="002246AE">
        <w:rPr>
          <w:rFonts w:cs="Times New Roman"/>
        </w:rPr>
        <w:t>uring adjudication</w:t>
      </w:r>
    </w:p>
    <w:p w14:paraId="0557AE4B" w14:textId="410D7D1D" w:rsidR="00B901B0" w:rsidRPr="002246AE" w:rsidRDefault="00716361" w:rsidP="00D372BD">
      <w:pPr>
        <w:pStyle w:val="ListParagraph"/>
        <w:numPr>
          <w:ilvl w:val="2"/>
          <w:numId w:val="15"/>
        </w:numPr>
        <w:spacing w:after="100" w:afterAutospacing="1" w:line="240" w:lineRule="auto"/>
        <w:rPr>
          <w:rFonts w:cs="Times New Roman"/>
        </w:rPr>
      </w:pPr>
      <w:r w:rsidRPr="002246AE">
        <w:rPr>
          <w:rFonts w:cs="Times New Roman"/>
        </w:rPr>
        <w:lastRenderedPageBreak/>
        <w:t xml:space="preserve">Requirements for </w:t>
      </w:r>
      <w:r w:rsidR="00B901B0" w:rsidRPr="002246AE">
        <w:rPr>
          <w:rFonts w:cs="Times New Roman"/>
        </w:rPr>
        <w:t>the unreasonable terms and conditions banned for TDM providers</w:t>
      </w:r>
      <w:r w:rsidR="005F2F53" w:rsidRPr="002246AE">
        <w:rPr>
          <w:rFonts w:cs="Times New Roman"/>
        </w:rPr>
        <w:t xml:space="preserve"> (see above)</w:t>
      </w:r>
      <w:r w:rsidRPr="002246AE">
        <w:rPr>
          <w:rFonts w:cs="Times New Roman"/>
        </w:rPr>
        <w:t xml:space="preserve"> will be applied as a yardstick for adjudication</w:t>
      </w:r>
    </w:p>
    <w:p w14:paraId="0FC61AE3" w14:textId="258DFFFB" w:rsidR="00B901B0" w:rsidRPr="002246AE" w:rsidRDefault="00716361" w:rsidP="00D372BD">
      <w:pPr>
        <w:pStyle w:val="ListParagraph"/>
        <w:numPr>
          <w:ilvl w:val="2"/>
          <w:numId w:val="15"/>
        </w:numPr>
        <w:spacing w:after="100" w:afterAutospacing="1" w:line="240" w:lineRule="auto"/>
        <w:rPr>
          <w:rFonts w:cs="Times New Roman"/>
        </w:rPr>
      </w:pPr>
      <w:r w:rsidRPr="002246AE">
        <w:rPr>
          <w:rFonts w:cs="Times New Roman"/>
        </w:rPr>
        <w:t>N</w:t>
      </w:r>
      <w:r w:rsidR="001A3E0D" w:rsidRPr="002246AE">
        <w:rPr>
          <w:rFonts w:cs="Times New Roman"/>
        </w:rPr>
        <w:t>on-disclosure agreements barring disclosure of information</w:t>
      </w:r>
      <w:r w:rsidR="001273A8" w:rsidRPr="002246AE">
        <w:rPr>
          <w:rFonts w:cs="Times New Roman"/>
        </w:rPr>
        <w:t xml:space="preserve"> related to the provision of BDS</w:t>
      </w:r>
      <w:r w:rsidR="001A3E0D" w:rsidRPr="002246AE">
        <w:rPr>
          <w:rFonts w:cs="Times New Roman"/>
        </w:rPr>
        <w:t xml:space="preserve"> to the FCC</w:t>
      </w:r>
      <w:r w:rsidRPr="002246AE">
        <w:rPr>
          <w:rFonts w:cs="Times New Roman"/>
        </w:rPr>
        <w:t xml:space="preserve"> are prohibited</w:t>
      </w:r>
      <w:r w:rsidR="00AD59AD" w:rsidRPr="002246AE">
        <w:rPr>
          <w:rFonts w:cs="Times New Roman"/>
        </w:rPr>
        <w:t>. Also applies to TDM</w:t>
      </w:r>
    </w:p>
    <w:p w14:paraId="3E022D50" w14:textId="20328473" w:rsidR="00126AE1" w:rsidRPr="002246AE" w:rsidRDefault="00126AE1" w:rsidP="00D372BD">
      <w:pPr>
        <w:spacing w:after="100" w:afterAutospacing="1" w:line="240" w:lineRule="auto"/>
        <w:rPr>
          <w:rFonts w:cs="Times New Roman"/>
        </w:rPr>
      </w:pPr>
      <w:r w:rsidRPr="00B67984">
        <w:rPr>
          <w:rFonts w:cs="Times New Roman"/>
          <w:b/>
        </w:rPr>
        <w:t>Second Further Notice of Proposed Rulemaking</w:t>
      </w:r>
      <w:r w:rsidR="005C3C4A" w:rsidRPr="002246AE">
        <w:rPr>
          <w:rFonts w:cs="Times New Roman"/>
          <w:b/>
          <w:u w:val="single"/>
        </w:rPr>
        <w:br/>
      </w:r>
      <w:r w:rsidR="009F150D" w:rsidRPr="002246AE">
        <w:rPr>
          <w:rFonts w:cs="Times New Roman"/>
        </w:rPr>
        <w:t xml:space="preserve">A </w:t>
      </w:r>
      <w:r w:rsidRPr="002246AE">
        <w:rPr>
          <w:rFonts w:cs="Times New Roman"/>
        </w:rPr>
        <w:t xml:space="preserve">Second Further Notice of Proposed Rulemaking would seek comment on how best to </w:t>
      </w:r>
      <w:r w:rsidR="00DF6ED3" w:rsidRPr="002246AE">
        <w:rPr>
          <w:rFonts w:cs="Times New Roman"/>
        </w:rPr>
        <w:t xml:space="preserve">collect accurate data on </w:t>
      </w:r>
      <w:r w:rsidRPr="002246AE">
        <w:rPr>
          <w:rFonts w:cs="Times New Roman"/>
        </w:rPr>
        <w:t xml:space="preserve">market developments and what administrable means </w:t>
      </w:r>
      <w:r w:rsidR="00DF6ED3" w:rsidRPr="002246AE">
        <w:rPr>
          <w:rFonts w:cs="Times New Roman"/>
        </w:rPr>
        <w:t>can be developed</w:t>
      </w:r>
      <w:r w:rsidR="00362ECF">
        <w:rPr>
          <w:rFonts w:cs="Times New Roman"/>
        </w:rPr>
        <w:t>,</w:t>
      </w:r>
      <w:r w:rsidR="00DF6ED3" w:rsidRPr="002246AE">
        <w:rPr>
          <w:rFonts w:cs="Times New Roman"/>
        </w:rPr>
        <w:t xml:space="preserve"> </w:t>
      </w:r>
      <w:r w:rsidR="001E28FC" w:rsidRPr="002246AE">
        <w:rPr>
          <w:rFonts w:cs="Times New Roman"/>
        </w:rPr>
        <w:t>if necessary</w:t>
      </w:r>
      <w:r w:rsidR="00362ECF">
        <w:rPr>
          <w:rFonts w:cs="Times New Roman"/>
        </w:rPr>
        <w:t>,</w:t>
      </w:r>
      <w:r w:rsidR="001E28FC" w:rsidRPr="002246AE">
        <w:rPr>
          <w:rFonts w:cs="Times New Roman"/>
        </w:rPr>
        <w:t xml:space="preserve"> </w:t>
      </w:r>
      <w:r w:rsidRPr="002246AE">
        <w:rPr>
          <w:rFonts w:cs="Times New Roman"/>
        </w:rPr>
        <w:t>to deal with any concerns that may emerge with respect to pricing</w:t>
      </w:r>
      <w:r w:rsidR="00863193" w:rsidRPr="002246AE">
        <w:rPr>
          <w:rFonts w:cs="Times New Roman"/>
        </w:rPr>
        <w:t xml:space="preserve"> for packet-based BDS</w:t>
      </w:r>
      <w:r w:rsidRPr="002246AE">
        <w:rPr>
          <w:rFonts w:cs="Times New Roman"/>
        </w:rPr>
        <w:t>.</w:t>
      </w:r>
    </w:p>
    <w:p w14:paraId="74CC49B3" w14:textId="5B2E6716" w:rsidR="00D71D47" w:rsidRPr="00B67984" w:rsidRDefault="001A3E0D" w:rsidP="00656BE2">
      <w:pPr>
        <w:spacing w:after="0" w:line="240" w:lineRule="auto"/>
        <w:rPr>
          <w:rFonts w:cs="Times New Roman"/>
          <w:b/>
        </w:rPr>
      </w:pPr>
      <w:r w:rsidRPr="00B67984">
        <w:rPr>
          <w:rFonts w:cs="Times New Roman"/>
          <w:b/>
        </w:rPr>
        <w:t>Leveling the Playing Field</w:t>
      </w:r>
      <w:r w:rsidR="00FE2213" w:rsidRPr="00B67984">
        <w:rPr>
          <w:rFonts w:cs="Times New Roman"/>
          <w:b/>
        </w:rPr>
        <w:t xml:space="preserve"> for </w:t>
      </w:r>
      <w:r w:rsidR="00C400D9" w:rsidRPr="00B67984">
        <w:rPr>
          <w:rFonts w:cs="Times New Roman"/>
          <w:b/>
        </w:rPr>
        <w:t>Packet-</w:t>
      </w:r>
      <w:r w:rsidR="00863193" w:rsidRPr="00B67984">
        <w:rPr>
          <w:rFonts w:cs="Times New Roman"/>
          <w:b/>
        </w:rPr>
        <w:t>B</w:t>
      </w:r>
      <w:r w:rsidR="00C400D9" w:rsidRPr="00B67984">
        <w:rPr>
          <w:rFonts w:cs="Times New Roman"/>
          <w:b/>
        </w:rPr>
        <w:t xml:space="preserve">ased </w:t>
      </w:r>
      <w:r w:rsidR="00FE2213" w:rsidRPr="00B67984">
        <w:rPr>
          <w:rFonts w:cs="Times New Roman"/>
          <w:b/>
        </w:rPr>
        <w:t xml:space="preserve">BDS </w:t>
      </w:r>
      <w:r w:rsidR="00863193" w:rsidRPr="00B67984">
        <w:rPr>
          <w:rFonts w:cs="Times New Roman"/>
          <w:b/>
        </w:rPr>
        <w:t>P</w:t>
      </w:r>
      <w:r w:rsidR="00FE2213" w:rsidRPr="00B67984">
        <w:rPr>
          <w:rFonts w:cs="Times New Roman"/>
          <w:b/>
        </w:rPr>
        <w:t>roviders</w:t>
      </w:r>
    </w:p>
    <w:p w14:paraId="74912E66" w14:textId="477E6227" w:rsidR="00327129" w:rsidRPr="002246AE" w:rsidRDefault="00FE2213" w:rsidP="00656BE2">
      <w:pPr>
        <w:spacing w:after="0" w:line="240" w:lineRule="auto"/>
        <w:rPr>
          <w:rFonts w:cs="Times New Roman"/>
          <w:b/>
        </w:rPr>
      </w:pPr>
      <w:r w:rsidRPr="002246AE">
        <w:rPr>
          <w:rFonts w:cs="Times New Roman"/>
        </w:rPr>
        <w:t>Since 2006, the Commission has granted</w:t>
      </w:r>
      <w:r w:rsidR="00D71D47" w:rsidRPr="002246AE">
        <w:rPr>
          <w:rFonts w:cs="Times New Roman"/>
        </w:rPr>
        <w:t xml:space="preserve"> incumbent </w:t>
      </w:r>
      <w:r w:rsidRPr="002246AE">
        <w:rPr>
          <w:rFonts w:cs="Times New Roman"/>
        </w:rPr>
        <w:t xml:space="preserve">LEC providers </w:t>
      </w:r>
      <w:r w:rsidR="00327129" w:rsidRPr="002246AE">
        <w:rPr>
          <w:rFonts w:cs="Times New Roman"/>
        </w:rPr>
        <w:t xml:space="preserve">of Ethernet BDS service </w:t>
      </w:r>
      <w:r w:rsidRPr="002246AE">
        <w:rPr>
          <w:rFonts w:cs="Times New Roman"/>
        </w:rPr>
        <w:t xml:space="preserve">varying degrees of forbearance </w:t>
      </w:r>
      <w:r w:rsidR="00F450A6" w:rsidRPr="002246AE">
        <w:rPr>
          <w:rFonts w:cs="Times New Roman"/>
        </w:rPr>
        <w:t xml:space="preserve">– or exemptions </w:t>
      </w:r>
      <w:r w:rsidR="00716361" w:rsidRPr="002246AE">
        <w:rPr>
          <w:rFonts w:cs="Times New Roman"/>
        </w:rPr>
        <w:t>–</w:t>
      </w:r>
      <w:r w:rsidR="00F450A6" w:rsidRPr="002246AE">
        <w:rPr>
          <w:rFonts w:cs="Times New Roman"/>
        </w:rPr>
        <w:t xml:space="preserve"> </w:t>
      </w:r>
      <w:r w:rsidRPr="002246AE">
        <w:rPr>
          <w:rFonts w:cs="Times New Roman"/>
        </w:rPr>
        <w:t xml:space="preserve">from Title II of the Communications Act. </w:t>
      </w:r>
      <w:r w:rsidR="00AF35A6" w:rsidRPr="002246AE">
        <w:rPr>
          <w:rFonts w:cs="Times New Roman"/>
        </w:rPr>
        <w:t xml:space="preserve">The Order would </w:t>
      </w:r>
      <w:r w:rsidR="00327129" w:rsidRPr="002246AE">
        <w:rPr>
          <w:rFonts w:cs="Times New Roman"/>
        </w:rPr>
        <w:t xml:space="preserve">level the playing field for </w:t>
      </w:r>
      <w:r w:rsidR="00AF35A6" w:rsidRPr="002246AE">
        <w:rPr>
          <w:rFonts w:cs="Times New Roman"/>
        </w:rPr>
        <w:t>all packet-based and circuit-based BDS providers deliver</w:t>
      </w:r>
      <w:r w:rsidR="00327129" w:rsidRPr="002246AE">
        <w:rPr>
          <w:rFonts w:cs="Times New Roman"/>
        </w:rPr>
        <w:t xml:space="preserve">ing </w:t>
      </w:r>
      <w:r w:rsidR="00AF35A6" w:rsidRPr="002246AE">
        <w:rPr>
          <w:rFonts w:cs="Times New Roman"/>
        </w:rPr>
        <w:t xml:space="preserve">speeds in excess of </w:t>
      </w:r>
      <w:r w:rsidR="00327129" w:rsidRPr="002246AE">
        <w:rPr>
          <w:rFonts w:cs="Times New Roman"/>
        </w:rPr>
        <w:t xml:space="preserve">45 Mbps </w:t>
      </w:r>
      <w:r w:rsidR="00F450A6" w:rsidRPr="002246AE">
        <w:rPr>
          <w:rFonts w:cs="Times New Roman"/>
        </w:rPr>
        <w:t>(DS3)</w:t>
      </w:r>
      <w:r w:rsidR="00AF35A6" w:rsidRPr="002246AE">
        <w:rPr>
          <w:rFonts w:cs="Times New Roman"/>
        </w:rPr>
        <w:t xml:space="preserve"> by granting uniform forbearance to certain portions of Title II, including dominant carrier and tariffing requirements. </w:t>
      </w:r>
    </w:p>
    <w:p w14:paraId="00AE052E" w14:textId="77777777" w:rsidR="005453D7" w:rsidRPr="002246AE" w:rsidRDefault="00395711" w:rsidP="0017238A">
      <w:pPr>
        <w:pStyle w:val="ListParagraph"/>
        <w:spacing w:after="0"/>
        <w:jc w:val="center"/>
        <w:rPr>
          <w:rFonts w:cs="Times New Roman"/>
        </w:rPr>
      </w:pPr>
      <w:r w:rsidRPr="002246AE">
        <w:rPr>
          <w:rFonts w:cs="Times New Roman"/>
        </w:rPr>
        <w:t>###</w:t>
      </w:r>
    </w:p>
    <w:sectPr w:rsidR="005453D7" w:rsidRPr="002246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9B60" w14:textId="77777777" w:rsidR="006F64D3" w:rsidRDefault="006F64D3" w:rsidP="00E63B3B">
      <w:pPr>
        <w:spacing w:after="0" w:line="240" w:lineRule="auto"/>
      </w:pPr>
      <w:r>
        <w:separator/>
      </w:r>
    </w:p>
  </w:endnote>
  <w:endnote w:type="continuationSeparator" w:id="0">
    <w:p w14:paraId="029D59AA" w14:textId="77777777" w:rsidR="006F64D3" w:rsidRDefault="006F64D3" w:rsidP="00E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06EB" w14:textId="77777777" w:rsidR="00D05E57" w:rsidRDefault="00D05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F6C3" w14:textId="77777777" w:rsidR="00D05E57" w:rsidRDefault="00D05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F693" w14:textId="77777777" w:rsidR="00D05E57" w:rsidRDefault="00D0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C9BB" w14:textId="77777777" w:rsidR="006F64D3" w:rsidRDefault="006F64D3" w:rsidP="00E63B3B">
      <w:pPr>
        <w:spacing w:after="0" w:line="240" w:lineRule="auto"/>
      </w:pPr>
      <w:r>
        <w:separator/>
      </w:r>
    </w:p>
  </w:footnote>
  <w:footnote w:type="continuationSeparator" w:id="0">
    <w:p w14:paraId="7EC96C8E" w14:textId="77777777" w:rsidR="006F64D3" w:rsidRDefault="006F64D3" w:rsidP="00E63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A735" w14:textId="77777777" w:rsidR="00D05E57" w:rsidRDefault="00D05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B760" w14:textId="77777777" w:rsidR="00D05E57" w:rsidRDefault="00D05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473A" w14:textId="77777777" w:rsidR="00D05E57" w:rsidRDefault="00D0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4C8"/>
    <w:multiLevelType w:val="hybridMultilevel"/>
    <w:tmpl w:val="3CD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0231"/>
    <w:multiLevelType w:val="hybridMultilevel"/>
    <w:tmpl w:val="40EC21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67821"/>
    <w:multiLevelType w:val="hybridMultilevel"/>
    <w:tmpl w:val="DEB0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F493C"/>
    <w:multiLevelType w:val="hybridMultilevel"/>
    <w:tmpl w:val="CDB6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7455"/>
    <w:multiLevelType w:val="hybridMultilevel"/>
    <w:tmpl w:val="7F1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0622C"/>
    <w:multiLevelType w:val="hybridMultilevel"/>
    <w:tmpl w:val="F67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31E93"/>
    <w:multiLevelType w:val="hybridMultilevel"/>
    <w:tmpl w:val="48A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C6B6E"/>
    <w:multiLevelType w:val="hybridMultilevel"/>
    <w:tmpl w:val="66A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3C674CE"/>
    <w:multiLevelType w:val="hybridMultilevel"/>
    <w:tmpl w:val="EEFCD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B24A78"/>
    <w:multiLevelType w:val="hybridMultilevel"/>
    <w:tmpl w:val="441A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73331D"/>
    <w:multiLevelType w:val="hybridMultilevel"/>
    <w:tmpl w:val="16B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57143"/>
    <w:multiLevelType w:val="hybridMultilevel"/>
    <w:tmpl w:val="F22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D5379"/>
    <w:multiLevelType w:val="hybridMultilevel"/>
    <w:tmpl w:val="12269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2F4948"/>
    <w:multiLevelType w:val="hybridMultilevel"/>
    <w:tmpl w:val="496C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10"/>
  </w:num>
  <w:num w:numId="5">
    <w:abstractNumId w:val="5"/>
  </w:num>
  <w:num w:numId="6">
    <w:abstractNumId w:val="2"/>
  </w:num>
  <w:num w:numId="7">
    <w:abstractNumId w:val="11"/>
  </w:num>
  <w:num w:numId="8">
    <w:abstractNumId w:val="6"/>
  </w:num>
  <w:num w:numId="9">
    <w:abstractNumId w:val="9"/>
  </w:num>
  <w:num w:numId="10">
    <w:abstractNumId w:val="0"/>
  </w:num>
  <w:num w:numId="11">
    <w:abstractNumId w:val="8"/>
  </w:num>
  <w:num w:numId="12">
    <w:abstractNumId w:val="8"/>
  </w:num>
  <w:num w:numId="13">
    <w:abstractNumId w:val="4"/>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2A"/>
    <w:rsid w:val="00007F8D"/>
    <w:rsid w:val="00022CC1"/>
    <w:rsid w:val="00041901"/>
    <w:rsid w:val="000425D2"/>
    <w:rsid w:val="00043A4E"/>
    <w:rsid w:val="0004525F"/>
    <w:rsid w:val="00057AE8"/>
    <w:rsid w:val="00066C14"/>
    <w:rsid w:val="00070D41"/>
    <w:rsid w:val="00081999"/>
    <w:rsid w:val="000A59B1"/>
    <w:rsid w:val="000B671C"/>
    <w:rsid w:val="000D5371"/>
    <w:rsid w:val="000E088A"/>
    <w:rsid w:val="000E4691"/>
    <w:rsid w:val="001049CF"/>
    <w:rsid w:val="001174B3"/>
    <w:rsid w:val="001179F9"/>
    <w:rsid w:val="00122001"/>
    <w:rsid w:val="00124B94"/>
    <w:rsid w:val="00126AE1"/>
    <w:rsid w:val="001273A8"/>
    <w:rsid w:val="00130811"/>
    <w:rsid w:val="0017238A"/>
    <w:rsid w:val="00174413"/>
    <w:rsid w:val="00194E47"/>
    <w:rsid w:val="001A086B"/>
    <w:rsid w:val="001A2847"/>
    <w:rsid w:val="001A3E0D"/>
    <w:rsid w:val="001A6235"/>
    <w:rsid w:val="001B3BA9"/>
    <w:rsid w:val="001C387F"/>
    <w:rsid w:val="001C3A7B"/>
    <w:rsid w:val="001D6501"/>
    <w:rsid w:val="001E28FC"/>
    <w:rsid w:val="001E64E8"/>
    <w:rsid w:val="001F17B6"/>
    <w:rsid w:val="001F752B"/>
    <w:rsid w:val="0021075B"/>
    <w:rsid w:val="00222C38"/>
    <w:rsid w:val="002246AE"/>
    <w:rsid w:val="00225CDB"/>
    <w:rsid w:val="002279B7"/>
    <w:rsid w:val="00234BD9"/>
    <w:rsid w:val="00237323"/>
    <w:rsid w:val="00237F09"/>
    <w:rsid w:val="00252CDC"/>
    <w:rsid w:val="00253565"/>
    <w:rsid w:val="002670E3"/>
    <w:rsid w:val="00270A6B"/>
    <w:rsid w:val="00274883"/>
    <w:rsid w:val="00275BF1"/>
    <w:rsid w:val="00282676"/>
    <w:rsid w:val="00285D9C"/>
    <w:rsid w:val="002A322F"/>
    <w:rsid w:val="002A5F5F"/>
    <w:rsid w:val="002A734B"/>
    <w:rsid w:val="002D1B5B"/>
    <w:rsid w:val="002D1D63"/>
    <w:rsid w:val="002D3E79"/>
    <w:rsid w:val="002F277E"/>
    <w:rsid w:val="0030490D"/>
    <w:rsid w:val="0030656D"/>
    <w:rsid w:val="00316088"/>
    <w:rsid w:val="00316593"/>
    <w:rsid w:val="00322F4F"/>
    <w:rsid w:val="00327129"/>
    <w:rsid w:val="00337766"/>
    <w:rsid w:val="00347E2A"/>
    <w:rsid w:val="003510BA"/>
    <w:rsid w:val="003614C1"/>
    <w:rsid w:val="00362ECF"/>
    <w:rsid w:val="00375B77"/>
    <w:rsid w:val="00377B30"/>
    <w:rsid w:val="003808A4"/>
    <w:rsid w:val="00380A28"/>
    <w:rsid w:val="00395711"/>
    <w:rsid w:val="003968CA"/>
    <w:rsid w:val="003A65E1"/>
    <w:rsid w:val="003B2C26"/>
    <w:rsid w:val="003B6B50"/>
    <w:rsid w:val="003C43A4"/>
    <w:rsid w:val="003D395C"/>
    <w:rsid w:val="003D5D47"/>
    <w:rsid w:val="003E4933"/>
    <w:rsid w:val="003E6226"/>
    <w:rsid w:val="003E694B"/>
    <w:rsid w:val="00402FEA"/>
    <w:rsid w:val="00403A3E"/>
    <w:rsid w:val="00414114"/>
    <w:rsid w:val="0041643F"/>
    <w:rsid w:val="004179DE"/>
    <w:rsid w:val="004220D0"/>
    <w:rsid w:val="00425EC1"/>
    <w:rsid w:val="0044315E"/>
    <w:rsid w:val="00451F9F"/>
    <w:rsid w:val="00455229"/>
    <w:rsid w:val="0046451D"/>
    <w:rsid w:val="00486BF5"/>
    <w:rsid w:val="00494DF6"/>
    <w:rsid w:val="004A4906"/>
    <w:rsid w:val="004A6402"/>
    <w:rsid w:val="004B29A1"/>
    <w:rsid w:val="004C6079"/>
    <w:rsid w:val="004D20AD"/>
    <w:rsid w:val="004D29A8"/>
    <w:rsid w:val="004D56F7"/>
    <w:rsid w:val="004D66B2"/>
    <w:rsid w:val="004E73C6"/>
    <w:rsid w:val="004F022A"/>
    <w:rsid w:val="004F1AA7"/>
    <w:rsid w:val="004F24A3"/>
    <w:rsid w:val="004F7664"/>
    <w:rsid w:val="005048BA"/>
    <w:rsid w:val="005052B7"/>
    <w:rsid w:val="00510951"/>
    <w:rsid w:val="00517797"/>
    <w:rsid w:val="00524D5C"/>
    <w:rsid w:val="005312A0"/>
    <w:rsid w:val="0053467B"/>
    <w:rsid w:val="005408A4"/>
    <w:rsid w:val="00542307"/>
    <w:rsid w:val="005453D7"/>
    <w:rsid w:val="00553B89"/>
    <w:rsid w:val="005566DF"/>
    <w:rsid w:val="00576D17"/>
    <w:rsid w:val="0058711C"/>
    <w:rsid w:val="005932DA"/>
    <w:rsid w:val="0059358E"/>
    <w:rsid w:val="005B3A2C"/>
    <w:rsid w:val="005C3C4A"/>
    <w:rsid w:val="005C490B"/>
    <w:rsid w:val="005D2A81"/>
    <w:rsid w:val="005D5337"/>
    <w:rsid w:val="005D791E"/>
    <w:rsid w:val="005E12A2"/>
    <w:rsid w:val="005F2773"/>
    <w:rsid w:val="005F2F53"/>
    <w:rsid w:val="00612F06"/>
    <w:rsid w:val="0062156A"/>
    <w:rsid w:val="00624580"/>
    <w:rsid w:val="00635D7A"/>
    <w:rsid w:val="00642C0D"/>
    <w:rsid w:val="00651A93"/>
    <w:rsid w:val="00656BE2"/>
    <w:rsid w:val="00665ECF"/>
    <w:rsid w:val="00675C39"/>
    <w:rsid w:val="00675EB8"/>
    <w:rsid w:val="00676352"/>
    <w:rsid w:val="00693158"/>
    <w:rsid w:val="006A1913"/>
    <w:rsid w:val="006A6A9A"/>
    <w:rsid w:val="006B0D06"/>
    <w:rsid w:val="006B3AB9"/>
    <w:rsid w:val="006C68AE"/>
    <w:rsid w:val="006C7515"/>
    <w:rsid w:val="006D3416"/>
    <w:rsid w:val="006E55C4"/>
    <w:rsid w:val="006E768F"/>
    <w:rsid w:val="006F60FC"/>
    <w:rsid w:val="006F64D3"/>
    <w:rsid w:val="00716361"/>
    <w:rsid w:val="0071731E"/>
    <w:rsid w:val="00722A17"/>
    <w:rsid w:val="007268B2"/>
    <w:rsid w:val="00747800"/>
    <w:rsid w:val="00747ACD"/>
    <w:rsid w:val="007607B9"/>
    <w:rsid w:val="0076214E"/>
    <w:rsid w:val="00776DC2"/>
    <w:rsid w:val="00784CEF"/>
    <w:rsid w:val="00790750"/>
    <w:rsid w:val="007A6E25"/>
    <w:rsid w:val="007C081A"/>
    <w:rsid w:val="007D573C"/>
    <w:rsid w:val="007E2F94"/>
    <w:rsid w:val="007E4156"/>
    <w:rsid w:val="007E61F4"/>
    <w:rsid w:val="00820357"/>
    <w:rsid w:val="00820D65"/>
    <w:rsid w:val="00822E88"/>
    <w:rsid w:val="00826CD3"/>
    <w:rsid w:val="0084412C"/>
    <w:rsid w:val="00851CE7"/>
    <w:rsid w:val="00863193"/>
    <w:rsid w:val="008651DB"/>
    <w:rsid w:val="0086761B"/>
    <w:rsid w:val="00882A97"/>
    <w:rsid w:val="0089040C"/>
    <w:rsid w:val="00893998"/>
    <w:rsid w:val="008A20DD"/>
    <w:rsid w:val="008C11EE"/>
    <w:rsid w:val="008C201B"/>
    <w:rsid w:val="008D1E67"/>
    <w:rsid w:val="008D2B58"/>
    <w:rsid w:val="008E6571"/>
    <w:rsid w:val="008F033C"/>
    <w:rsid w:val="008F0871"/>
    <w:rsid w:val="008F4F2F"/>
    <w:rsid w:val="008F75E5"/>
    <w:rsid w:val="008F7B6B"/>
    <w:rsid w:val="00904ABB"/>
    <w:rsid w:val="00904F18"/>
    <w:rsid w:val="00910DF5"/>
    <w:rsid w:val="00911102"/>
    <w:rsid w:val="0091570D"/>
    <w:rsid w:val="009222BF"/>
    <w:rsid w:val="009233C7"/>
    <w:rsid w:val="00927A6B"/>
    <w:rsid w:val="0094046D"/>
    <w:rsid w:val="00943051"/>
    <w:rsid w:val="00950C2A"/>
    <w:rsid w:val="009534A8"/>
    <w:rsid w:val="00957B4D"/>
    <w:rsid w:val="00973947"/>
    <w:rsid w:val="00975B5A"/>
    <w:rsid w:val="00984315"/>
    <w:rsid w:val="009A35C9"/>
    <w:rsid w:val="009B0158"/>
    <w:rsid w:val="009B252D"/>
    <w:rsid w:val="009B35C1"/>
    <w:rsid w:val="009B46B5"/>
    <w:rsid w:val="009B555C"/>
    <w:rsid w:val="009B6125"/>
    <w:rsid w:val="009B6A5F"/>
    <w:rsid w:val="009B7EB5"/>
    <w:rsid w:val="009C4F30"/>
    <w:rsid w:val="009C7A80"/>
    <w:rsid w:val="009D1EF6"/>
    <w:rsid w:val="009E3608"/>
    <w:rsid w:val="009E45F8"/>
    <w:rsid w:val="009F150D"/>
    <w:rsid w:val="009F3FE7"/>
    <w:rsid w:val="009F7F95"/>
    <w:rsid w:val="00A06ACB"/>
    <w:rsid w:val="00A13211"/>
    <w:rsid w:val="00A17DED"/>
    <w:rsid w:val="00A2763C"/>
    <w:rsid w:val="00A3225D"/>
    <w:rsid w:val="00A34B84"/>
    <w:rsid w:val="00A361AB"/>
    <w:rsid w:val="00A373BF"/>
    <w:rsid w:val="00A42BA0"/>
    <w:rsid w:val="00A4468E"/>
    <w:rsid w:val="00A45845"/>
    <w:rsid w:val="00A500EE"/>
    <w:rsid w:val="00A5303B"/>
    <w:rsid w:val="00A55787"/>
    <w:rsid w:val="00A57A41"/>
    <w:rsid w:val="00A63393"/>
    <w:rsid w:val="00AB32E8"/>
    <w:rsid w:val="00AB4530"/>
    <w:rsid w:val="00AB5001"/>
    <w:rsid w:val="00AC5894"/>
    <w:rsid w:val="00AC7500"/>
    <w:rsid w:val="00AD0A8B"/>
    <w:rsid w:val="00AD242F"/>
    <w:rsid w:val="00AD3C34"/>
    <w:rsid w:val="00AD59AD"/>
    <w:rsid w:val="00AD6A24"/>
    <w:rsid w:val="00AE331B"/>
    <w:rsid w:val="00AE424D"/>
    <w:rsid w:val="00AF35A6"/>
    <w:rsid w:val="00B00E82"/>
    <w:rsid w:val="00B150CD"/>
    <w:rsid w:val="00B233DF"/>
    <w:rsid w:val="00B27B32"/>
    <w:rsid w:val="00B415E5"/>
    <w:rsid w:val="00B425BE"/>
    <w:rsid w:val="00B5333A"/>
    <w:rsid w:val="00B61119"/>
    <w:rsid w:val="00B67984"/>
    <w:rsid w:val="00B709C9"/>
    <w:rsid w:val="00B72511"/>
    <w:rsid w:val="00B8302B"/>
    <w:rsid w:val="00B863E5"/>
    <w:rsid w:val="00B901B0"/>
    <w:rsid w:val="00B92C75"/>
    <w:rsid w:val="00B949DF"/>
    <w:rsid w:val="00B9526B"/>
    <w:rsid w:val="00BA0252"/>
    <w:rsid w:val="00BC34E1"/>
    <w:rsid w:val="00BD0B89"/>
    <w:rsid w:val="00BD42C6"/>
    <w:rsid w:val="00BE0408"/>
    <w:rsid w:val="00BE3262"/>
    <w:rsid w:val="00BF29BF"/>
    <w:rsid w:val="00BF453E"/>
    <w:rsid w:val="00BF72AF"/>
    <w:rsid w:val="00C0229C"/>
    <w:rsid w:val="00C05A6A"/>
    <w:rsid w:val="00C20170"/>
    <w:rsid w:val="00C2122A"/>
    <w:rsid w:val="00C2245C"/>
    <w:rsid w:val="00C344C4"/>
    <w:rsid w:val="00C3612E"/>
    <w:rsid w:val="00C36A78"/>
    <w:rsid w:val="00C400D9"/>
    <w:rsid w:val="00C46341"/>
    <w:rsid w:val="00C464C6"/>
    <w:rsid w:val="00C47A12"/>
    <w:rsid w:val="00C60285"/>
    <w:rsid w:val="00C60D74"/>
    <w:rsid w:val="00C6732F"/>
    <w:rsid w:val="00C74E8A"/>
    <w:rsid w:val="00C76830"/>
    <w:rsid w:val="00C77AE7"/>
    <w:rsid w:val="00C8180A"/>
    <w:rsid w:val="00CA395D"/>
    <w:rsid w:val="00CB3472"/>
    <w:rsid w:val="00CC0109"/>
    <w:rsid w:val="00CC341A"/>
    <w:rsid w:val="00CD4296"/>
    <w:rsid w:val="00CD6760"/>
    <w:rsid w:val="00CD7077"/>
    <w:rsid w:val="00CE2FE5"/>
    <w:rsid w:val="00CF01D3"/>
    <w:rsid w:val="00CF1605"/>
    <w:rsid w:val="00CF5ACA"/>
    <w:rsid w:val="00CF7D73"/>
    <w:rsid w:val="00D05E57"/>
    <w:rsid w:val="00D204CA"/>
    <w:rsid w:val="00D22A25"/>
    <w:rsid w:val="00D3049D"/>
    <w:rsid w:val="00D304C2"/>
    <w:rsid w:val="00D32A7B"/>
    <w:rsid w:val="00D372BD"/>
    <w:rsid w:val="00D4596C"/>
    <w:rsid w:val="00D4713B"/>
    <w:rsid w:val="00D475F3"/>
    <w:rsid w:val="00D531BA"/>
    <w:rsid w:val="00D53DA9"/>
    <w:rsid w:val="00D67EB4"/>
    <w:rsid w:val="00D71D47"/>
    <w:rsid w:val="00D80001"/>
    <w:rsid w:val="00DA053C"/>
    <w:rsid w:val="00DA4C43"/>
    <w:rsid w:val="00DB4BA2"/>
    <w:rsid w:val="00DC4ED1"/>
    <w:rsid w:val="00DD045E"/>
    <w:rsid w:val="00DD0496"/>
    <w:rsid w:val="00DD2247"/>
    <w:rsid w:val="00DF6ED3"/>
    <w:rsid w:val="00E046A5"/>
    <w:rsid w:val="00E07A02"/>
    <w:rsid w:val="00E169C5"/>
    <w:rsid w:val="00E20306"/>
    <w:rsid w:val="00E20A37"/>
    <w:rsid w:val="00E21866"/>
    <w:rsid w:val="00E24B48"/>
    <w:rsid w:val="00E24BCE"/>
    <w:rsid w:val="00E3615A"/>
    <w:rsid w:val="00E43C8D"/>
    <w:rsid w:val="00E45862"/>
    <w:rsid w:val="00E56D52"/>
    <w:rsid w:val="00E63B3B"/>
    <w:rsid w:val="00E660C0"/>
    <w:rsid w:val="00E74A74"/>
    <w:rsid w:val="00E83269"/>
    <w:rsid w:val="00E95F7F"/>
    <w:rsid w:val="00EA1E73"/>
    <w:rsid w:val="00EA1F18"/>
    <w:rsid w:val="00EB517A"/>
    <w:rsid w:val="00EC0607"/>
    <w:rsid w:val="00EC2CD4"/>
    <w:rsid w:val="00EC443D"/>
    <w:rsid w:val="00EC6AB9"/>
    <w:rsid w:val="00ED18F3"/>
    <w:rsid w:val="00ED7C7D"/>
    <w:rsid w:val="00EE0182"/>
    <w:rsid w:val="00EE596C"/>
    <w:rsid w:val="00EF134C"/>
    <w:rsid w:val="00EF59F5"/>
    <w:rsid w:val="00F07DF2"/>
    <w:rsid w:val="00F1680F"/>
    <w:rsid w:val="00F2090A"/>
    <w:rsid w:val="00F27376"/>
    <w:rsid w:val="00F450A6"/>
    <w:rsid w:val="00F52F48"/>
    <w:rsid w:val="00F54CB0"/>
    <w:rsid w:val="00F57A00"/>
    <w:rsid w:val="00F57A66"/>
    <w:rsid w:val="00F72AE0"/>
    <w:rsid w:val="00F72DE6"/>
    <w:rsid w:val="00F837B0"/>
    <w:rsid w:val="00F92407"/>
    <w:rsid w:val="00FA159C"/>
    <w:rsid w:val="00FB1B1C"/>
    <w:rsid w:val="00FB4B70"/>
    <w:rsid w:val="00FC1D01"/>
    <w:rsid w:val="00FC54CB"/>
    <w:rsid w:val="00FD196E"/>
    <w:rsid w:val="00FD367F"/>
    <w:rsid w:val="00FD7405"/>
    <w:rsid w:val="00FE2213"/>
    <w:rsid w:val="00FE239E"/>
    <w:rsid w:val="00FE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6B"/>
    <w:pPr>
      <w:ind w:left="720"/>
      <w:contextualSpacing/>
    </w:pPr>
  </w:style>
  <w:style w:type="character" w:styleId="CommentReference">
    <w:name w:val="annotation reference"/>
    <w:basedOn w:val="DefaultParagraphFont"/>
    <w:uiPriority w:val="99"/>
    <w:semiHidden/>
    <w:unhideWhenUsed/>
    <w:rsid w:val="00E63B3B"/>
    <w:rPr>
      <w:sz w:val="16"/>
      <w:szCs w:val="16"/>
    </w:rPr>
  </w:style>
  <w:style w:type="paragraph" w:styleId="CommentText">
    <w:name w:val="annotation text"/>
    <w:basedOn w:val="Normal"/>
    <w:link w:val="CommentTextChar"/>
    <w:uiPriority w:val="99"/>
    <w:semiHidden/>
    <w:unhideWhenUsed/>
    <w:rsid w:val="00E63B3B"/>
    <w:pPr>
      <w:spacing w:line="240" w:lineRule="auto"/>
    </w:pPr>
    <w:rPr>
      <w:sz w:val="20"/>
      <w:szCs w:val="20"/>
    </w:rPr>
  </w:style>
  <w:style w:type="character" w:customStyle="1" w:styleId="CommentTextChar">
    <w:name w:val="Comment Text Char"/>
    <w:basedOn w:val="DefaultParagraphFont"/>
    <w:link w:val="CommentText"/>
    <w:uiPriority w:val="99"/>
    <w:semiHidden/>
    <w:rsid w:val="00E63B3B"/>
    <w:rPr>
      <w:sz w:val="20"/>
      <w:szCs w:val="20"/>
    </w:rPr>
  </w:style>
  <w:style w:type="paragraph" w:styleId="CommentSubject">
    <w:name w:val="annotation subject"/>
    <w:basedOn w:val="CommentText"/>
    <w:next w:val="CommentText"/>
    <w:link w:val="CommentSubjectChar"/>
    <w:uiPriority w:val="99"/>
    <w:semiHidden/>
    <w:unhideWhenUsed/>
    <w:rsid w:val="00E63B3B"/>
    <w:rPr>
      <w:b/>
      <w:bCs/>
    </w:rPr>
  </w:style>
  <w:style w:type="character" w:customStyle="1" w:styleId="CommentSubjectChar">
    <w:name w:val="Comment Subject Char"/>
    <w:basedOn w:val="CommentTextChar"/>
    <w:link w:val="CommentSubject"/>
    <w:uiPriority w:val="99"/>
    <w:semiHidden/>
    <w:rsid w:val="00E63B3B"/>
    <w:rPr>
      <w:b/>
      <w:bCs/>
      <w:sz w:val="20"/>
      <w:szCs w:val="20"/>
    </w:rPr>
  </w:style>
  <w:style w:type="paragraph" w:styleId="Revision">
    <w:name w:val="Revision"/>
    <w:hidden/>
    <w:uiPriority w:val="99"/>
    <w:semiHidden/>
    <w:rsid w:val="00E63B3B"/>
    <w:pPr>
      <w:spacing w:after="0" w:line="240" w:lineRule="auto"/>
    </w:pPr>
  </w:style>
  <w:style w:type="paragraph" w:styleId="BalloonText">
    <w:name w:val="Balloon Text"/>
    <w:basedOn w:val="Normal"/>
    <w:link w:val="BalloonTextChar"/>
    <w:uiPriority w:val="99"/>
    <w:semiHidden/>
    <w:unhideWhenUsed/>
    <w:rsid w:val="00E6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3B"/>
    <w:rPr>
      <w:rFonts w:ascii="Tahoma" w:hAnsi="Tahoma" w:cs="Tahoma"/>
      <w:sz w:val="16"/>
      <w:szCs w:val="16"/>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1"/>
    <w:uiPriority w:val="99"/>
    <w:rsid w:val="00E63B3B"/>
    <w:pPr>
      <w:spacing w:after="120" w:line="240" w:lineRule="auto"/>
    </w:pPr>
    <w:rPr>
      <w:rFonts w:ascii="Garamond" w:eastAsia="Times New Roman" w:hAnsi="Garamond" w:cs="Times New Roman"/>
      <w:sz w:val="20"/>
      <w:szCs w:val="20"/>
    </w:rPr>
  </w:style>
  <w:style w:type="character" w:customStyle="1" w:styleId="FootnoteTextChar">
    <w:name w:val="Footnote Text Char"/>
    <w:basedOn w:val="DefaultParagraphFont"/>
    <w:uiPriority w:val="99"/>
    <w:semiHidden/>
    <w:rsid w:val="00E63B3B"/>
    <w:rPr>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E63B3B"/>
    <w:rPr>
      <w:rFonts w:ascii="Times New Roman" w:hAnsi="Times New Roman"/>
      <w:dstrike w:val="0"/>
      <w:color w:val="auto"/>
      <w:sz w:val="20"/>
      <w:vertAlign w:val="superscript"/>
    </w:rPr>
  </w:style>
  <w:style w:type="character" w:customStyle="1" w:styleId="FootnoteTextChar1">
    <w:name w:val="Footnote Text Char1"/>
    <w:aliases w:val="Footnote Text Char Char Char,Footnote Text Char2 Char Char Char,Footnote Text Char3 Char1 Char Char Char,Footnote Text Char2 Char1 Char1 Char Char Char,Footnote Text Char3 Char1 Char Char Char Char Char,Footnote Text Char2 Char"/>
    <w:link w:val="FootnoteText"/>
    <w:uiPriority w:val="99"/>
    <w:locked/>
    <w:rsid w:val="00E63B3B"/>
    <w:rPr>
      <w:rFonts w:ascii="Garamond" w:eastAsia="Times New Roman" w:hAnsi="Garamond" w:cs="Times New Roman"/>
      <w:sz w:val="20"/>
      <w:szCs w:val="20"/>
    </w:rPr>
  </w:style>
  <w:style w:type="paragraph" w:styleId="Header">
    <w:name w:val="header"/>
    <w:basedOn w:val="Normal"/>
    <w:link w:val="HeaderChar"/>
    <w:uiPriority w:val="99"/>
    <w:unhideWhenUsed/>
    <w:rsid w:val="0041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14"/>
  </w:style>
  <w:style w:type="paragraph" w:styleId="Footer">
    <w:name w:val="footer"/>
    <w:basedOn w:val="Normal"/>
    <w:link w:val="FooterChar"/>
    <w:uiPriority w:val="99"/>
    <w:unhideWhenUsed/>
    <w:rsid w:val="0041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14"/>
  </w:style>
  <w:style w:type="character" w:styleId="Hyperlink">
    <w:name w:val="Hyperlink"/>
    <w:basedOn w:val="DefaultParagraphFont"/>
    <w:uiPriority w:val="99"/>
    <w:unhideWhenUsed/>
    <w:rsid w:val="00C344C4"/>
    <w:rPr>
      <w:color w:val="0000FF" w:themeColor="hyperlink"/>
      <w:u w:val="single"/>
    </w:rPr>
  </w:style>
  <w:style w:type="character" w:styleId="FollowedHyperlink">
    <w:name w:val="FollowedHyperlink"/>
    <w:basedOn w:val="DefaultParagraphFont"/>
    <w:uiPriority w:val="99"/>
    <w:semiHidden/>
    <w:unhideWhenUsed/>
    <w:rsid w:val="009E3608"/>
    <w:rPr>
      <w:color w:val="800080" w:themeColor="followedHyperlink"/>
      <w:u w:val="single"/>
    </w:rPr>
  </w:style>
  <w:style w:type="paragraph" w:customStyle="1" w:styleId="ParaNum">
    <w:name w:val="ParaNum"/>
    <w:basedOn w:val="Normal"/>
    <w:link w:val="ParaNumCharChar1"/>
    <w:rsid w:val="00CD4296"/>
    <w:pPr>
      <w:widowControl w:val="0"/>
      <w:numPr>
        <w:numId w:val="11"/>
      </w:numPr>
      <w:spacing w:after="120" w:line="240" w:lineRule="auto"/>
    </w:pPr>
    <w:rPr>
      <w:rFonts w:ascii="Times New Roman" w:eastAsia="Times New Roman" w:hAnsi="Times New Roman" w:cs="Times New Roman"/>
      <w:snapToGrid w:val="0"/>
      <w:kern w:val="28"/>
      <w:szCs w:val="20"/>
    </w:rPr>
  </w:style>
  <w:style w:type="character" w:customStyle="1" w:styleId="ParaNumCharChar1">
    <w:name w:val="ParaNum Char Char1"/>
    <w:link w:val="ParaNum"/>
    <w:locked/>
    <w:rsid w:val="00CD4296"/>
    <w:rPr>
      <w:rFonts w:ascii="Times New Roman" w:eastAsia="Times New Roman" w:hAnsi="Times New Roman" w:cs="Times New Roman"/>
      <w:snapToGrid w:val="0"/>
      <w:kern w:val="28"/>
      <w:szCs w:val="20"/>
    </w:rPr>
  </w:style>
  <w:style w:type="paragraph" w:customStyle="1" w:styleId="Default">
    <w:name w:val="Default"/>
    <w:rsid w:val="00322F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6B"/>
    <w:pPr>
      <w:ind w:left="720"/>
      <w:contextualSpacing/>
    </w:pPr>
  </w:style>
  <w:style w:type="character" w:styleId="CommentReference">
    <w:name w:val="annotation reference"/>
    <w:basedOn w:val="DefaultParagraphFont"/>
    <w:uiPriority w:val="99"/>
    <w:semiHidden/>
    <w:unhideWhenUsed/>
    <w:rsid w:val="00E63B3B"/>
    <w:rPr>
      <w:sz w:val="16"/>
      <w:szCs w:val="16"/>
    </w:rPr>
  </w:style>
  <w:style w:type="paragraph" w:styleId="CommentText">
    <w:name w:val="annotation text"/>
    <w:basedOn w:val="Normal"/>
    <w:link w:val="CommentTextChar"/>
    <w:uiPriority w:val="99"/>
    <w:semiHidden/>
    <w:unhideWhenUsed/>
    <w:rsid w:val="00E63B3B"/>
    <w:pPr>
      <w:spacing w:line="240" w:lineRule="auto"/>
    </w:pPr>
    <w:rPr>
      <w:sz w:val="20"/>
      <w:szCs w:val="20"/>
    </w:rPr>
  </w:style>
  <w:style w:type="character" w:customStyle="1" w:styleId="CommentTextChar">
    <w:name w:val="Comment Text Char"/>
    <w:basedOn w:val="DefaultParagraphFont"/>
    <w:link w:val="CommentText"/>
    <w:uiPriority w:val="99"/>
    <w:semiHidden/>
    <w:rsid w:val="00E63B3B"/>
    <w:rPr>
      <w:sz w:val="20"/>
      <w:szCs w:val="20"/>
    </w:rPr>
  </w:style>
  <w:style w:type="paragraph" w:styleId="CommentSubject">
    <w:name w:val="annotation subject"/>
    <w:basedOn w:val="CommentText"/>
    <w:next w:val="CommentText"/>
    <w:link w:val="CommentSubjectChar"/>
    <w:uiPriority w:val="99"/>
    <w:semiHidden/>
    <w:unhideWhenUsed/>
    <w:rsid w:val="00E63B3B"/>
    <w:rPr>
      <w:b/>
      <w:bCs/>
    </w:rPr>
  </w:style>
  <w:style w:type="character" w:customStyle="1" w:styleId="CommentSubjectChar">
    <w:name w:val="Comment Subject Char"/>
    <w:basedOn w:val="CommentTextChar"/>
    <w:link w:val="CommentSubject"/>
    <w:uiPriority w:val="99"/>
    <w:semiHidden/>
    <w:rsid w:val="00E63B3B"/>
    <w:rPr>
      <w:b/>
      <w:bCs/>
      <w:sz w:val="20"/>
      <w:szCs w:val="20"/>
    </w:rPr>
  </w:style>
  <w:style w:type="paragraph" w:styleId="Revision">
    <w:name w:val="Revision"/>
    <w:hidden/>
    <w:uiPriority w:val="99"/>
    <w:semiHidden/>
    <w:rsid w:val="00E63B3B"/>
    <w:pPr>
      <w:spacing w:after="0" w:line="240" w:lineRule="auto"/>
    </w:pPr>
  </w:style>
  <w:style w:type="paragraph" w:styleId="BalloonText">
    <w:name w:val="Balloon Text"/>
    <w:basedOn w:val="Normal"/>
    <w:link w:val="BalloonTextChar"/>
    <w:uiPriority w:val="99"/>
    <w:semiHidden/>
    <w:unhideWhenUsed/>
    <w:rsid w:val="00E6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3B"/>
    <w:rPr>
      <w:rFonts w:ascii="Tahoma" w:hAnsi="Tahoma" w:cs="Tahoma"/>
      <w:sz w:val="16"/>
      <w:szCs w:val="16"/>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1"/>
    <w:uiPriority w:val="99"/>
    <w:rsid w:val="00E63B3B"/>
    <w:pPr>
      <w:spacing w:after="120" w:line="240" w:lineRule="auto"/>
    </w:pPr>
    <w:rPr>
      <w:rFonts w:ascii="Garamond" w:eastAsia="Times New Roman" w:hAnsi="Garamond" w:cs="Times New Roman"/>
      <w:sz w:val="20"/>
      <w:szCs w:val="20"/>
    </w:rPr>
  </w:style>
  <w:style w:type="character" w:customStyle="1" w:styleId="FootnoteTextChar">
    <w:name w:val="Footnote Text Char"/>
    <w:basedOn w:val="DefaultParagraphFont"/>
    <w:uiPriority w:val="99"/>
    <w:semiHidden/>
    <w:rsid w:val="00E63B3B"/>
    <w:rPr>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E63B3B"/>
    <w:rPr>
      <w:rFonts w:ascii="Times New Roman" w:hAnsi="Times New Roman"/>
      <w:dstrike w:val="0"/>
      <w:color w:val="auto"/>
      <w:sz w:val="20"/>
      <w:vertAlign w:val="superscript"/>
    </w:rPr>
  </w:style>
  <w:style w:type="character" w:customStyle="1" w:styleId="FootnoteTextChar1">
    <w:name w:val="Footnote Text Char1"/>
    <w:aliases w:val="Footnote Text Char Char Char,Footnote Text Char2 Char Char Char,Footnote Text Char3 Char1 Char Char Char,Footnote Text Char2 Char1 Char1 Char Char Char,Footnote Text Char3 Char1 Char Char Char Char Char,Footnote Text Char2 Char"/>
    <w:link w:val="FootnoteText"/>
    <w:uiPriority w:val="99"/>
    <w:locked/>
    <w:rsid w:val="00E63B3B"/>
    <w:rPr>
      <w:rFonts w:ascii="Garamond" w:eastAsia="Times New Roman" w:hAnsi="Garamond" w:cs="Times New Roman"/>
      <w:sz w:val="20"/>
      <w:szCs w:val="20"/>
    </w:rPr>
  </w:style>
  <w:style w:type="paragraph" w:styleId="Header">
    <w:name w:val="header"/>
    <w:basedOn w:val="Normal"/>
    <w:link w:val="HeaderChar"/>
    <w:uiPriority w:val="99"/>
    <w:unhideWhenUsed/>
    <w:rsid w:val="0041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14"/>
  </w:style>
  <w:style w:type="paragraph" w:styleId="Footer">
    <w:name w:val="footer"/>
    <w:basedOn w:val="Normal"/>
    <w:link w:val="FooterChar"/>
    <w:uiPriority w:val="99"/>
    <w:unhideWhenUsed/>
    <w:rsid w:val="0041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14"/>
  </w:style>
  <w:style w:type="character" w:styleId="Hyperlink">
    <w:name w:val="Hyperlink"/>
    <w:basedOn w:val="DefaultParagraphFont"/>
    <w:uiPriority w:val="99"/>
    <w:unhideWhenUsed/>
    <w:rsid w:val="00C344C4"/>
    <w:rPr>
      <w:color w:val="0000FF" w:themeColor="hyperlink"/>
      <w:u w:val="single"/>
    </w:rPr>
  </w:style>
  <w:style w:type="character" w:styleId="FollowedHyperlink">
    <w:name w:val="FollowedHyperlink"/>
    <w:basedOn w:val="DefaultParagraphFont"/>
    <w:uiPriority w:val="99"/>
    <w:semiHidden/>
    <w:unhideWhenUsed/>
    <w:rsid w:val="009E3608"/>
    <w:rPr>
      <w:color w:val="800080" w:themeColor="followedHyperlink"/>
      <w:u w:val="single"/>
    </w:rPr>
  </w:style>
  <w:style w:type="paragraph" w:customStyle="1" w:styleId="ParaNum">
    <w:name w:val="ParaNum"/>
    <w:basedOn w:val="Normal"/>
    <w:link w:val="ParaNumCharChar1"/>
    <w:rsid w:val="00CD4296"/>
    <w:pPr>
      <w:widowControl w:val="0"/>
      <w:numPr>
        <w:numId w:val="11"/>
      </w:numPr>
      <w:spacing w:after="120" w:line="240" w:lineRule="auto"/>
    </w:pPr>
    <w:rPr>
      <w:rFonts w:ascii="Times New Roman" w:eastAsia="Times New Roman" w:hAnsi="Times New Roman" w:cs="Times New Roman"/>
      <w:snapToGrid w:val="0"/>
      <w:kern w:val="28"/>
      <w:szCs w:val="20"/>
    </w:rPr>
  </w:style>
  <w:style w:type="character" w:customStyle="1" w:styleId="ParaNumCharChar1">
    <w:name w:val="ParaNum Char Char1"/>
    <w:link w:val="ParaNum"/>
    <w:locked/>
    <w:rsid w:val="00CD4296"/>
    <w:rPr>
      <w:rFonts w:ascii="Times New Roman" w:eastAsia="Times New Roman" w:hAnsi="Times New Roman" w:cs="Times New Roman"/>
      <w:snapToGrid w:val="0"/>
      <w:kern w:val="28"/>
      <w:szCs w:val="20"/>
    </w:rPr>
  </w:style>
  <w:style w:type="paragraph" w:customStyle="1" w:styleId="Default">
    <w:name w:val="Default"/>
    <w:rsid w:val="00322F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8137">
      <w:bodyDiv w:val="1"/>
      <w:marLeft w:val="0"/>
      <w:marRight w:val="0"/>
      <w:marTop w:val="0"/>
      <w:marBottom w:val="0"/>
      <w:divBdr>
        <w:top w:val="none" w:sz="0" w:space="0" w:color="auto"/>
        <w:left w:val="none" w:sz="0" w:space="0" w:color="auto"/>
        <w:bottom w:val="none" w:sz="0" w:space="0" w:color="auto"/>
        <w:right w:val="none" w:sz="0" w:space="0" w:color="auto"/>
      </w:divBdr>
    </w:div>
    <w:div w:id="4153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6-54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6648</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2016-10-07T12:54:00Z</cp:lastPrinted>
  <dcterms:created xsi:type="dcterms:W3CDTF">2016-10-07T15:01:00Z</dcterms:created>
  <dcterms:modified xsi:type="dcterms:W3CDTF">2016-10-07T15:01:00Z</dcterms:modified>
  <cp:category> </cp:category>
  <cp:contentStatus> </cp:contentStatus>
</cp:coreProperties>
</file>