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Pr="00CB3B2E" w:rsidRDefault="00D25E7E" w:rsidP="008D68BD">
      <w:pPr>
        <w:pStyle w:val="TOAHeading"/>
        <w:spacing w:line="240" w:lineRule="auto"/>
        <w:rPr>
          <w:rFonts w:ascii="Times New Roman" w:hAnsi="Times New Roman"/>
          <w:sz w:val="22"/>
          <w:szCs w:val="22"/>
        </w:rPr>
      </w:pPr>
      <w:bookmarkStart w:id="0" w:name="_GoBack"/>
      <w:bookmarkEnd w:id="0"/>
      <w:r>
        <w:rPr>
          <w:rFonts w:ascii="Times New Roman" w:hAnsi="Times New Roman"/>
        </w:rPr>
        <w:tab/>
      </w:r>
    </w:p>
    <w:p w:rsidR="004B34F4" w:rsidRPr="00CB3B2E" w:rsidRDefault="00F17428" w:rsidP="008D68BD">
      <w:pPr>
        <w:pStyle w:val="TOAHeading"/>
        <w:spacing w:line="240" w:lineRule="auto"/>
        <w:rPr>
          <w:sz w:val="22"/>
          <w:szCs w:val="22"/>
        </w:rPr>
      </w:pPr>
      <w:r w:rsidRPr="00CB3B2E">
        <w:rPr>
          <w:rFonts w:ascii="Times New Roman" w:hAnsi="Times New Roman"/>
          <w:sz w:val="22"/>
          <w:szCs w:val="22"/>
        </w:rPr>
        <w:tab/>
      </w:r>
      <w:r w:rsidR="00037A4D" w:rsidRPr="00CB3B2E">
        <w:rPr>
          <w:rFonts w:ascii="Times New Roman" w:hAnsi="Times New Roman"/>
          <w:sz w:val="22"/>
          <w:szCs w:val="22"/>
        </w:rPr>
        <w:t>December 14</w:t>
      </w:r>
      <w:r w:rsidR="008D68BD" w:rsidRPr="00CB3B2E">
        <w:rPr>
          <w:rFonts w:ascii="Times New Roman" w:hAnsi="Times New Roman"/>
          <w:sz w:val="22"/>
          <w:szCs w:val="22"/>
        </w:rPr>
        <w:t>, 2016</w:t>
      </w:r>
    </w:p>
    <w:p w:rsidR="00D25E7E" w:rsidRPr="00CB3B2E" w:rsidRDefault="00D25E7E" w:rsidP="00D25E7E">
      <w:pPr>
        <w:tabs>
          <w:tab w:val="left" w:pos="-720"/>
        </w:tabs>
        <w:suppressAutoHyphens/>
        <w:rPr>
          <w:rFonts w:ascii="Times New Roman" w:hAnsi="Times New Roman"/>
          <w:sz w:val="22"/>
          <w:szCs w:val="22"/>
        </w:rPr>
      </w:pPr>
    </w:p>
    <w:p w:rsidR="00D21140" w:rsidRPr="00CB3B2E" w:rsidRDefault="00826E2D" w:rsidP="00826E2D">
      <w:pPr>
        <w:pStyle w:val="NewHeading"/>
        <w:tabs>
          <w:tab w:val="clear" w:pos="4680"/>
        </w:tabs>
        <w:spacing w:line="240" w:lineRule="auto"/>
        <w:rPr>
          <w:rFonts w:ascii="Times New Roman" w:hAnsi="Times New Roman"/>
          <w:sz w:val="22"/>
          <w:szCs w:val="22"/>
        </w:rPr>
      </w:pPr>
      <w:r w:rsidRPr="00CB3B2E">
        <w:rPr>
          <w:rFonts w:ascii="Times New Roman" w:hAnsi="Times New Roman"/>
          <w:sz w:val="22"/>
          <w:szCs w:val="22"/>
        </w:rPr>
        <w:t xml:space="preserve">DELETION OF </w:t>
      </w:r>
      <w:r w:rsidR="00C10CFE" w:rsidRPr="00CB3B2E">
        <w:rPr>
          <w:rFonts w:ascii="Times New Roman" w:hAnsi="Times New Roman"/>
          <w:sz w:val="22"/>
          <w:szCs w:val="22"/>
        </w:rPr>
        <w:t xml:space="preserve">AGENDA AND </w:t>
      </w:r>
      <w:r w:rsidR="00C56A46" w:rsidRPr="00CB3B2E">
        <w:rPr>
          <w:rFonts w:ascii="Times New Roman" w:hAnsi="Times New Roman"/>
          <w:sz w:val="22"/>
          <w:szCs w:val="22"/>
        </w:rPr>
        <w:t>CONSENT</w:t>
      </w:r>
      <w:r w:rsidR="008F1A1A" w:rsidRPr="00CB3B2E">
        <w:rPr>
          <w:rFonts w:ascii="Times New Roman" w:hAnsi="Times New Roman"/>
          <w:sz w:val="22"/>
          <w:szCs w:val="22"/>
        </w:rPr>
        <w:t xml:space="preserve"> </w:t>
      </w:r>
      <w:r w:rsidRPr="00CB3B2E">
        <w:rPr>
          <w:rFonts w:ascii="Times New Roman" w:hAnsi="Times New Roman"/>
          <w:sz w:val="22"/>
          <w:szCs w:val="22"/>
        </w:rPr>
        <w:t>AGENDA</w:t>
      </w:r>
      <w:r w:rsidR="00B41BC1" w:rsidRPr="00CB3B2E">
        <w:rPr>
          <w:rFonts w:ascii="Times New Roman" w:hAnsi="Times New Roman"/>
          <w:sz w:val="22"/>
          <w:szCs w:val="22"/>
        </w:rPr>
        <w:t xml:space="preserve"> ITEMS</w:t>
      </w:r>
      <w:r w:rsidR="00675D71" w:rsidRPr="00CB3B2E">
        <w:rPr>
          <w:rFonts w:ascii="Times New Roman" w:hAnsi="Times New Roman"/>
          <w:sz w:val="22"/>
          <w:szCs w:val="22"/>
        </w:rPr>
        <w:t xml:space="preserve"> </w:t>
      </w:r>
      <w:r w:rsidR="00A97A3A" w:rsidRPr="00CB3B2E">
        <w:rPr>
          <w:rFonts w:ascii="Times New Roman" w:hAnsi="Times New Roman"/>
          <w:sz w:val="22"/>
          <w:szCs w:val="22"/>
        </w:rPr>
        <w:t xml:space="preserve">FROM </w:t>
      </w:r>
    </w:p>
    <w:p w:rsidR="00826E2D" w:rsidRPr="00CB3B2E" w:rsidRDefault="00037A4D" w:rsidP="00826E2D">
      <w:pPr>
        <w:pStyle w:val="NewHeading"/>
        <w:tabs>
          <w:tab w:val="clear" w:pos="4680"/>
        </w:tabs>
        <w:spacing w:line="240" w:lineRule="auto"/>
        <w:rPr>
          <w:rFonts w:ascii="Times New Roman" w:hAnsi="Times New Roman"/>
          <w:sz w:val="22"/>
          <w:szCs w:val="22"/>
        </w:rPr>
      </w:pPr>
      <w:r w:rsidRPr="00CB3B2E">
        <w:rPr>
          <w:rFonts w:ascii="Times New Roman" w:hAnsi="Times New Roman"/>
          <w:sz w:val="22"/>
          <w:szCs w:val="22"/>
        </w:rPr>
        <w:t>DECEMBER 15</w:t>
      </w:r>
      <w:r w:rsidR="00826E2D" w:rsidRPr="00CB3B2E">
        <w:rPr>
          <w:rFonts w:ascii="Times New Roman" w:hAnsi="Times New Roman"/>
          <w:sz w:val="22"/>
          <w:szCs w:val="22"/>
        </w:rPr>
        <w:t>, 2016 OPEN MEETING</w:t>
      </w:r>
    </w:p>
    <w:p w:rsidR="00D25E7E" w:rsidRPr="00CB3B2E" w:rsidRDefault="00D25E7E" w:rsidP="004E3901">
      <w:pPr>
        <w:pStyle w:val="BodyText"/>
        <w:tabs>
          <w:tab w:val="clear" w:pos="-720"/>
        </w:tabs>
        <w:spacing w:line="240" w:lineRule="auto"/>
        <w:rPr>
          <w:sz w:val="22"/>
          <w:szCs w:val="22"/>
        </w:rPr>
      </w:pPr>
    </w:p>
    <w:p w:rsidR="00C10CFE" w:rsidRPr="00CB3B2E" w:rsidRDefault="00826E2D" w:rsidP="000B6302">
      <w:pPr>
        <w:pStyle w:val="BodyText"/>
        <w:tabs>
          <w:tab w:val="clear" w:pos="-720"/>
        </w:tabs>
        <w:spacing w:line="240" w:lineRule="auto"/>
        <w:jc w:val="left"/>
        <w:rPr>
          <w:sz w:val="22"/>
          <w:szCs w:val="22"/>
        </w:rPr>
      </w:pPr>
      <w:r w:rsidRPr="00CB3B2E">
        <w:rPr>
          <w:sz w:val="22"/>
          <w:szCs w:val="22"/>
        </w:rPr>
        <w:t xml:space="preserve">The following </w:t>
      </w:r>
      <w:r w:rsidR="00C10CFE" w:rsidRPr="00CB3B2E">
        <w:rPr>
          <w:sz w:val="22"/>
          <w:szCs w:val="22"/>
        </w:rPr>
        <w:t>Agenda item</w:t>
      </w:r>
      <w:r w:rsidR="00037A4D" w:rsidRPr="00CB3B2E">
        <w:rPr>
          <w:sz w:val="22"/>
          <w:szCs w:val="22"/>
        </w:rPr>
        <w:t>s</w:t>
      </w:r>
      <w:r w:rsidR="00C10CFE" w:rsidRPr="00CB3B2E">
        <w:rPr>
          <w:sz w:val="22"/>
          <w:szCs w:val="22"/>
        </w:rPr>
        <w:t xml:space="preserve"> ha</w:t>
      </w:r>
      <w:r w:rsidR="00037A4D" w:rsidRPr="00CB3B2E">
        <w:rPr>
          <w:sz w:val="22"/>
          <w:szCs w:val="22"/>
        </w:rPr>
        <w:t>ve</w:t>
      </w:r>
      <w:r w:rsidR="00C10CFE" w:rsidRPr="00CB3B2E">
        <w:rPr>
          <w:sz w:val="22"/>
          <w:szCs w:val="22"/>
        </w:rPr>
        <w:t xml:space="preserve"> been deleted from the list of items scheduled for consideration at </w:t>
      </w:r>
      <w:r w:rsidR="00CB3B2E" w:rsidRPr="00CB3B2E">
        <w:rPr>
          <w:sz w:val="22"/>
          <w:szCs w:val="22"/>
        </w:rPr>
        <w:t xml:space="preserve">the </w:t>
      </w:r>
      <w:r w:rsidR="00C10CFE" w:rsidRPr="00CB3B2E">
        <w:rPr>
          <w:sz w:val="22"/>
          <w:szCs w:val="22"/>
        </w:rPr>
        <w:t xml:space="preserve">Thursday, </w:t>
      </w:r>
      <w:r w:rsidR="00037A4D" w:rsidRPr="00CB3B2E">
        <w:rPr>
          <w:sz w:val="22"/>
          <w:szCs w:val="22"/>
        </w:rPr>
        <w:t>December 15</w:t>
      </w:r>
      <w:r w:rsidR="00C10CFE" w:rsidRPr="00CB3B2E">
        <w:rPr>
          <w:sz w:val="22"/>
          <w:szCs w:val="22"/>
        </w:rPr>
        <w:t xml:space="preserve">, 2016, Open Meeting and previously listed in the Commission’s Notice of </w:t>
      </w:r>
      <w:r w:rsidR="00037A4D" w:rsidRPr="00CB3B2E">
        <w:rPr>
          <w:sz w:val="22"/>
          <w:szCs w:val="22"/>
        </w:rPr>
        <w:t>December 8</w:t>
      </w:r>
      <w:r w:rsidR="00C10CFE" w:rsidRPr="00CB3B2E">
        <w:rPr>
          <w:sz w:val="22"/>
          <w:szCs w:val="22"/>
        </w:rPr>
        <w:t xml:space="preserve">, 2016.  </w:t>
      </w:r>
      <w:r w:rsidR="00CB3B2E" w:rsidRPr="00CB3B2E">
        <w:rPr>
          <w:b/>
          <w:sz w:val="22"/>
          <w:szCs w:val="22"/>
        </w:rPr>
        <w:t>Items 3, 4, 5 and 6 have been adopted by the Commission</w:t>
      </w:r>
      <w:r w:rsidR="00CB3B2E" w:rsidRPr="00CB3B2E">
        <w:rPr>
          <w:sz w:val="22"/>
          <w:szCs w:val="22"/>
        </w:rPr>
        <w:t>.</w:t>
      </w:r>
    </w:p>
    <w:p w:rsidR="00C10CFE" w:rsidRPr="00CB3B2E" w:rsidRDefault="00C10CFE" w:rsidP="000B6302">
      <w:pPr>
        <w:pStyle w:val="BodyText"/>
        <w:tabs>
          <w:tab w:val="clear" w:pos="-720"/>
        </w:tabs>
        <w:spacing w:line="240" w:lineRule="auto"/>
        <w:jc w:val="left"/>
        <w:rPr>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037A4D" w:rsidRPr="00CB3B2E" w:rsidTr="008271E1">
        <w:tc>
          <w:tcPr>
            <w:tcW w:w="1440" w:type="dxa"/>
          </w:tcPr>
          <w:p w:rsidR="00037A4D" w:rsidRPr="00CB3B2E" w:rsidRDefault="00037A4D" w:rsidP="00037A4D">
            <w:pPr>
              <w:tabs>
                <w:tab w:val="left" w:pos="-720"/>
              </w:tabs>
              <w:suppressAutoHyphens/>
              <w:spacing w:before="90" w:after="54"/>
              <w:jc w:val="center"/>
              <w:rPr>
                <w:rFonts w:ascii="Times New Roman" w:hAnsi="Times New Roman"/>
                <w:b/>
                <w:sz w:val="22"/>
                <w:szCs w:val="22"/>
              </w:rPr>
            </w:pPr>
            <w:r w:rsidRPr="00CB3B2E">
              <w:rPr>
                <w:rFonts w:ascii="Times New Roman" w:hAnsi="Times New Roman"/>
                <w:b/>
                <w:sz w:val="22"/>
                <w:szCs w:val="22"/>
              </w:rPr>
              <w:t>2</w:t>
            </w:r>
          </w:p>
        </w:tc>
        <w:tc>
          <w:tcPr>
            <w:tcW w:w="2880" w:type="dxa"/>
          </w:tcPr>
          <w:p w:rsidR="00037A4D" w:rsidRPr="00CB3B2E" w:rsidRDefault="00037A4D" w:rsidP="00037A4D">
            <w:pPr>
              <w:widowControl/>
              <w:tabs>
                <w:tab w:val="left" w:pos="-720"/>
              </w:tabs>
              <w:suppressAutoHyphens/>
              <w:autoSpaceDE/>
              <w:autoSpaceDN/>
              <w:adjustRightInd/>
              <w:spacing w:before="90" w:after="54"/>
              <w:jc w:val="center"/>
              <w:rPr>
                <w:rFonts w:ascii="Times New Roman" w:hAnsi="Times New Roman"/>
                <w:b/>
                <w:sz w:val="22"/>
                <w:szCs w:val="22"/>
              </w:rPr>
            </w:pPr>
            <w:r w:rsidRPr="00CB3B2E">
              <w:rPr>
                <w:rFonts w:ascii="Times New Roman" w:hAnsi="Times New Roman"/>
                <w:b/>
                <w:sz w:val="22"/>
                <w:szCs w:val="22"/>
              </w:rPr>
              <w:t>PUBLIC SAFETY &amp; HOMELAND SECURITY</w:t>
            </w:r>
          </w:p>
        </w:tc>
        <w:tc>
          <w:tcPr>
            <w:tcW w:w="5220" w:type="dxa"/>
          </w:tcPr>
          <w:p w:rsidR="00037A4D" w:rsidRPr="00CB3B2E" w:rsidRDefault="00037A4D" w:rsidP="00037A4D">
            <w:pPr>
              <w:widowControl/>
              <w:tabs>
                <w:tab w:val="left" w:pos="-720"/>
              </w:tabs>
              <w:suppressAutoHyphens/>
              <w:autoSpaceDE/>
              <w:adjustRightInd/>
              <w:spacing w:before="90" w:after="54"/>
              <w:rPr>
                <w:rFonts w:ascii="Times New Roman" w:hAnsi="Times New Roman"/>
                <w:sz w:val="22"/>
                <w:szCs w:val="22"/>
              </w:rPr>
            </w:pPr>
            <w:r w:rsidRPr="00CB3B2E">
              <w:rPr>
                <w:rFonts w:ascii="Times New Roman" w:hAnsi="Times New Roman"/>
                <w:b/>
                <w:sz w:val="22"/>
                <w:szCs w:val="22"/>
              </w:rPr>
              <w:t xml:space="preserve">TITLE:  </w:t>
            </w:r>
            <w:r w:rsidRPr="00CB3B2E">
              <w:rPr>
                <w:rFonts w:ascii="Times New Roman" w:hAnsi="Times New Roman"/>
                <w:sz w:val="22"/>
                <w:szCs w:val="22"/>
              </w:rPr>
              <w:t>Amendment of Part 11 of the Commission’s Rules Regarding the Emergency Alert System (PS Docket No. 15-94)</w:t>
            </w:r>
          </w:p>
          <w:p w:rsidR="00037A4D" w:rsidRPr="00CB3B2E" w:rsidRDefault="00037A4D" w:rsidP="00037A4D">
            <w:pPr>
              <w:rPr>
                <w:rFonts w:ascii="Times New Roman" w:hAnsi="Times New Roman"/>
                <w:sz w:val="22"/>
                <w:szCs w:val="22"/>
              </w:rPr>
            </w:pPr>
            <w:r w:rsidRPr="00CB3B2E">
              <w:rPr>
                <w:rFonts w:ascii="Times New Roman" w:hAnsi="Times New Roman"/>
                <w:b/>
                <w:sz w:val="22"/>
                <w:szCs w:val="22"/>
              </w:rPr>
              <w:t xml:space="preserve">SUMMARY:  </w:t>
            </w:r>
            <w:r w:rsidRPr="00CB3B2E">
              <w:rPr>
                <w:rFonts w:ascii="Times New Roman" w:hAnsi="Times New Roman"/>
                <w:sz w:val="22"/>
                <w:szCs w:val="22"/>
              </w:rPr>
              <w:t>The Commission will consider a Report and Order and Further Notice of Proposed Rulemaking to enhance the Emergency Alert System (EAS) as a tool for community emergency preparedness.  The Report and Order improves alerting organization at the state and local levels, builds stronger community-based alerting exercise programs, and protects the EAS against accidental misuse and malicious intrusion.  The Further Notice seeks comment on proposals to leverage technological advances to improve alerting and additional measures to preserve EAS security.</w:t>
            </w:r>
          </w:p>
          <w:p w:rsidR="00023AD3" w:rsidRPr="00CB3B2E" w:rsidRDefault="00023AD3" w:rsidP="00037A4D">
            <w:pPr>
              <w:rPr>
                <w:rFonts w:ascii="Times New Roman" w:hAnsi="Times New Roman"/>
                <w:b/>
                <w:sz w:val="22"/>
                <w:szCs w:val="22"/>
              </w:rPr>
            </w:pPr>
          </w:p>
        </w:tc>
      </w:tr>
      <w:tr w:rsidR="00037A4D" w:rsidRPr="00CB3B2E" w:rsidTr="008271E1">
        <w:tc>
          <w:tcPr>
            <w:tcW w:w="1440" w:type="dxa"/>
          </w:tcPr>
          <w:p w:rsidR="00037A4D" w:rsidRPr="00CB3B2E" w:rsidRDefault="00037A4D" w:rsidP="00037A4D">
            <w:pPr>
              <w:tabs>
                <w:tab w:val="left" w:pos="-720"/>
              </w:tabs>
              <w:suppressAutoHyphens/>
              <w:spacing w:before="90" w:after="54"/>
              <w:jc w:val="center"/>
              <w:rPr>
                <w:rFonts w:ascii="Times New Roman" w:hAnsi="Times New Roman"/>
                <w:b/>
                <w:sz w:val="22"/>
                <w:szCs w:val="22"/>
              </w:rPr>
            </w:pPr>
            <w:r w:rsidRPr="00CB3B2E">
              <w:rPr>
                <w:rFonts w:ascii="Times New Roman" w:hAnsi="Times New Roman"/>
                <w:b/>
                <w:sz w:val="22"/>
                <w:szCs w:val="22"/>
              </w:rPr>
              <w:t>3</w:t>
            </w:r>
          </w:p>
        </w:tc>
        <w:tc>
          <w:tcPr>
            <w:tcW w:w="2880" w:type="dxa"/>
          </w:tcPr>
          <w:p w:rsidR="00037A4D" w:rsidRPr="00CB3B2E" w:rsidRDefault="00037A4D" w:rsidP="00037A4D">
            <w:pPr>
              <w:widowControl/>
              <w:tabs>
                <w:tab w:val="left" w:pos="-720"/>
              </w:tabs>
              <w:suppressAutoHyphens/>
              <w:autoSpaceDE/>
              <w:autoSpaceDN/>
              <w:adjustRightInd/>
              <w:spacing w:before="90" w:after="54"/>
              <w:jc w:val="center"/>
              <w:rPr>
                <w:rFonts w:ascii="Times New Roman" w:hAnsi="Times New Roman"/>
                <w:b/>
                <w:sz w:val="22"/>
                <w:szCs w:val="22"/>
              </w:rPr>
            </w:pPr>
            <w:r w:rsidRPr="00CB3B2E">
              <w:rPr>
                <w:rFonts w:ascii="Times New Roman" w:hAnsi="Times New Roman"/>
                <w:b/>
                <w:sz w:val="22"/>
                <w:szCs w:val="22"/>
              </w:rPr>
              <w:t>INTERNATIONAL</w:t>
            </w:r>
          </w:p>
        </w:tc>
        <w:tc>
          <w:tcPr>
            <w:tcW w:w="5220" w:type="dxa"/>
          </w:tcPr>
          <w:p w:rsidR="00037A4D" w:rsidRPr="00CB3B2E" w:rsidRDefault="00037A4D" w:rsidP="00037A4D">
            <w:pPr>
              <w:widowControl/>
              <w:tabs>
                <w:tab w:val="left" w:pos="-720"/>
              </w:tabs>
              <w:suppressAutoHyphens/>
              <w:autoSpaceDE/>
              <w:adjustRightInd/>
              <w:spacing w:before="90" w:after="54"/>
              <w:rPr>
                <w:rFonts w:ascii="Times New Roman" w:hAnsi="Times New Roman"/>
                <w:sz w:val="22"/>
                <w:szCs w:val="22"/>
              </w:rPr>
            </w:pPr>
            <w:r w:rsidRPr="00CB3B2E">
              <w:rPr>
                <w:rFonts w:ascii="Times New Roman" w:hAnsi="Times New Roman"/>
                <w:b/>
                <w:sz w:val="22"/>
                <w:szCs w:val="22"/>
              </w:rPr>
              <w:t xml:space="preserve">TITLE:  </w:t>
            </w:r>
            <w:r w:rsidRPr="00CB3B2E">
              <w:rPr>
                <w:rFonts w:ascii="Times New Roman" w:hAnsi="Times New Roman"/>
                <w:sz w:val="22"/>
                <w:szCs w:val="22"/>
              </w:rPr>
              <w:t>Update to Parts 2 and 25 Concerning Non-geostationary, Fixed-Satellite Service Systems and Related Matters</w:t>
            </w:r>
          </w:p>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r w:rsidRPr="00CB3B2E">
              <w:rPr>
                <w:rFonts w:ascii="Times New Roman" w:hAnsi="Times New Roman"/>
                <w:b/>
                <w:sz w:val="22"/>
                <w:szCs w:val="22"/>
              </w:rPr>
              <w:t>SUMMARY:</w:t>
            </w:r>
            <w:r w:rsidRPr="00CB3B2E">
              <w:rPr>
                <w:rFonts w:ascii="Times New Roman" w:hAnsi="Times New Roman"/>
                <w:color w:val="1F497D"/>
                <w:sz w:val="22"/>
                <w:szCs w:val="22"/>
              </w:rPr>
              <w:t xml:space="preserve"> </w:t>
            </w:r>
            <w:r w:rsidRPr="00CB3B2E">
              <w:rPr>
                <w:rFonts w:ascii="Times New Roman" w:hAnsi="Times New Roman"/>
                <w:sz w:val="22"/>
                <w:szCs w:val="22"/>
              </w:rPr>
              <w:t>The Commission will consider a Notice of Proposed Rulemaking to update, clarify, and streamline the Commission’s rules to facilitate the deployment of recently proposed non-geostationary-satellite orbit, fixed-satellite service satellite systems.</w:t>
            </w:r>
          </w:p>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p>
        </w:tc>
      </w:tr>
      <w:tr w:rsidR="00037A4D" w:rsidRPr="00CB3B2E" w:rsidTr="008271E1">
        <w:tc>
          <w:tcPr>
            <w:tcW w:w="1440" w:type="dxa"/>
          </w:tcPr>
          <w:p w:rsidR="00037A4D" w:rsidRPr="00CB3B2E" w:rsidRDefault="00037A4D" w:rsidP="00037A4D">
            <w:pPr>
              <w:tabs>
                <w:tab w:val="left" w:pos="-720"/>
              </w:tabs>
              <w:suppressAutoHyphens/>
              <w:spacing w:before="90" w:after="54"/>
              <w:jc w:val="center"/>
              <w:rPr>
                <w:rFonts w:ascii="Times New Roman" w:hAnsi="Times New Roman"/>
                <w:b/>
                <w:sz w:val="22"/>
                <w:szCs w:val="22"/>
              </w:rPr>
            </w:pPr>
            <w:r w:rsidRPr="00CB3B2E">
              <w:rPr>
                <w:rFonts w:ascii="Times New Roman" w:hAnsi="Times New Roman"/>
                <w:b/>
                <w:sz w:val="22"/>
                <w:szCs w:val="22"/>
              </w:rPr>
              <w:t>4</w:t>
            </w:r>
          </w:p>
        </w:tc>
        <w:tc>
          <w:tcPr>
            <w:tcW w:w="2880" w:type="dxa"/>
          </w:tcPr>
          <w:p w:rsidR="00037A4D" w:rsidRPr="00CB3B2E" w:rsidRDefault="00037A4D" w:rsidP="00037A4D">
            <w:pPr>
              <w:widowControl/>
              <w:tabs>
                <w:tab w:val="left" w:pos="-720"/>
              </w:tabs>
              <w:suppressAutoHyphens/>
              <w:autoSpaceDE/>
              <w:autoSpaceDN/>
              <w:adjustRightInd/>
              <w:spacing w:before="90" w:after="54"/>
              <w:jc w:val="center"/>
              <w:rPr>
                <w:rFonts w:ascii="Times New Roman" w:hAnsi="Times New Roman"/>
                <w:b/>
                <w:sz w:val="22"/>
                <w:szCs w:val="22"/>
              </w:rPr>
            </w:pPr>
            <w:r w:rsidRPr="00CB3B2E">
              <w:rPr>
                <w:rFonts w:ascii="Times New Roman" w:hAnsi="Times New Roman"/>
                <w:b/>
                <w:sz w:val="22"/>
                <w:szCs w:val="22"/>
              </w:rPr>
              <w:t>GENERAL COUNSEL</w:t>
            </w:r>
          </w:p>
        </w:tc>
        <w:tc>
          <w:tcPr>
            <w:tcW w:w="5220" w:type="dxa"/>
          </w:tcPr>
          <w:p w:rsidR="00037A4D" w:rsidRPr="00CB3B2E" w:rsidRDefault="00037A4D" w:rsidP="00037A4D">
            <w:pPr>
              <w:widowControl/>
              <w:tabs>
                <w:tab w:val="left" w:pos="-720"/>
              </w:tabs>
              <w:suppressAutoHyphens/>
              <w:autoSpaceDE/>
              <w:adjustRightInd/>
              <w:spacing w:before="90" w:after="54"/>
              <w:rPr>
                <w:rFonts w:ascii="Times New Roman" w:hAnsi="Times New Roman"/>
                <w:sz w:val="22"/>
                <w:szCs w:val="22"/>
              </w:rPr>
            </w:pPr>
            <w:r w:rsidRPr="00CB3B2E">
              <w:rPr>
                <w:rFonts w:ascii="Times New Roman" w:hAnsi="Times New Roman"/>
                <w:b/>
                <w:sz w:val="22"/>
                <w:szCs w:val="22"/>
              </w:rPr>
              <w:t xml:space="preserve">TITLE:  </w:t>
            </w:r>
            <w:r w:rsidRPr="00CB3B2E">
              <w:rPr>
                <w:rFonts w:ascii="Times New Roman" w:hAnsi="Times New Roman"/>
                <w:sz w:val="22"/>
                <w:szCs w:val="22"/>
              </w:rPr>
              <w:t>Amendment of Part 0 of the Commission’s Rules Regarding Public Information, the Inspection of Records, and Implementing the Freedom of Information Act</w:t>
            </w:r>
          </w:p>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r w:rsidRPr="00CB3B2E">
              <w:rPr>
                <w:rFonts w:ascii="Times New Roman" w:hAnsi="Times New Roman"/>
                <w:b/>
                <w:sz w:val="22"/>
                <w:szCs w:val="22"/>
              </w:rPr>
              <w:t xml:space="preserve">SUMMARY: </w:t>
            </w:r>
            <w:r w:rsidRPr="00CB3B2E">
              <w:rPr>
                <w:rFonts w:ascii="Times New Roman" w:hAnsi="Times New Roman"/>
                <w:sz w:val="22"/>
                <w:szCs w:val="22"/>
              </w:rPr>
              <w:t xml:space="preserve">The Commission will consider an Order that updates its Freedom of Information Act (FOIA) regulations consistent with the FOIA Improvement Act </w:t>
            </w:r>
            <w:r w:rsidRPr="00CB3B2E">
              <w:rPr>
                <w:rFonts w:ascii="Times New Roman" w:hAnsi="Times New Roman"/>
                <w:sz w:val="22"/>
                <w:szCs w:val="22"/>
              </w:rPr>
              <w:lastRenderedPageBreak/>
              <w:t xml:space="preserve">of 2016.  </w:t>
            </w:r>
          </w:p>
        </w:tc>
      </w:tr>
      <w:tr w:rsidR="00037A4D" w:rsidRPr="00CB3B2E" w:rsidTr="008271E1">
        <w:tc>
          <w:tcPr>
            <w:tcW w:w="1440" w:type="dxa"/>
          </w:tcPr>
          <w:p w:rsidR="00037A4D" w:rsidRPr="00CB3B2E" w:rsidRDefault="00037A4D" w:rsidP="00037A4D">
            <w:pPr>
              <w:tabs>
                <w:tab w:val="left" w:pos="-720"/>
              </w:tabs>
              <w:suppressAutoHyphens/>
              <w:spacing w:before="90" w:after="54"/>
              <w:jc w:val="center"/>
              <w:rPr>
                <w:rFonts w:ascii="Times New Roman" w:hAnsi="Times New Roman"/>
                <w:b/>
                <w:sz w:val="22"/>
                <w:szCs w:val="22"/>
              </w:rPr>
            </w:pPr>
            <w:r w:rsidRPr="00CB3B2E">
              <w:rPr>
                <w:rFonts w:ascii="Times New Roman" w:hAnsi="Times New Roman"/>
                <w:b/>
                <w:sz w:val="22"/>
                <w:szCs w:val="22"/>
              </w:rPr>
              <w:lastRenderedPageBreak/>
              <w:t>5</w:t>
            </w:r>
          </w:p>
        </w:tc>
        <w:tc>
          <w:tcPr>
            <w:tcW w:w="2880" w:type="dxa"/>
          </w:tcPr>
          <w:p w:rsidR="00037A4D" w:rsidRPr="00CB3B2E" w:rsidRDefault="00037A4D" w:rsidP="00037A4D">
            <w:pPr>
              <w:widowControl/>
              <w:tabs>
                <w:tab w:val="left" w:pos="-720"/>
              </w:tabs>
              <w:suppressAutoHyphens/>
              <w:autoSpaceDE/>
              <w:autoSpaceDN/>
              <w:adjustRightInd/>
              <w:spacing w:before="90" w:after="54"/>
              <w:jc w:val="center"/>
              <w:rPr>
                <w:rFonts w:ascii="Times New Roman" w:hAnsi="Times New Roman"/>
                <w:b/>
                <w:sz w:val="22"/>
                <w:szCs w:val="22"/>
              </w:rPr>
            </w:pPr>
            <w:r w:rsidRPr="00CB3B2E">
              <w:rPr>
                <w:rFonts w:ascii="Times New Roman" w:hAnsi="Times New Roman"/>
                <w:b/>
                <w:sz w:val="22"/>
                <w:szCs w:val="22"/>
              </w:rPr>
              <w:t>WIRELESS TELE-COMMUNICATIONS</w:t>
            </w:r>
          </w:p>
        </w:tc>
        <w:tc>
          <w:tcPr>
            <w:tcW w:w="5220" w:type="dxa"/>
          </w:tcPr>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r w:rsidRPr="00CB3B2E">
              <w:rPr>
                <w:rFonts w:ascii="Times New Roman" w:hAnsi="Times New Roman"/>
                <w:b/>
                <w:sz w:val="22"/>
                <w:szCs w:val="22"/>
              </w:rPr>
              <w:t xml:space="preserve">TITLE:  </w:t>
            </w:r>
            <w:r w:rsidRPr="00CB3B2E">
              <w:rPr>
                <w:rFonts w:ascii="Times New Roman" w:hAnsi="Times New Roman"/>
                <w:sz w:val="22"/>
                <w:szCs w:val="22"/>
              </w:rPr>
              <w:t>Maritime Communications/Land Mobile, LLC, Order on Reconsideration and Memorandum Opinion and Order</w:t>
            </w:r>
          </w:p>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r w:rsidRPr="00CB3B2E">
              <w:rPr>
                <w:rFonts w:ascii="Times New Roman" w:hAnsi="Times New Roman"/>
                <w:b/>
                <w:sz w:val="22"/>
                <w:szCs w:val="22"/>
              </w:rPr>
              <w:t>SUMMARY:</w:t>
            </w:r>
            <w:r w:rsidRPr="00CB3B2E" w:rsidDel="00777149">
              <w:rPr>
                <w:rFonts w:ascii="Times New Roman" w:hAnsi="Times New Roman"/>
                <w:b/>
                <w:sz w:val="22"/>
                <w:szCs w:val="22"/>
              </w:rPr>
              <w:t xml:space="preserve"> </w:t>
            </w:r>
            <w:r w:rsidRPr="00CB3B2E">
              <w:rPr>
                <w:rFonts w:ascii="Times New Roman" w:hAnsi="Times New Roman"/>
                <w:b/>
                <w:sz w:val="22"/>
                <w:szCs w:val="22"/>
              </w:rPr>
              <w:t xml:space="preserve"> </w:t>
            </w:r>
            <w:r w:rsidRPr="00CB3B2E">
              <w:rPr>
                <w:rFonts w:ascii="Times New Roman" w:hAnsi="Times New Roman"/>
                <w:sz w:val="22"/>
                <w:szCs w:val="22"/>
              </w:rPr>
              <w:t>The Commission will consider an</w:t>
            </w:r>
            <w:r w:rsidRPr="00CB3B2E">
              <w:rPr>
                <w:rFonts w:ascii="Times New Roman" w:hAnsi="Times New Roman"/>
                <w:b/>
                <w:sz w:val="22"/>
                <w:szCs w:val="22"/>
              </w:rPr>
              <w:t xml:space="preserve"> </w:t>
            </w:r>
            <w:r w:rsidRPr="00CB3B2E">
              <w:rPr>
                <w:rFonts w:ascii="Times New Roman" w:hAnsi="Times New Roman"/>
                <w:sz w:val="22"/>
                <w:szCs w:val="22"/>
              </w:rPr>
              <w:t>Order on Reconsideration and Memorandum Opinion and Order regarding the assignment of licenses held by Maritime Communications/Land Mobile, LLC.</w:t>
            </w:r>
          </w:p>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p>
        </w:tc>
      </w:tr>
      <w:tr w:rsidR="00037A4D" w:rsidRPr="00CB3B2E" w:rsidTr="008271E1">
        <w:tc>
          <w:tcPr>
            <w:tcW w:w="1440" w:type="dxa"/>
          </w:tcPr>
          <w:p w:rsidR="00037A4D" w:rsidRPr="00CB3B2E" w:rsidRDefault="00037A4D" w:rsidP="00037A4D">
            <w:pPr>
              <w:tabs>
                <w:tab w:val="left" w:pos="-720"/>
              </w:tabs>
              <w:suppressAutoHyphens/>
              <w:spacing w:before="90" w:after="54"/>
              <w:jc w:val="center"/>
              <w:rPr>
                <w:rFonts w:ascii="Times New Roman" w:hAnsi="Times New Roman"/>
                <w:b/>
                <w:sz w:val="22"/>
                <w:szCs w:val="22"/>
              </w:rPr>
            </w:pPr>
            <w:r w:rsidRPr="00CB3B2E">
              <w:rPr>
                <w:rFonts w:ascii="Times New Roman" w:hAnsi="Times New Roman"/>
                <w:b/>
                <w:sz w:val="22"/>
                <w:szCs w:val="22"/>
              </w:rPr>
              <w:t>6</w:t>
            </w:r>
          </w:p>
        </w:tc>
        <w:tc>
          <w:tcPr>
            <w:tcW w:w="2880" w:type="dxa"/>
          </w:tcPr>
          <w:p w:rsidR="00037A4D" w:rsidRPr="00CB3B2E" w:rsidRDefault="00037A4D" w:rsidP="00037A4D">
            <w:pPr>
              <w:widowControl/>
              <w:tabs>
                <w:tab w:val="left" w:pos="-720"/>
              </w:tabs>
              <w:suppressAutoHyphens/>
              <w:autoSpaceDE/>
              <w:autoSpaceDN/>
              <w:adjustRightInd/>
              <w:spacing w:before="90" w:after="54"/>
              <w:jc w:val="center"/>
              <w:rPr>
                <w:rFonts w:ascii="Times New Roman" w:hAnsi="Times New Roman"/>
                <w:b/>
                <w:sz w:val="22"/>
                <w:szCs w:val="22"/>
              </w:rPr>
            </w:pPr>
            <w:r w:rsidRPr="00CB3B2E">
              <w:rPr>
                <w:rFonts w:ascii="Times New Roman" w:hAnsi="Times New Roman"/>
                <w:b/>
                <w:sz w:val="22"/>
                <w:szCs w:val="22"/>
              </w:rPr>
              <w:t>PUBLIC SAFETY &amp; HOMELAND SECURITY</w:t>
            </w:r>
          </w:p>
        </w:tc>
        <w:tc>
          <w:tcPr>
            <w:tcW w:w="5220" w:type="dxa"/>
          </w:tcPr>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r w:rsidRPr="00CB3B2E">
              <w:rPr>
                <w:rFonts w:ascii="Times New Roman" w:hAnsi="Times New Roman"/>
                <w:b/>
                <w:sz w:val="22"/>
                <w:szCs w:val="22"/>
              </w:rPr>
              <w:t xml:space="preserve">TITLE:  </w:t>
            </w:r>
            <w:r w:rsidRPr="00CB3B2E">
              <w:rPr>
                <w:rFonts w:ascii="Times New Roman" w:hAnsi="Times New Roman"/>
                <w:sz w:val="22"/>
                <w:szCs w:val="22"/>
              </w:rPr>
              <w:t>Improving the Resiliency of Mobile Wireless Communications Networks, (PS Docket 13-239); Reliability and Continuity of Communications Networks, Including Broadband Technologies (PS Docket No. 11-60)</w:t>
            </w:r>
          </w:p>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r w:rsidRPr="00CB3B2E">
              <w:rPr>
                <w:rFonts w:ascii="Times New Roman" w:hAnsi="Times New Roman"/>
                <w:b/>
                <w:sz w:val="22"/>
                <w:szCs w:val="22"/>
              </w:rPr>
              <w:t xml:space="preserve">SUMMARY:  </w:t>
            </w:r>
            <w:r w:rsidRPr="00CB3B2E">
              <w:rPr>
                <w:rFonts w:ascii="Times New Roman" w:hAnsi="Times New Roman"/>
                <w:sz w:val="22"/>
                <w:szCs w:val="22"/>
              </w:rPr>
              <w:t>The Commission will consider an Order that evaluates the Wireless Network Resiliency Cooperative Framework submitted by members of the wireless industry.</w:t>
            </w:r>
          </w:p>
        </w:tc>
      </w:tr>
      <w:tr w:rsidR="00037A4D" w:rsidRPr="00CB3B2E" w:rsidTr="008271E1">
        <w:tc>
          <w:tcPr>
            <w:tcW w:w="1440" w:type="dxa"/>
          </w:tcPr>
          <w:p w:rsidR="00037A4D" w:rsidRPr="00CB3B2E" w:rsidRDefault="00037A4D" w:rsidP="00037A4D">
            <w:pPr>
              <w:tabs>
                <w:tab w:val="left" w:pos="-720"/>
              </w:tabs>
              <w:suppressAutoHyphens/>
              <w:spacing w:before="90" w:after="54"/>
              <w:jc w:val="center"/>
              <w:rPr>
                <w:rFonts w:ascii="Times New Roman" w:hAnsi="Times New Roman"/>
                <w:b/>
                <w:sz w:val="22"/>
                <w:szCs w:val="22"/>
              </w:rPr>
            </w:pPr>
            <w:r w:rsidRPr="00CB3B2E">
              <w:rPr>
                <w:rFonts w:ascii="Times New Roman" w:hAnsi="Times New Roman"/>
                <w:b/>
                <w:sz w:val="22"/>
                <w:szCs w:val="22"/>
              </w:rPr>
              <w:t>7</w:t>
            </w:r>
          </w:p>
        </w:tc>
        <w:tc>
          <w:tcPr>
            <w:tcW w:w="2880" w:type="dxa"/>
          </w:tcPr>
          <w:p w:rsidR="00037A4D" w:rsidRPr="00CB3B2E" w:rsidRDefault="00037A4D" w:rsidP="00037A4D">
            <w:pPr>
              <w:widowControl/>
              <w:tabs>
                <w:tab w:val="left" w:pos="-720"/>
              </w:tabs>
              <w:suppressAutoHyphens/>
              <w:autoSpaceDE/>
              <w:autoSpaceDN/>
              <w:adjustRightInd/>
              <w:spacing w:before="90" w:after="54"/>
              <w:jc w:val="center"/>
              <w:rPr>
                <w:rFonts w:ascii="Times New Roman" w:hAnsi="Times New Roman"/>
                <w:b/>
                <w:sz w:val="22"/>
                <w:szCs w:val="22"/>
              </w:rPr>
            </w:pPr>
            <w:r w:rsidRPr="00CB3B2E">
              <w:rPr>
                <w:rFonts w:ascii="Times New Roman" w:hAnsi="Times New Roman"/>
                <w:b/>
                <w:sz w:val="22"/>
                <w:szCs w:val="22"/>
              </w:rPr>
              <w:t>ENFORCEMENT</w:t>
            </w:r>
          </w:p>
        </w:tc>
        <w:tc>
          <w:tcPr>
            <w:tcW w:w="5220" w:type="dxa"/>
          </w:tcPr>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r w:rsidRPr="00CB3B2E">
              <w:rPr>
                <w:rFonts w:ascii="Times New Roman" w:hAnsi="Times New Roman"/>
                <w:b/>
                <w:sz w:val="22"/>
                <w:szCs w:val="22"/>
              </w:rPr>
              <w:t xml:space="preserve">TITLE:  </w:t>
            </w:r>
            <w:r w:rsidRPr="00CB3B2E">
              <w:rPr>
                <w:rFonts w:ascii="Times New Roman" w:hAnsi="Times New Roman"/>
                <w:sz w:val="22"/>
                <w:szCs w:val="22"/>
              </w:rPr>
              <w:t>Preferred Long Distance, Inc., Memorandum Opinion and Order</w:t>
            </w:r>
          </w:p>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r w:rsidRPr="00CB3B2E">
              <w:rPr>
                <w:rFonts w:ascii="Times New Roman" w:hAnsi="Times New Roman"/>
                <w:b/>
                <w:sz w:val="22"/>
                <w:szCs w:val="22"/>
              </w:rPr>
              <w:t>SUMMARY:</w:t>
            </w:r>
            <w:r w:rsidRPr="00CB3B2E" w:rsidDel="00777149">
              <w:rPr>
                <w:rFonts w:ascii="Times New Roman" w:hAnsi="Times New Roman"/>
                <w:b/>
                <w:sz w:val="22"/>
                <w:szCs w:val="22"/>
              </w:rPr>
              <w:t xml:space="preserve"> </w:t>
            </w:r>
            <w:r w:rsidRPr="00CB3B2E">
              <w:rPr>
                <w:rFonts w:ascii="Times New Roman" w:hAnsi="Times New Roman"/>
                <w:b/>
                <w:sz w:val="22"/>
                <w:szCs w:val="22"/>
              </w:rPr>
              <w:t xml:space="preserve"> </w:t>
            </w:r>
            <w:r w:rsidRPr="00CB3B2E">
              <w:rPr>
                <w:rFonts w:ascii="Times New Roman" w:hAnsi="Times New Roman"/>
                <w:sz w:val="22"/>
                <w:szCs w:val="22"/>
              </w:rPr>
              <w:t>The Commission will consider a Memorandum Opinion and Order that addresses a Petition for Reconsideration of a Forfeiture Order issued by the Commission for slamming and deceptive marketing.</w:t>
            </w:r>
          </w:p>
          <w:p w:rsidR="00037A4D" w:rsidRPr="00CB3B2E" w:rsidRDefault="00037A4D" w:rsidP="00037A4D">
            <w:pPr>
              <w:widowControl/>
              <w:tabs>
                <w:tab w:val="left" w:pos="-720"/>
              </w:tabs>
              <w:suppressAutoHyphens/>
              <w:autoSpaceDE/>
              <w:adjustRightInd/>
              <w:spacing w:before="90" w:after="54"/>
              <w:rPr>
                <w:rFonts w:ascii="Times New Roman" w:hAnsi="Times New Roman"/>
                <w:b/>
                <w:sz w:val="22"/>
                <w:szCs w:val="22"/>
              </w:rPr>
            </w:pPr>
          </w:p>
        </w:tc>
      </w:tr>
    </w:tbl>
    <w:p w:rsidR="00C16904" w:rsidRPr="00CB3B2E" w:rsidRDefault="00C16904" w:rsidP="00C16904">
      <w:pPr>
        <w:pStyle w:val="TOAHeading"/>
        <w:spacing w:line="240" w:lineRule="auto"/>
        <w:jc w:val="center"/>
        <w:rPr>
          <w:rFonts w:ascii="Times New Roman" w:hAnsi="Times New Roman"/>
          <w:b/>
          <w:sz w:val="22"/>
          <w:szCs w:val="22"/>
        </w:rPr>
      </w:pPr>
      <w:r w:rsidRPr="00CB3B2E">
        <w:rPr>
          <w:rFonts w:ascii="Times New Roman" w:hAnsi="Times New Roman"/>
          <w:b/>
          <w:sz w:val="22"/>
          <w:szCs w:val="22"/>
        </w:rPr>
        <w:t>*                        *                                 *                               *</w:t>
      </w:r>
    </w:p>
    <w:p w:rsidR="00891E47" w:rsidRDefault="00891E47" w:rsidP="00891E47">
      <w:pPr>
        <w:widowControl/>
        <w:tabs>
          <w:tab w:val="left" w:pos="-720"/>
        </w:tabs>
        <w:suppressAutoHyphens/>
        <w:autoSpaceDE/>
        <w:adjustRightInd/>
        <w:spacing w:before="90" w:after="54"/>
        <w:jc w:val="center"/>
        <w:rPr>
          <w:rFonts w:ascii="Times New Roman" w:hAnsi="Times New Roman"/>
          <w:b/>
          <w:sz w:val="22"/>
          <w:szCs w:val="22"/>
        </w:rPr>
      </w:pPr>
      <w:r w:rsidRPr="00CB3B2E">
        <w:rPr>
          <w:rFonts w:ascii="Times New Roman" w:hAnsi="Times New Roman"/>
          <w:b/>
          <w:sz w:val="22"/>
          <w:szCs w:val="22"/>
        </w:rPr>
        <w:t>CONSENT AGENDA</w:t>
      </w:r>
    </w:p>
    <w:p w:rsidR="00D6045D" w:rsidRPr="00CB3B2E" w:rsidRDefault="00D6045D" w:rsidP="00D6045D">
      <w:pPr>
        <w:pStyle w:val="BodyText"/>
        <w:tabs>
          <w:tab w:val="clear" w:pos="-720"/>
        </w:tabs>
        <w:spacing w:line="240" w:lineRule="auto"/>
        <w:jc w:val="left"/>
        <w:rPr>
          <w:b/>
          <w:sz w:val="22"/>
          <w:szCs w:val="22"/>
        </w:rPr>
      </w:pPr>
      <w:r w:rsidRPr="00CB3B2E">
        <w:rPr>
          <w:sz w:val="22"/>
          <w:szCs w:val="22"/>
        </w:rPr>
        <w:t xml:space="preserve">The following Consent Agenda item has been deleted from the list of items scheduled for consideration at the Thursday, December 15, 2016, Open Meeting and previously listed in the Commission’s Notice of December 8, 2016.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6045D" w:rsidRPr="00CB3B2E" w:rsidTr="004F7854">
        <w:tc>
          <w:tcPr>
            <w:tcW w:w="1440" w:type="dxa"/>
          </w:tcPr>
          <w:p w:rsidR="00D6045D" w:rsidRPr="00CB3B2E" w:rsidRDefault="00D6045D" w:rsidP="004F7854">
            <w:pPr>
              <w:suppressAutoHyphens/>
              <w:spacing w:before="90" w:after="54"/>
              <w:jc w:val="center"/>
              <w:rPr>
                <w:rFonts w:ascii="Times New Roman" w:hAnsi="Times New Roman"/>
                <w:b/>
                <w:sz w:val="22"/>
                <w:szCs w:val="22"/>
              </w:rPr>
            </w:pPr>
          </w:p>
        </w:tc>
        <w:tc>
          <w:tcPr>
            <w:tcW w:w="2880" w:type="dxa"/>
          </w:tcPr>
          <w:p w:rsidR="00D6045D" w:rsidRPr="00CB3B2E" w:rsidRDefault="00D6045D" w:rsidP="004F7854">
            <w:pPr>
              <w:widowControl/>
              <w:suppressAutoHyphens/>
              <w:autoSpaceDE/>
              <w:autoSpaceDN/>
              <w:adjustRightInd/>
              <w:spacing w:before="90" w:after="54"/>
              <w:jc w:val="center"/>
              <w:rPr>
                <w:rFonts w:ascii="Times New Roman" w:hAnsi="Times New Roman"/>
                <w:b/>
                <w:sz w:val="22"/>
                <w:szCs w:val="22"/>
              </w:rPr>
            </w:pPr>
          </w:p>
        </w:tc>
        <w:tc>
          <w:tcPr>
            <w:tcW w:w="5220" w:type="dxa"/>
          </w:tcPr>
          <w:p w:rsidR="00D6045D" w:rsidRPr="00CB3B2E" w:rsidRDefault="00D6045D" w:rsidP="004F7854">
            <w:pPr>
              <w:keepLines/>
              <w:widowControl/>
              <w:suppressAutoHyphens/>
              <w:autoSpaceDE/>
              <w:adjustRightInd/>
              <w:spacing w:before="90" w:after="54"/>
              <w:rPr>
                <w:rFonts w:ascii="Times New Roman" w:hAnsi="Times New Roman"/>
                <w:bCs/>
                <w:sz w:val="22"/>
                <w:szCs w:val="22"/>
              </w:rPr>
            </w:pPr>
          </w:p>
        </w:tc>
      </w:tr>
    </w:tbl>
    <w:p w:rsidR="00891E47" w:rsidRPr="00CB3B2E" w:rsidRDefault="00891E47" w:rsidP="00891E47">
      <w:pPr>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037A4D" w:rsidRPr="00CB3B2E" w:rsidTr="00472DFB">
        <w:tc>
          <w:tcPr>
            <w:tcW w:w="1440" w:type="dxa"/>
          </w:tcPr>
          <w:p w:rsidR="00037A4D" w:rsidRPr="00CB3B2E" w:rsidRDefault="00037A4D" w:rsidP="00037A4D">
            <w:pPr>
              <w:tabs>
                <w:tab w:val="left" w:pos="-720"/>
              </w:tabs>
              <w:suppressAutoHyphens/>
              <w:spacing w:before="90" w:after="54"/>
              <w:jc w:val="center"/>
              <w:rPr>
                <w:rFonts w:ascii="Times New Roman" w:hAnsi="Times New Roman"/>
                <w:b/>
                <w:sz w:val="22"/>
                <w:szCs w:val="22"/>
              </w:rPr>
            </w:pPr>
            <w:r w:rsidRPr="00CB3B2E">
              <w:rPr>
                <w:rFonts w:ascii="Times New Roman" w:hAnsi="Times New Roman"/>
                <w:b/>
                <w:sz w:val="22"/>
                <w:szCs w:val="22"/>
              </w:rPr>
              <w:t>5</w:t>
            </w:r>
          </w:p>
        </w:tc>
        <w:tc>
          <w:tcPr>
            <w:tcW w:w="2880" w:type="dxa"/>
          </w:tcPr>
          <w:p w:rsidR="00037A4D" w:rsidRPr="00CB3B2E" w:rsidRDefault="00037A4D" w:rsidP="00037A4D">
            <w:pPr>
              <w:widowControl/>
              <w:tabs>
                <w:tab w:val="left" w:pos="-720"/>
              </w:tabs>
              <w:suppressAutoHyphens/>
              <w:autoSpaceDE/>
              <w:autoSpaceDN/>
              <w:adjustRightInd/>
              <w:spacing w:before="90" w:after="54"/>
              <w:jc w:val="center"/>
              <w:rPr>
                <w:rFonts w:ascii="Times New Roman" w:hAnsi="Times New Roman"/>
                <w:b/>
                <w:sz w:val="22"/>
                <w:szCs w:val="22"/>
              </w:rPr>
            </w:pPr>
            <w:r w:rsidRPr="00CB3B2E">
              <w:rPr>
                <w:rFonts w:ascii="Times New Roman" w:hAnsi="Times New Roman"/>
                <w:b/>
                <w:sz w:val="22"/>
                <w:szCs w:val="22"/>
              </w:rPr>
              <w:t>CONSUMER &amp; GOVERNMENTAL AFFAIRS</w:t>
            </w:r>
          </w:p>
        </w:tc>
        <w:tc>
          <w:tcPr>
            <w:tcW w:w="5220" w:type="dxa"/>
          </w:tcPr>
          <w:p w:rsidR="00037A4D" w:rsidRPr="00CB3B2E" w:rsidRDefault="00037A4D" w:rsidP="00037A4D">
            <w:pPr>
              <w:widowControl/>
              <w:tabs>
                <w:tab w:val="left" w:pos="-720"/>
              </w:tabs>
              <w:suppressAutoHyphens/>
              <w:autoSpaceDE/>
              <w:adjustRightInd/>
              <w:spacing w:before="90" w:after="54"/>
              <w:jc w:val="both"/>
              <w:rPr>
                <w:rFonts w:ascii="Times New Roman" w:hAnsi="Times New Roman"/>
                <w:b/>
                <w:sz w:val="22"/>
                <w:szCs w:val="22"/>
              </w:rPr>
            </w:pPr>
            <w:r w:rsidRPr="00CB3B2E">
              <w:rPr>
                <w:rFonts w:ascii="Times New Roman" w:hAnsi="Times New Roman"/>
                <w:b/>
                <w:sz w:val="22"/>
                <w:szCs w:val="22"/>
              </w:rPr>
              <w:t>TITLE:</w:t>
            </w:r>
            <w:r w:rsidRPr="00CB3B2E">
              <w:rPr>
                <w:rFonts w:ascii="Times New Roman" w:hAnsi="Times New Roman"/>
                <w:sz w:val="22"/>
                <w:szCs w:val="22"/>
              </w:rPr>
              <w:t xml:space="preserve"> Ministry of Communications of the Archdiocese of Miami, FL; Closed Captioning Petitions for Waiver; Application for Review</w:t>
            </w:r>
          </w:p>
          <w:p w:rsidR="00037A4D" w:rsidRPr="00CB3B2E" w:rsidRDefault="00037A4D" w:rsidP="00037A4D">
            <w:pPr>
              <w:widowControl/>
              <w:tabs>
                <w:tab w:val="left" w:pos="-720"/>
              </w:tabs>
              <w:suppressAutoHyphens/>
              <w:autoSpaceDE/>
              <w:adjustRightInd/>
              <w:spacing w:before="90" w:after="54"/>
              <w:jc w:val="both"/>
              <w:rPr>
                <w:rFonts w:ascii="Times New Roman" w:hAnsi="Times New Roman"/>
                <w:sz w:val="22"/>
                <w:szCs w:val="22"/>
              </w:rPr>
            </w:pPr>
            <w:r w:rsidRPr="00CB3B2E">
              <w:rPr>
                <w:rFonts w:ascii="Times New Roman" w:hAnsi="Times New Roman"/>
                <w:b/>
                <w:sz w:val="22"/>
                <w:szCs w:val="22"/>
              </w:rPr>
              <w:t>SUMMARY:</w:t>
            </w:r>
            <w:r w:rsidRPr="00CB3B2E">
              <w:rPr>
                <w:rFonts w:ascii="Times New Roman" w:hAnsi="Times New Roman"/>
                <w:sz w:val="22"/>
                <w:szCs w:val="22"/>
              </w:rPr>
              <w:t xml:space="preserve">  The Commission will consider a Memorandum Opinion and Order addressing an Application for Review seeking review of the Bureau’s dismissal of the Ministry’s petition for exemption from the Commission’s closed captioning requirements.</w:t>
            </w:r>
          </w:p>
          <w:p w:rsidR="00037A4D" w:rsidRPr="00CB3B2E" w:rsidRDefault="00037A4D" w:rsidP="00037A4D">
            <w:pPr>
              <w:tabs>
                <w:tab w:val="center" w:pos="4680"/>
              </w:tabs>
              <w:suppressAutoHyphens/>
              <w:rPr>
                <w:rFonts w:ascii="Times New Roman" w:hAnsi="Times New Roman"/>
                <w:b/>
                <w:sz w:val="22"/>
                <w:szCs w:val="22"/>
              </w:rPr>
            </w:pPr>
          </w:p>
        </w:tc>
      </w:tr>
    </w:tbl>
    <w:p w:rsidR="00701A97" w:rsidRPr="00CB3B2E" w:rsidRDefault="00D25E7E" w:rsidP="00885F82">
      <w:pPr>
        <w:keepNext/>
        <w:keepLines/>
        <w:tabs>
          <w:tab w:val="center" w:pos="4680"/>
        </w:tabs>
        <w:suppressAutoHyphens/>
        <w:jc w:val="center"/>
        <w:rPr>
          <w:rFonts w:ascii="Times New Roman" w:hAnsi="Times New Roman"/>
          <w:b/>
          <w:sz w:val="22"/>
          <w:szCs w:val="22"/>
        </w:rPr>
      </w:pPr>
      <w:r w:rsidRPr="00CB3B2E">
        <w:rPr>
          <w:rFonts w:ascii="Times New Roman" w:hAnsi="Times New Roman"/>
          <w:b/>
          <w:sz w:val="22"/>
          <w:szCs w:val="22"/>
        </w:rPr>
        <w:t>-FCC-</w:t>
      </w:r>
    </w:p>
    <w:p w:rsidR="00037A4D" w:rsidRPr="00CB3B2E" w:rsidRDefault="00037A4D">
      <w:pPr>
        <w:keepNext/>
        <w:keepLines/>
        <w:tabs>
          <w:tab w:val="center" w:pos="4680"/>
        </w:tabs>
        <w:suppressAutoHyphens/>
        <w:jc w:val="center"/>
        <w:rPr>
          <w:rFonts w:ascii="Times New Roman" w:hAnsi="Times New Roman"/>
          <w:b/>
          <w:sz w:val="22"/>
          <w:szCs w:val="22"/>
        </w:rPr>
      </w:pPr>
    </w:p>
    <w:sectPr w:rsidR="00037A4D" w:rsidRPr="00CB3B2E"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38" w:rsidRDefault="00EB4138">
      <w:r>
        <w:separator/>
      </w:r>
    </w:p>
  </w:endnote>
  <w:endnote w:type="continuationSeparator" w:id="0">
    <w:p w:rsidR="00EB4138" w:rsidRDefault="00EB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579E">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C04">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38" w:rsidRDefault="00EB4138">
      <w:r>
        <w:separator/>
      </w:r>
    </w:p>
  </w:footnote>
  <w:footnote w:type="continuationSeparator" w:id="0">
    <w:p w:rsidR="00EB4138" w:rsidRDefault="00EB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9E" w:rsidRDefault="00CC5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3AD3"/>
    <w:rsid w:val="00026C05"/>
    <w:rsid w:val="0003081E"/>
    <w:rsid w:val="00035BD5"/>
    <w:rsid w:val="00035C3C"/>
    <w:rsid w:val="000363F7"/>
    <w:rsid w:val="00037A4D"/>
    <w:rsid w:val="00055ECC"/>
    <w:rsid w:val="00070020"/>
    <w:rsid w:val="000760CC"/>
    <w:rsid w:val="00080198"/>
    <w:rsid w:val="00085903"/>
    <w:rsid w:val="00085FC2"/>
    <w:rsid w:val="00087E02"/>
    <w:rsid w:val="0009448F"/>
    <w:rsid w:val="000A5737"/>
    <w:rsid w:val="000A73DE"/>
    <w:rsid w:val="000A7C80"/>
    <w:rsid w:val="000B19B2"/>
    <w:rsid w:val="000B6302"/>
    <w:rsid w:val="000C7253"/>
    <w:rsid w:val="000E3B88"/>
    <w:rsid w:val="000E5394"/>
    <w:rsid w:val="001136F8"/>
    <w:rsid w:val="001154B4"/>
    <w:rsid w:val="00125B73"/>
    <w:rsid w:val="00135CFE"/>
    <w:rsid w:val="00144038"/>
    <w:rsid w:val="0014738F"/>
    <w:rsid w:val="00150577"/>
    <w:rsid w:val="001541CB"/>
    <w:rsid w:val="0015461D"/>
    <w:rsid w:val="00155A15"/>
    <w:rsid w:val="001763A8"/>
    <w:rsid w:val="001819E2"/>
    <w:rsid w:val="00181D7C"/>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2F50"/>
    <w:rsid w:val="002533F3"/>
    <w:rsid w:val="00256871"/>
    <w:rsid w:val="00273161"/>
    <w:rsid w:val="00274217"/>
    <w:rsid w:val="0028024A"/>
    <w:rsid w:val="00284B1D"/>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0602F"/>
    <w:rsid w:val="00417256"/>
    <w:rsid w:val="00432969"/>
    <w:rsid w:val="00435C95"/>
    <w:rsid w:val="00455DF4"/>
    <w:rsid w:val="00460014"/>
    <w:rsid w:val="00463BC6"/>
    <w:rsid w:val="0047165B"/>
    <w:rsid w:val="00473F14"/>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172FF"/>
    <w:rsid w:val="00620716"/>
    <w:rsid w:val="00620CE4"/>
    <w:rsid w:val="00623D21"/>
    <w:rsid w:val="006250EA"/>
    <w:rsid w:val="0062572F"/>
    <w:rsid w:val="006277D5"/>
    <w:rsid w:val="00627C1D"/>
    <w:rsid w:val="00633B49"/>
    <w:rsid w:val="0063462A"/>
    <w:rsid w:val="0064036B"/>
    <w:rsid w:val="0064081A"/>
    <w:rsid w:val="006425B9"/>
    <w:rsid w:val="00652A17"/>
    <w:rsid w:val="00655319"/>
    <w:rsid w:val="00663147"/>
    <w:rsid w:val="00664D7E"/>
    <w:rsid w:val="00667FC1"/>
    <w:rsid w:val="00667FFA"/>
    <w:rsid w:val="00675D71"/>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32AEF"/>
    <w:rsid w:val="0074169E"/>
    <w:rsid w:val="00751F6C"/>
    <w:rsid w:val="00755B0D"/>
    <w:rsid w:val="0076004D"/>
    <w:rsid w:val="00760F7D"/>
    <w:rsid w:val="00762802"/>
    <w:rsid w:val="007630E3"/>
    <w:rsid w:val="007632ED"/>
    <w:rsid w:val="007637F9"/>
    <w:rsid w:val="00765FCF"/>
    <w:rsid w:val="00777149"/>
    <w:rsid w:val="0078615A"/>
    <w:rsid w:val="007A1C2E"/>
    <w:rsid w:val="007A2BE9"/>
    <w:rsid w:val="007B04B6"/>
    <w:rsid w:val="007B0C59"/>
    <w:rsid w:val="007B1114"/>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6E2D"/>
    <w:rsid w:val="00827CAF"/>
    <w:rsid w:val="008465E5"/>
    <w:rsid w:val="00854ABC"/>
    <w:rsid w:val="00854C1A"/>
    <w:rsid w:val="008566EE"/>
    <w:rsid w:val="008663BD"/>
    <w:rsid w:val="00867B86"/>
    <w:rsid w:val="00872CE9"/>
    <w:rsid w:val="008740FA"/>
    <w:rsid w:val="00885F82"/>
    <w:rsid w:val="00891E47"/>
    <w:rsid w:val="0089273B"/>
    <w:rsid w:val="008B2BDE"/>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6B40"/>
    <w:rsid w:val="00911C84"/>
    <w:rsid w:val="00923707"/>
    <w:rsid w:val="009237F7"/>
    <w:rsid w:val="009249E8"/>
    <w:rsid w:val="00926144"/>
    <w:rsid w:val="00927F12"/>
    <w:rsid w:val="0094256A"/>
    <w:rsid w:val="0094479B"/>
    <w:rsid w:val="00950210"/>
    <w:rsid w:val="00952E00"/>
    <w:rsid w:val="009541DA"/>
    <w:rsid w:val="0096775F"/>
    <w:rsid w:val="00970791"/>
    <w:rsid w:val="0097640C"/>
    <w:rsid w:val="00977527"/>
    <w:rsid w:val="0098597C"/>
    <w:rsid w:val="00985991"/>
    <w:rsid w:val="009926F0"/>
    <w:rsid w:val="009967B3"/>
    <w:rsid w:val="009B0C04"/>
    <w:rsid w:val="009C79B8"/>
    <w:rsid w:val="009D159C"/>
    <w:rsid w:val="009D6625"/>
    <w:rsid w:val="009D66A9"/>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97A3A"/>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B3F86"/>
    <w:rsid w:val="00BB752F"/>
    <w:rsid w:val="00BD192A"/>
    <w:rsid w:val="00BE1FC1"/>
    <w:rsid w:val="00BF5120"/>
    <w:rsid w:val="00C03CE1"/>
    <w:rsid w:val="00C07B64"/>
    <w:rsid w:val="00C10CFE"/>
    <w:rsid w:val="00C138C7"/>
    <w:rsid w:val="00C15DC4"/>
    <w:rsid w:val="00C16904"/>
    <w:rsid w:val="00C23BE8"/>
    <w:rsid w:val="00C31C39"/>
    <w:rsid w:val="00C46AAA"/>
    <w:rsid w:val="00C502F7"/>
    <w:rsid w:val="00C56A46"/>
    <w:rsid w:val="00C57EAD"/>
    <w:rsid w:val="00C81444"/>
    <w:rsid w:val="00C81842"/>
    <w:rsid w:val="00C82E4D"/>
    <w:rsid w:val="00C86F68"/>
    <w:rsid w:val="00C94344"/>
    <w:rsid w:val="00CA5879"/>
    <w:rsid w:val="00CA5B89"/>
    <w:rsid w:val="00CB2499"/>
    <w:rsid w:val="00CB3B2E"/>
    <w:rsid w:val="00CB5679"/>
    <w:rsid w:val="00CB5FBB"/>
    <w:rsid w:val="00CB6897"/>
    <w:rsid w:val="00CB7173"/>
    <w:rsid w:val="00CB76A2"/>
    <w:rsid w:val="00CC13DA"/>
    <w:rsid w:val="00CC579E"/>
    <w:rsid w:val="00CD2153"/>
    <w:rsid w:val="00CD46DF"/>
    <w:rsid w:val="00CD5A58"/>
    <w:rsid w:val="00CE0120"/>
    <w:rsid w:val="00CE1286"/>
    <w:rsid w:val="00CE5836"/>
    <w:rsid w:val="00CF17A2"/>
    <w:rsid w:val="00D01B36"/>
    <w:rsid w:val="00D1242B"/>
    <w:rsid w:val="00D21140"/>
    <w:rsid w:val="00D21AA7"/>
    <w:rsid w:val="00D25E7E"/>
    <w:rsid w:val="00D315A6"/>
    <w:rsid w:val="00D31CF0"/>
    <w:rsid w:val="00D32BFB"/>
    <w:rsid w:val="00D347BA"/>
    <w:rsid w:val="00D35B0F"/>
    <w:rsid w:val="00D46505"/>
    <w:rsid w:val="00D50C5F"/>
    <w:rsid w:val="00D52FF2"/>
    <w:rsid w:val="00D6045D"/>
    <w:rsid w:val="00D604FC"/>
    <w:rsid w:val="00D744E3"/>
    <w:rsid w:val="00D84BF2"/>
    <w:rsid w:val="00D85C06"/>
    <w:rsid w:val="00D911D9"/>
    <w:rsid w:val="00D91590"/>
    <w:rsid w:val="00D9679B"/>
    <w:rsid w:val="00DA1DCE"/>
    <w:rsid w:val="00DA55F4"/>
    <w:rsid w:val="00DB4D3B"/>
    <w:rsid w:val="00DB5ECA"/>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243E"/>
    <w:rsid w:val="00E46E42"/>
    <w:rsid w:val="00E47DB5"/>
    <w:rsid w:val="00E57D0E"/>
    <w:rsid w:val="00E63353"/>
    <w:rsid w:val="00E64817"/>
    <w:rsid w:val="00E64DF2"/>
    <w:rsid w:val="00E7168C"/>
    <w:rsid w:val="00E72E23"/>
    <w:rsid w:val="00E86085"/>
    <w:rsid w:val="00E9550F"/>
    <w:rsid w:val="00E96411"/>
    <w:rsid w:val="00E9716B"/>
    <w:rsid w:val="00EA482E"/>
    <w:rsid w:val="00EA50C5"/>
    <w:rsid w:val="00EB4138"/>
    <w:rsid w:val="00EB57E4"/>
    <w:rsid w:val="00EB656B"/>
    <w:rsid w:val="00EC1298"/>
    <w:rsid w:val="00EC2E8C"/>
    <w:rsid w:val="00ED2656"/>
    <w:rsid w:val="00ED43BD"/>
    <w:rsid w:val="00ED595F"/>
    <w:rsid w:val="00EE11B4"/>
    <w:rsid w:val="00EE7982"/>
    <w:rsid w:val="00EF5845"/>
    <w:rsid w:val="00EF6BCE"/>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3017"/>
    <w:rsid w:val="00FB4E9E"/>
    <w:rsid w:val="00FB70B3"/>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2969</Characters>
  <Application>Microsoft Office Word</Application>
  <DocSecurity>0</DocSecurity>
  <Lines>105</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3534</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2016-12-14T22:28:00Z</dcterms:created>
  <dcterms:modified xsi:type="dcterms:W3CDTF">2016-12-14T22:28:00Z</dcterms:modified>
  <cp:category> </cp:category>
  <cp:contentStatus> </cp:contentStatus>
</cp:coreProperties>
</file>