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31788" w14:textId="77777777" w:rsidR="001B352E" w:rsidRPr="003F4863" w:rsidRDefault="00213F91" w:rsidP="004D743D">
      <w:pPr>
        <w:jc w:val="center"/>
        <w:rPr>
          <w:rFonts w:ascii="Times New Roman" w:hAnsi="Times New Roman"/>
          <w:b/>
        </w:rPr>
      </w:pPr>
      <w:bookmarkStart w:id="0" w:name="_GoBack"/>
      <w:bookmarkEnd w:id="0"/>
      <w:r>
        <w:rPr>
          <w:rFonts w:ascii="Times New Roman" w:hAnsi="Times New Roman"/>
          <w:b/>
          <w:i/>
          <w:noProof/>
          <w:sz w:val="28"/>
          <w:szCs w:val="28"/>
        </w:rPr>
        <w:drawing>
          <wp:inline distT="0" distB="0" distL="0" distR="0" wp14:anchorId="6004C685" wp14:editId="3240B628">
            <wp:extent cx="5914390" cy="758825"/>
            <wp:effectExtent l="0" t="0" r="0" b="3175"/>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390" cy="758825"/>
                    </a:xfrm>
                    <a:prstGeom prst="rect">
                      <a:avLst/>
                    </a:prstGeom>
                    <a:noFill/>
                    <a:ln>
                      <a:noFill/>
                    </a:ln>
                  </pic:spPr>
                </pic:pic>
              </a:graphicData>
            </a:graphic>
          </wp:inline>
        </w:drawing>
      </w:r>
    </w:p>
    <w:p w14:paraId="062AAAB4" w14:textId="77777777" w:rsidR="001B352E" w:rsidRPr="002303D3" w:rsidRDefault="001B352E" w:rsidP="004D743D">
      <w:pPr>
        <w:rPr>
          <w:rFonts w:ascii="Times New Roman" w:hAnsi="Times New Roman"/>
          <w:b/>
        </w:rPr>
      </w:pPr>
    </w:p>
    <w:p w14:paraId="4C5C99EC" w14:textId="77777777" w:rsidR="000B54F0" w:rsidRDefault="000B54F0" w:rsidP="002303D3">
      <w:pPr>
        <w:rPr>
          <w:rFonts w:ascii="Times New Roman" w:hAnsi="Times New Roman"/>
          <w:b/>
          <w:bCs/>
          <w:sz w:val="22"/>
          <w:szCs w:val="22"/>
        </w:rPr>
      </w:pPr>
      <w:r>
        <w:rPr>
          <w:rFonts w:ascii="Times New Roman" w:hAnsi="Times New Roman"/>
          <w:b/>
          <w:bCs/>
          <w:sz w:val="22"/>
          <w:szCs w:val="22"/>
        </w:rPr>
        <w:t>Media Contact:</w:t>
      </w:r>
    </w:p>
    <w:p w14:paraId="0B48F37E" w14:textId="1E2921AD" w:rsidR="001B352E" w:rsidRPr="000B54F0" w:rsidRDefault="000B54F0" w:rsidP="002303D3">
      <w:pPr>
        <w:rPr>
          <w:rFonts w:ascii="Times New Roman" w:hAnsi="Times New Roman"/>
          <w:b/>
          <w:bCs/>
          <w:sz w:val="22"/>
          <w:szCs w:val="22"/>
        </w:rPr>
      </w:pPr>
      <w:r>
        <w:rPr>
          <w:rFonts w:ascii="Times New Roman" w:hAnsi="Times New Roman"/>
          <w:bCs/>
          <w:sz w:val="22"/>
          <w:szCs w:val="22"/>
        </w:rPr>
        <w:t>Mark Wigfield, (202) 418-0253</w:t>
      </w:r>
    </w:p>
    <w:p w14:paraId="08B1EA31" w14:textId="7E0F8BD7" w:rsidR="001B352E" w:rsidRPr="003F4863" w:rsidRDefault="00657175" w:rsidP="002303D3">
      <w:pPr>
        <w:rPr>
          <w:rFonts w:ascii="Times New Roman" w:hAnsi="Times New Roman"/>
          <w:bCs/>
          <w:sz w:val="22"/>
          <w:szCs w:val="22"/>
        </w:rPr>
      </w:pPr>
      <w:r>
        <w:rPr>
          <w:rFonts w:ascii="Times New Roman" w:hAnsi="Times New Roman"/>
          <w:bCs/>
          <w:sz w:val="22"/>
          <w:szCs w:val="22"/>
        </w:rPr>
        <w:t>Mark.W</w:t>
      </w:r>
      <w:r w:rsidR="000B54F0">
        <w:rPr>
          <w:rFonts w:ascii="Times New Roman" w:hAnsi="Times New Roman"/>
          <w:bCs/>
          <w:sz w:val="22"/>
          <w:szCs w:val="22"/>
        </w:rPr>
        <w:t>igfield</w:t>
      </w:r>
      <w:r w:rsidR="001B352E" w:rsidRPr="003F4863">
        <w:rPr>
          <w:rFonts w:ascii="Times New Roman" w:hAnsi="Times New Roman"/>
          <w:bCs/>
          <w:sz w:val="22"/>
          <w:szCs w:val="22"/>
        </w:rPr>
        <w:t>@fcc.gov</w:t>
      </w:r>
    </w:p>
    <w:p w14:paraId="2C71FCDE" w14:textId="77777777" w:rsidR="001B352E" w:rsidRPr="003F4863" w:rsidRDefault="001B352E" w:rsidP="002303D3">
      <w:pPr>
        <w:rPr>
          <w:rFonts w:ascii="Times New Roman" w:hAnsi="Times New Roman"/>
          <w:bCs/>
          <w:sz w:val="22"/>
          <w:szCs w:val="22"/>
        </w:rPr>
      </w:pPr>
    </w:p>
    <w:p w14:paraId="2BFEAACA" w14:textId="77777777" w:rsidR="001B352E" w:rsidRPr="003F4863" w:rsidRDefault="001B352E" w:rsidP="002303D3">
      <w:pPr>
        <w:rPr>
          <w:rFonts w:ascii="Times New Roman" w:hAnsi="Times New Roman"/>
          <w:b/>
          <w:sz w:val="22"/>
          <w:szCs w:val="22"/>
        </w:rPr>
      </w:pPr>
      <w:r w:rsidRPr="003F4863">
        <w:rPr>
          <w:rFonts w:ascii="Times New Roman" w:hAnsi="Times New Roman"/>
          <w:b/>
          <w:sz w:val="22"/>
          <w:szCs w:val="22"/>
        </w:rPr>
        <w:t>For Immediate Release</w:t>
      </w:r>
    </w:p>
    <w:p w14:paraId="63EACE90" w14:textId="77777777" w:rsidR="003D685D" w:rsidRPr="003F4863" w:rsidRDefault="003D685D" w:rsidP="004D743D">
      <w:pPr>
        <w:tabs>
          <w:tab w:val="left" w:pos="5040"/>
        </w:tabs>
        <w:rPr>
          <w:rFonts w:ascii="Times New Roman" w:hAnsi="Times New Roman"/>
          <w:snapToGrid w:val="0"/>
          <w:szCs w:val="24"/>
        </w:rPr>
      </w:pPr>
      <w:r w:rsidRPr="003F4863">
        <w:rPr>
          <w:rFonts w:ascii="Times New Roman" w:hAnsi="Times New Roman"/>
          <w:b/>
          <w:snapToGrid w:val="0"/>
          <w:szCs w:val="24"/>
        </w:rPr>
        <w:tab/>
      </w:r>
      <w:r w:rsidRPr="003F4863">
        <w:rPr>
          <w:rFonts w:ascii="Times New Roman" w:hAnsi="Times New Roman"/>
          <w:snapToGrid w:val="0"/>
          <w:szCs w:val="24"/>
        </w:rPr>
        <w:t xml:space="preserve"> </w:t>
      </w:r>
    </w:p>
    <w:p w14:paraId="42035995" w14:textId="656C6621" w:rsidR="009E474B" w:rsidRDefault="006076D0" w:rsidP="002C529A">
      <w:pPr>
        <w:jc w:val="center"/>
        <w:rPr>
          <w:rFonts w:ascii="Times New Roman" w:hAnsi="Times New Roman"/>
          <w:b/>
          <w:sz w:val="28"/>
        </w:rPr>
      </w:pPr>
      <w:r>
        <w:rPr>
          <w:rFonts w:ascii="Times New Roman" w:hAnsi="Times New Roman"/>
          <w:b/>
          <w:sz w:val="28"/>
        </w:rPr>
        <w:t xml:space="preserve">BIRCH COMMUNICATIONS </w:t>
      </w:r>
      <w:r w:rsidR="00311CCA">
        <w:rPr>
          <w:rFonts w:ascii="Times New Roman" w:hAnsi="Times New Roman"/>
          <w:b/>
          <w:sz w:val="28"/>
        </w:rPr>
        <w:t xml:space="preserve">TO </w:t>
      </w:r>
      <w:r w:rsidR="00F56556">
        <w:rPr>
          <w:rFonts w:ascii="Times New Roman" w:hAnsi="Times New Roman"/>
          <w:b/>
          <w:sz w:val="28"/>
        </w:rPr>
        <w:t xml:space="preserve">PAY </w:t>
      </w:r>
      <w:r w:rsidR="00D0631D">
        <w:rPr>
          <w:rFonts w:ascii="Times New Roman" w:hAnsi="Times New Roman"/>
          <w:b/>
          <w:sz w:val="28"/>
        </w:rPr>
        <w:t>$</w:t>
      </w:r>
      <w:r w:rsidR="005336B3">
        <w:rPr>
          <w:rFonts w:ascii="Times New Roman" w:hAnsi="Times New Roman"/>
          <w:b/>
          <w:sz w:val="28"/>
        </w:rPr>
        <w:t>6.1</w:t>
      </w:r>
      <w:r w:rsidR="00711B8E">
        <w:rPr>
          <w:rFonts w:ascii="Times New Roman" w:hAnsi="Times New Roman"/>
          <w:b/>
          <w:sz w:val="28"/>
        </w:rPr>
        <w:t xml:space="preserve"> </w:t>
      </w:r>
      <w:r>
        <w:rPr>
          <w:rFonts w:ascii="Times New Roman" w:hAnsi="Times New Roman"/>
          <w:b/>
          <w:sz w:val="28"/>
        </w:rPr>
        <w:t>M</w:t>
      </w:r>
      <w:r w:rsidR="00711B8E">
        <w:rPr>
          <w:rFonts w:ascii="Times New Roman" w:hAnsi="Times New Roman"/>
          <w:b/>
          <w:sz w:val="28"/>
        </w:rPr>
        <w:t>ILLION</w:t>
      </w:r>
      <w:r>
        <w:rPr>
          <w:rFonts w:ascii="Times New Roman" w:hAnsi="Times New Roman"/>
          <w:b/>
          <w:sz w:val="28"/>
        </w:rPr>
        <w:t xml:space="preserve"> </w:t>
      </w:r>
      <w:r w:rsidR="00F56556">
        <w:rPr>
          <w:rFonts w:ascii="Times New Roman" w:hAnsi="Times New Roman"/>
          <w:b/>
          <w:sz w:val="28"/>
        </w:rPr>
        <w:t xml:space="preserve">TO SETTLE </w:t>
      </w:r>
      <w:r w:rsidR="00711B8E">
        <w:rPr>
          <w:rFonts w:ascii="Times New Roman" w:hAnsi="Times New Roman"/>
          <w:b/>
          <w:sz w:val="28"/>
        </w:rPr>
        <w:t>INVESTIGATION</w:t>
      </w:r>
      <w:r w:rsidR="002422E7">
        <w:rPr>
          <w:rFonts w:ascii="Times New Roman" w:hAnsi="Times New Roman"/>
          <w:b/>
          <w:sz w:val="28"/>
        </w:rPr>
        <w:t xml:space="preserve"> INTO</w:t>
      </w:r>
      <w:r w:rsidR="003B168F">
        <w:rPr>
          <w:rFonts w:ascii="Times New Roman" w:hAnsi="Times New Roman"/>
          <w:b/>
          <w:sz w:val="28"/>
        </w:rPr>
        <w:t xml:space="preserve"> DECEPTIVE MARKETING AND</w:t>
      </w:r>
      <w:r w:rsidR="002422E7">
        <w:rPr>
          <w:rFonts w:ascii="Times New Roman" w:hAnsi="Times New Roman"/>
          <w:b/>
          <w:sz w:val="28"/>
        </w:rPr>
        <w:t xml:space="preserve"> </w:t>
      </w:r>
      <w:r w:rsidR="003B168F">
        <w:rPr>
          <w:rFonts w:ascii="Times New Roman" w:hAnsi="Times New Roman"/>
          <w:b/>
          <w:sz w:val="28"/>
        </w:rPr>
        <w:t>BILLING PRACTICES</w:t>
      </w:r>
      <w:r w:rsidR="00711B8E">
        <w:rPr>
          <w:rFonts w:ascii="Times New Roman" w:hAnsi="Times New Roman"/>
          <w:b/>
          <w:sz w:val="28"/>
        </w:rPr>
        <w:t xml:space="preserve"> </w:t>
      </w:r>
    </w:p>
    <w:p w14:paraId="159078DB" w14:textId="64CEEFD9" w:rsidR="00311CCA" w:rsidRDefault="006076D0" w:rsidP="002C529A">
      <w:pPr>
        <w:jc w:val="center"/>
        <w:rPr>
          <w:rFonts w:ascii="Times New Roman" w:hAnsi="Times New Roman"/>
          <w:b/>
          <w:bCs/>
          <w:i/>
          <w:szCs w:val="24"/>
        </w:rPr>
      </w:pPr>
      <w:r>
        <w:rPr>
          <w:rFonts w:ascii="Times New Roman" w:hAnsi="Times New Roman"/>
          <w:b/>
          <w:bCs/>
          <w:i/>
          <w:szCs w:val="24"/>
        </w:rPr>
        <w:t>C</w:t>
      </w:r>
      <w:r w:rsidR="002C529A">
        <w:rPr>
          <w:rFonts w:ascii="Times New Roman" w:hAnsi="Times New Roman"/>
          <w:b/>
          <w:bCs/>
          <w:i/>
          <w:szCs w:val="24"/>
        </w:rPr>
        <w:t xml:space="preserve">ustomers will receive </w:t>
      </w:r>
      <w:r w:rsidR="00BC7DD7">
        <w:rPr>
          <w:rFonts w:ascii="Times New Roman" w:hAnsi="Times New Roman"/>
          <w:b/>
          <w:bCs/>
          <w:i/>
          <w:szCs w:val="24"/>
        </w:rPr>
        <w:t>at least</w:t>
      </w:r>
      <w:r w:rsidR="00711B8E">
        <w:rPr>
          <w:rFonts w:ascii="Times New Roman" w:hAnsi="Times New Roman"/>
          <w:b/>
          <w:bCs/>
          <w:i/>
          <w:szCs w:val="24"/>
        </w:rPr>
        <w:t xml:space="preserve"> $1.9 million in refunds as part of the settlement</w:t>
      </w:r>
    </w:p>
    <w:p w14:paraId="62792739" w14:textId="77777777" w:rsidR="009E474B" w:rsidRPr="00F77D49" w:rsidRDefault="009E474B" w:rsidP="00F77D49">
      <w:pPr>
        <w:jc w:val="center"/>
        <w:rPr>
          <w:rFonts w:ascii="Times New Roman" w:hAnsi="Times New Roman"/>
          <w:b/>
          <w:bCs/>
          <w:i/>
          <w:szCs w:val="24"/>
        </w:rPr>
      </w:pPr>
    </w:p>
    <w:p w14:paraId="5AAACDE4" w14:textId="41B34420" w:rsidR="00A74CB0" w:rsidRDefault="00B00725" w:rsidP="004D743D">
      <w:pPr>
        <w:rPr>
          <w:rFonts w:ascii="Times New Roman" w:hAnsi="Times New Roman"/>
          <w:sz w:val="22"/>
          <w:szCs w:val="22"/>
        </w:rPr>
      </w:pPr>
      <w:r w:rsidRPr="00280B2B">
        <w:rPr>
          <w:rFonts w:ascii="Times New Roman" w:hAnsi="Times New Roman"/>
          <w:sz w:val="22"/>
          <w:szCs w:val="22"/>
        </w:rPr>
        <w:t xml:space="preserve">WASHINGTON, </w:t>
      </w:r>
      <w:r w:rsidR="00C0645C">
        <w:rPr>
          <w:rFonts w:ascii="Times New Roman" w:hAnsi="Times New Roman"/>
          <w:sz w:val="22"/>
          <w:szCs w:val="22"/>
        </w:rPr>
        <w:t>December 29</w:t>
      </w:r>
      <w:r w:rsidRPr="00280B2B">
        <w:rPr>
          <w:rFonts w:ascii="Times New Roman" w:hAnsi="Times New Roman"/>
          <w:sz w:val="22"/>
          <w:szCs w:val="22"/>
        </w:rPr>
        <w:t xml:space="preserve">, 2016 – </w:t>
      </w:r>
      <w:r w:rsidR="00BE7F31" w:rsidRPr="00280B2B">
        <w:rPr>
          <w:rFonts w:ascii="Times New Roman" w:hAnsi="Times New Roman"/>
          <w:sz w:val="22"/>
          <w:szCs w:val="22"/>
        </w:rPr>
        <w:t>T</w:t>
      </w:r>
      <w:r w:rsidR="00901FB3" w:rsidRPr="00280B2B">
        <w:rPr>
          <w:rFonts w:ascii="Times New Roman" w:hAnsi="Times New Roman"/>
          <w:sz w:val="22"/>
          <w:szCs w:val="22"/>
        </w:rPr>
        <w:t>he Federal Communications Commission</w:t>
      </w:r>
      <w:r w:rsidR="00FF1FDA" w:rsidRPr="00280B2B">
        <w:rPr>
          <w:rFonts w:ascii="Times New Roman" w:hAnsi="Times New Roman"/>
          <w:sz w:val="22"/>
          <w:szCs w:val="22"/>
        </w:rPr>
        <w:t xml:space="preserve"> </w:t>
      </w:r>
      <w:r w:rsidR="00846A17" w:rsidRPr="00280B2B">
        <w:rPr>
          <w:rFonts w:ascii="Times New Roman" w:hAnsi="Times New Roman"/>
          <w:sz w:val="22"/>
          <w:szCs w:val="22"/>
        </w:rPr>
        <w:t xml:space="preserve">today announced a </w:t>
      </w:r>
      <w:r w:rsidR="00820969" w:rsidRPr="00280B2B">
        <w:rPr>
          <w:rFonts w:ascii="Times New Roman" w:hAnsi="Times New Roman"/>
          <w:sz w:val="22"/>
          <w:szCs w:val="22"/>
        </w:rPr>
        <w:t xml:space="preserve">settlement with </w:t>
      </w:r>
      <w:r w:rsidR="006076D0">
        <w:rPr>
          <w:rFonts w:ascii="Times New Roman" w:hAnsi="Times New Roman"/>
          <w:sz w:val="22"/>
          <w:szCs w:val="22"/>
        </w:rPr>
        <w:t>Birch Communications</w:t>
      </w:r>
      <w:r w:rsidR="004C7953" w:rsidRPr="00280B2B">
        <w:rPr>
          <w:rFonts w:ascii="Times New Roman" w:hAnsi="Times New Roman"/>
          <w:sz w:val="22"/>
          <w:szCs w:val="22"/>
        </w:rPr>
        <w:t xml:space="preserve"> </w:t>
      </w:r>
      <w:r w:rsidR="00A74CB0">
        <w:rPr>
          <w:rFonts w:ascii="Times New Roman" w:hAnsi="Times New Roman"/>
          <w:sz w:val="22"/>
          <w:szCs w:val="22"/>
        </w:rPr>
        <w:t xml:space="preserve">that resolves an Enforcement Bureau </w:t>
      </w:r>
      <w:r w:rsidR="004C7953" w:rsidRPr="00280B2B">
        <w:rPr>
          <w:rFonts w:ascii="Times New Roman" w:hAnsi="Times New Roman"/>
          <w:sz w:val="22"/>
          <w:szCs w:val="22"/>
        </w:rPr>
        <w:t xml:space="preserve">investigation into whether </w:t>
      </w:r>
      <w:r w:rsidR="00FE20FD" w:rsidRPr="00280B2B">
        <w:rPr>
          <w:rFonts w:ascii="Times New Roman" w:hAnsi="Times New Roman"/>
          <w:sz w:val="22"/>
          <w:szCs w:val="22"/>
        </w:rPr>
        <w:t xml:space="preserve">the company </w:t>
      </w:r>
      <w:r w:rsidR="00993CAF">
        <w:rPr>
          <w:rFonts w:ascii="Times New Roman" w:hAnsi="Times New Roman"/>
          <w:sz w:val="22"/>
          <w:szCs w:val="22"/>
        </w:rPr>
        <w:t xml:space="preserve">engaged in deceptive and abusive </w:t>
      </w:r>
      <w:r w:rsidR="00A74CB0">
        <w:rPr>
          <w:rFonts w:ascii="Times New Roman" w:hAnsi="Times New Roman"/>
          <w:sz w:val="22"/>
          <w:szCs w:val="22"/>
        </w:rPr>
        <w:t>marketing practices.</w:t>
      </w:r>
    </w:p>
    <w:p w14:paraId="33830C91" w14:textId="77777777" w:rsidR="00A74CB0" w:rsidRDefault="00A74CB0" w:rsidP="004D743D">
      <w:pPr>
        <w:rPr>
          <w:rFonts w:ascii="Times New Roman" w:hAnsi="Times New Roman"/>
          <w:sz w:val="22"/>
          <w:szCs w:val="22"/>
        </w:rPr>
      </w:pPr>
    </w:p>
    <w:p w14:paraId="5CE2A25A" w14:textId="52B4A7B1" w:rsidR="006B68C1" w:rsidRDefault="00A74CB0" w:rsidP="004D743D">
      <w:pPr>
        <w:rPr>
          <w:rFonts w:ascii="Times New Roman" w:hAnsi="Times New Roman"/>
          <w:sz w:val="22"/>
          <w:szCs w:val="22"/>
        </w:rPr>
      </w:pPr>
      <w:r>
        <w:rPr>
          <w:rFonts w:ascii="Times New Roman" w:hAnsi="Times New Roman"/>
          <w:sz w:val="22"/>
          <w:szCs w:val="22"/>
        </w:rPr>
        <w:t xml:space="preserve">Specifically, the investigation concerned whether Birch </w:t>
      </w:r>
      <w:r w:rsidR="00711B8E">
        <w:rPr>
          <w:rFonts w:ascii="Times New Roman" w:hAnsi="Times New Roman"/>
          <w:sz w:val="22"/>
          <w:szCs w:val="22"/>
        </w:rPr>
        <w:t>“</w:t>
      </w:r>
      <w:r w:rsidR="006076D0">
        <w:rPr>
          <w:rFonts w:ascii="Times New Roman" w:hAnsi="Times New Roman"/>
          <w:sz w:val="22"/>
          <w:szCs w:val="22"/>
        </w:rPr>
        <w:t>slammed</w:t>
      </w:r>
      <w:r w:rsidR="00711B8E">
        <w:rPr>
          <w:rFonts w:ascii="Times New Roman" w:hAnsi="Times New Roman"/>
          <w:sz w:val="22"/>
          <w:szCs w:val="22"/>
        </w:rPr>
        <w:t>”</w:t>
      </w:r>
      <w:r w:rsidR="006076D0">
        <w:rPr>
          <w:rFonts w:ascii="Times New Roman" w:hAnsi="Times New Roman"/>
          <w:sz w:val="22"/>
          <w:szCs w:val="22"/>
        </w:rPr>
        <w:t xml:space="preserve"> consumers</w:t>
      </w:r>
      <w:r w:rsidR="00711B8E">
        <w:rPr>
          <w:rFonts w:ascii="Times New Roman" w:hAnsi="Times New Roman"/>
          <w:sz w:val="22"/>
          <w:szCs w:val="22"/>
        </w:rPr>
        <w:t xml:space="preserve"> by </w:t>
      </w:r>
      <w:r w:rsidR="00711B8E" w:rsidRPr="00711B8E">
        <w:rPr>
          <w:rFonts w:ascii="Times New Roman" w:hAnsi="Times New Roman"/>
          <w:sz w:val="22"/>
          <w:szCs w:val="22"/>
        </w:rPr>
        <w:t>switching their preferred phone carriers without authorization</w:t>
      </w:r>
      <w:r w:rsidR="00711B8E">
        <w:rPr>
          <w:rFonts w:ascii="Times New Roman" w:hAnsi="Times New Roman"/>
          <w:sz w:val="22"/>
          <w:szCs w:val="22"/>
        </w:rPr>
        <w:t>,</w:t>
      </w:r>
      <w:r w:rsidR="006076D0">
        <w:rPr>
          <w:rFonts w:ascii="Times New Roman" w:hAnsi="Times New Roman"/>
          <w:sz w:val="22"/>
          <w:szCs w:val="22"/>
        </w:rPr>
        <w:t xml:space="preserve"> </w:t>
      </w:r>
      <w:r w:rsidR="00711B8E">
        <w:rPr>
          <w:rFonts w:ascii="Times New Roman" w:hAnsi="Times New Roman"/>
          <w:sz w:val="22"/>
          <w:szCs w:val="22"/>
        </w:rPr>
        <w:t>“</w:t>
      </w:r>
      <w:r w:rsidR="00FE20FD" w:rsidRPr="00280B2B">
        <w:rPr>
          <w:rFonts w:ascii="Times New Roman" w:hAnsi="Times New Roman"/>
          <w:sz w:val="22"/>
          <w:szCs w:val="22"/>
        </w:rPr>
        <w:t>crammed</w:t>
      </w:r>
      <w:r w:rsidR="00711B8E">
        <w:rPr>
          <w:rFonts w:ascii="Times New Roman" w:hAnsi="Times New Roman"/>
          <w:sz w:val="22"/>
          <w:szCs w:val="22"/>
        </w:rPr>
        <w:t>”</w:t>
      </w:r>
      <w:r w:rsidR="00FE20FD" w:rsidRPr="00280B2B">
        <w:rPr>
          <w:rFonts w:ascii="Times New Roman" w:hAnsi="Times New Roman"/>
          <w:sz w:val="22"/>
          <w:szCs w:val="22"/>
        </w:rPr>
        <w:t xml:space="preserve"> </w:t>
      </w:r>
      <w:r w:rsidR="004C7953" w:rsidRPr="00280B2B">
        <w:rPr>
          <w:rFonts w:ascii="Times New Roman" w:hAnsi="Times New Roman"/>
          <w:sz w:val="22"/>
          <w:szCs w:val="22"/>
        </w:rPr>
        <w:t>unautho</w:t>
      </w:r>
      <w:r w:rsidR="00711B8E">
        <w:rPr>
          <w:rFonts w:ascii="Times New Roman" w:hAnsi="Times New Roman"/>
          <w:sz w:val="22"/>
          <w:szCs w:val="22"/>
        </w:rPr>
        <w:t xml:space="preserve">rized charges on its customers’ </w:t>
      </w:r>
      <w:r w:rsidR="004C7953" w:rsidRPr="00280B2B">
        <w:rPr>
          <w:rFonts w:ascii="Times New Roman" w:hAnsi="Times New Roman"/>
          <w:sz w:val="22"/>
          <w:szCs w:val="22"/>
        </w:rPr>
        <w:t>bills</w:t>
      </w:r>
      <w:r w:rsidR="00711B8E">
        <w:rPr>
          <w:rFonts w:ascii="Times New Roman" w:hAnsi="Times New Roman"/>
          <w:sz w:val="22"/>
          <w:szCs w:val="22"/>
        </w:rPr>
        <w:t xml:space="preserve"> and engaged in deceptive marketing</w:t>
      </w:r>
      <w:r w:rsidR="00FE20FD" w:rsidRPr="007D19C2">
        <w:rPr>
          <w:rFonts w:ascii="Times New Roman" w:hAnsi="Times New Roman"/>
          <w:sz w:val="22"/>
          <w:szCs w:val="22"/>
        </w:rPr>
        <w:t>.</w:t>
      </w:r>
      <w:r w:rsidR="00F56556">
        <w:rPr>
          <w:rFonts w:ascii="Times New Roman" w:hAnsi="Times New Roman"/>
          <w:sz w:val="22"/>
          <w:szCs w:val="22"/>
        </w:rPr>
        <w:t xml:space="preserve">  </w:t>
      </w:r>
      <w:r w:rsidR="00711B8E">
        <w:rPr>
          <w:rFonts w:ascii="Times New Roman" w:hAnsi="Times New Roman"/>
          <w:sz w:val="22"/>
          <w:szCs w:val="22"/>
        </w:rPr>
        <w:t>A</w:t>
      </w:r>
      <w:r w:rsidR="00711B8E" w:rsidRPr="00711B8E">
        <w:rPr>
          <w:rFonts w:ascii="Times New Roman" w:hAnsi="Times New Roman"/>
          <w:sz w:val="22"/>
          <w:szCs w:val="22"/>
        </w:rPr>
        <w:t>busive practices</w:t>
      </w:r>
      <w:r w:rsidR="00711B8E">
        <w:rPr>
          <w:rFonts w:ascii="Times New Roman" w:hAnsi="Times New Roman"/>
          <w:sz w:val="22"/>
          <w:szCs w:val="22"/>
        </w:rPr>
        <w:t xml:space="preserve">, like </w:t>
      </w:r>
      <w:r w:rsidR="00B2690D">
        <w:rPr>
          <w:rFonts w:ascii="Times New Roman" w:hAnsi="Times New Roman"/>
          <w:sz w:val="22"/>
          <w:szCs w:val="22"/>
        </w:rPr>
        <w:t xml:space="preserve">“cramming” and </w:t>
      </w:r>
      <w:r w:rsidR="00711B8E">
        <w:rPr>
          <w:rFonts w:ascii="Times New Roman" w:hAnsi="Times New Roman"/>
          <w:sz w:val="22"/>
          <w:szCs w:val="22"/>
        </w:rPr>
        <w:t>“slamming</w:t>
      </w:r>
      <w:r w:rsidR="00B2690D">
        <w:rPr>
          <w:rFonts w:ascii="Times New Roman" w:hAnsi="Times New Roman"/>
          <w:sz w:val="22"/>
          <w:szCs w:val="22"/>
        </w:rPr>
        <w:t>,</w:t>
      </w:r>
      <w:r w:rsidR="00711B8E">
        <w:rPr>
          <w:rFonts w:ascii="Times New Roman" w:hAnsi="Times New Roman"/>
          <w:sz w:val="22"/>
          <w:szCs w:val="22"/>
        </w:rPr>
        <w:t xml:space="preserve">” </w:t>
      </w:r>
      <w:r w:rsidR="00711B8E" w:rsidRPr="00711B8E">
        <w:rPr>
          <w:rFonts w:ascii="Times New Roman" w:hAnsi="Times New Roman"/>
          <w:sz w:val="22"/>
          <w:szCs w:val="22"/>
        </w:rPr>
        <w:t>result in telephone consumers paying for</w:t>
      </w:r>
      <w:r w:rsidR="00711B8E">
        <w:rPr>
          <w:rFonts w:ascii="Times New Roman" w:hAnsi="Times New Roman"/>
          <w:sz w:val="22"/>
          <w:szCs w:val="22"/>
        </w:rPr>
        <w:t xml:space="preserve"> unauthorized</w:t>
      </w:r>
      <w:r w:rsidR="00711B8E" w:rsidRPr="00711B8E">
        <w:rPr>
          <w:rFonts w:ascii="Times New Roman" w:hAnsi="Times New Roman"/>
          <w:sz w:val="22"/>
          <w:szCs w:val="22"/>
        </w:rPr>
        <w:t xml:space="preserve"> services and expending significant time an</w:t>
      </w:r>
      <w:r w:rsidR="00711B8E">
        <w:rPr>
          <w:rFonts w:ascii="Times New Roman" w:hAnsi="Times New Roman"/>
          <w:sz w:val="22"/>
          <w:szCs w:val="22"/>
        </w:rPr>
        <w:t xml:space="preserve">d effort to seek to reverse </w:t>
      </w:r>
      <w:r w:rsidR="00711B8E" w:rsidRPr="00711B8E">
        <w:rPr>
          <w:rFonts w:ascii="Times New Roman" w:hAnsi="Times New Roman"/>
          <w:sz w:val="22"/>
          <w:szCs w:val="22"/>
        </w:rPr>
        <w:t>charges and services</w:t>
      </w:r>
      <w:r w:rsidR="00711B8E">
        <w:rPr>
          <w:rFonts w:ascii="Times New Roman" w:hAnsi="Times New Roman"/>
          <w:sz w:val="22"/>
          <w:szCs w:val="22"/>
        </w:rPr>
        <w:t xml:space="preserve"> they never requested</w:t>
      </w:r>
      <w:r w:rsidR="00711B8E" w:rsidRPr="00711B8E">
        <w:rPr>
          <w:rFonts w:ascii="Times New Roman" w:hAnsi="Times New Roman"/>
          <w:sz w:val="22"/>
          <w:szCs w:val="22"/>
        </w:rPr>
        <w:t>.</w:t>
      </w:r>
      <w:r w:rsidR="00894730">
        <w:rPr>
          <w:rFonts w:ascii="Times New Roman" w:hAnsi="Times New Roman"/>
          <w:sz w:val="22"/>
          <w:szCs w:val="22"/>
        </w:rPr>
        <w:t xml:space="preserve"> </w:t>
      </w:r>
      <w:r w:rsidR="00711B8E">
        <w:rPr>
          <w:rFonts w:ascii="Times New Roman" w:hAnsi="Times New Roman"/>
          <w:sz w:val="22"/>
          <w:szCs w:val="22"/>
        </w:rPr>
        <w:t xml:space="preserve"> Under the terms of the settlement, Birch will pay a $4.2 million penalty, refund </w:t>
      </w:r>
      <w:r w:rsidR="00BC7DD7">
        <w:rPr>
          <w:rFonts w:ascii="Times New Roman" w:hAnsi="Times New Roman"/>
          <w:sz w:val="22"/>
          <w:szCs w:val="22"/>
        </w:rPr>
        <w:t>at least</w:t>
      </w:r>
      <w:r w:rsidR="00711B8E">
        <w:rPr>
          <w:rFonts w:ascii="Times New Roman" w:hAnsi="Times New Roman"/>
          <w:sz w:val="22"/>
          <w:szCs w:val="22"/>
        </w:rPr>
        <w:t xml:space="preserve"> $1.9 million to </w:t>
      </w:r>
      <w:r w:rsidR="00711B8E" w:rsidRPr="00A445E7">
        <w:rPr>
          <w:rFonts w:ascii="Times New Roman" w:hAnsi="Times New Roman"/>
          <w:sz w:val="22"/>
          <w:szCs w:val="22"/>
        </w:rPr>
        <w:t xml:space="preserve">consumers </w:t>
      </w:r>
      <w:r w:rsidR="00711B8E">
        <w:rPr>
          <w:rFonts w:ascii="Times New Roman" w:hAnsi="Times New Roman"/>
          <w:sz w:val="22"/>
          <w:szCs w:val="22"/>
        </w:rPr>
        <w:t xml:space="preserve">who filed complaints about unauthorized carrier changes or unauthorized charges within the past two years and </w:t>
      </w:r>
      <w:r w:rsidR="00CC2B5E">
        <w:rPr>
          <w:rFonts w:ascii="Times New Roman" w:hAnsi="Times New Roman"/>
          <w:sz w:val="22"/>
          <w:szCs w:val="22"/>
        </w:rPr>
        <w:t>adopt</w:t>
      </w:r>
      <w:r w:rsidR="00711B8E">
        <w:rPr>
          <w:rFonts w:ascii="Times New Roman" w:hAnsi="Times New Roman"/>
          <w:sz w:val="22"/>
          <w:szCs w:val="22"/>
        </w:rPr>
        <w:t xml:space="preserve"> a compliance plan.  </w:t>
      </w:r>
      <w:r w:rsidR="00711B8E" w:rsidRPr="00711B8E">
        <w:rPr>
          <w:rFonts w:ascii="Times New Roman" w:hAnsi="Times New Roman"/>
          <w:sz w:val="22"/>
          <w:szCs w:val="22"/>
        </w:rPr>
        <w:t xml:space="preserve"> </w:t>
      </w:r>
      <w:r w:rsidR="00FE20FD" w:rsidRPr="007D19C2">
        <w:rPr>
          <w:rFonts w:ascii="Times New Roman" w:hAnsi="Times New Roman"/>
          <w:sz w:val="22"/>
          <w:szCs w:val="22"/>
        </w:rPr>
        <w:t xml:space="preserve">  </w:t>
      </w:r>
    </w:p>
    <w:p w14:paraId="7D7B3F11" w14:textId="77777777" w:rsidR="00411AF3" w:rsidRDefault="00411AF3" w:rsidP="004D743D">
      <w:pPr>
        <w:rPr>
          <w:rFonts w:ascii="Times New Roman" w:hAnsi="Times New Roman"/>
          <w:sz w:val="22"/>
        </w:rPr>
      </w:pPr>
    </w:p>
    <w:p w14:paraId="7C2F7059" w14:textId="3BAAB441" w:rsidR="00A445E7" w:rsidRDefault="00F56556" w:rsidP="004D743D">
      <w:pPr>
        <w:rPr>
          <w:rFonts w:ascii="Times New Roman" w:hAnsi="Times New Roman"/>
          <w:sz w:val="22"/>
        </w:rPr>
      </w:pPr>
      <w:r w:rsidRPr="00F56556">
        <w:rPr>
          <w:rFonts w:ascii="Times New Roman" w:hAnsi="Times New Roman"/>
          <w:sz w:val="22"/>
          <w:szCs w:val="22"/>
        </w:rPr>
        <w:t xml:space="preserve">“Consumers have a right to expect honest talk and fair dealing from </w:t>
      </w:r>
      <w:r w:rsidR="00722811">
        <w:rPr>
          <w:rFonts w:ascii="Times New Roman" w:hAnsi="Times New Roman"/>
          <w:sz w:val="22"/>
          <w:szCs w:val="22"/>
        </w:rPr>
        <w:t>any</w:t>
      </w:r>
      <w:r w:rsidR="00A005C3">
        <w:rPr>
          <w:rFonts w:ascii="Times New Roman" w:hAnsi="Times New Roman"/>
          <w:sz w:val="22"/>
          <w:szCs w:val="22"/>
        </w:rPr>
        <w:t xml:space="preserve"> phone compan</w:t>
      </w:r>
      <w:r w:rsidR="00722811">
        <w:rPr>
          <w:rFonts w:ascii="Times New Roman" w:hAnsi="Times New Roman"/>
          <w:sz w:val="22"/>
          <w:szCs w:val="22"/>
        </w:rPr>
        <w:t>y</w:t>
      </w:r>
      <w:r w:rsidR="00A005C3">
        <w:rPr>
          <w:rFonts w:ascii="Times New Roman" w:hAnsi="Times New Roman"/>
          <w:sz w:val="22"/>
          <w:szCs w:val="22"/>
        </w:rPr>
        <w:t>,</w:t>
      </w:r>
      <w:r w:rsidR="00722811">
        <w:rPr>
          <w:rFonts w:ascii="Times New Roman" w:hAnsi="Times New Roman"/>
          <w:sz w:val="22"/>
          <w:szCs w:val="22"/>
        </w:rPr>
        <w:t>”</w:t>
      </w:r>
      <w:r w:rsidR="00A005C3">
        <w:rPr>
          <w:rFonts w:ascii="Times New Roman" w:hAnsi="Times New Roman"/>
          <w:sz w:val="22"/>
          <w:szCs w:val="22"/>
        </w:rPr>
        <w:t xml:space="preserve"> said Enforcement Bureau Chief Travis LeBlanc.</w:t>
      </w:r>
      <w:r w:rsidRPr="00F56556">
        <w:rPr>
          <w:rFonts w:ascii="Times New Roman" w:hAnsi="Times New Roman"/>
          <w:sz w:val="22"/>
          <w:szCs w:val="22"/>
        </w:rPr>
        <w:t xml:space="preserve"> </w:t>
      </w:r>
      <w:r w:rsidR="00894730">
        <w:rPr>
          <w:rFonts w:ascii="Times New Roman" w:hAnsi="Times New Roman"/>
          <w:sz w:val="22"/>
          <w:szCs w:val="22"/>
        </w:rPr>
        <w:t xml:space="preserve"> </w:t>
      </w:r>
      <w:r w:rsidR="00A005C3">
        <w:rPr>
          <w:rFonts w:ascii="Times New Roman" w:hAnsi="Times New Roman"/>
          <w:sz w:val="22"/>
          <w:szCs w:val="22"/>
        </w:rPr>
        <w:t>“</w:t>
      </w:r>
      <w:r w:rsidRPr="00F56556">
        <w:rPr>
          <w:rFonts w:ascii="Times New Roman" w:hAnsi="Times New Roman"/>
          <w:sz w:val="22"/>
          <w:szCs w:val="22"/>
        </w:rPr>
        <w:t>It is</w:t>
      </w:r>
      <w:r w:rsidR="00A005C3">
        <w:rPr>
          <w:rFonts w:ascii="Times New Roman" w:hAnsi="Times New Roman"/>
          <w:sz w:val="22"/>
          <w:szCs w:val="22"/>
        </w:rPr>
        <w:t xml:space="preserve"> plainly</w:t>
      </w:r>
      <w:r w:rsidRPr="00F56556">
        <w:rPr>
          <w:rFonts w:ascii="Times New Roman" w:hAnsi="Times New Roman"/>
          <w:sz w:val="22"/>
          <w:szCs w:val="22"/>
        </w:rPr>
        <w:t xml:space="preserve"> unacceptable for a</w:t>
      </w:r>
      <w:r w:rsidR="007B4CE7">
        <w:rPr>
          <w:rFonts w:ascii="Times New Roman" w:hAnsi="Times New Roman"/>
          <w:sz w:val="22"/>
          <w:szCs w:val="22"/>
        </w:rPr>
        <w:t>ny</w:t>
      </w:r>
      <w:r w:rsidRPr="00F56556">
        <w:rPr>
          <w:rFonts w:ascii="Times New Roman" w:hAnsi="Times New Roman"/>
          <w:sz w:val="22"/>
          <w:szCs w:val="22"/>
        </w:rPr>
        <w:t xml:space="preserve"> carrier to misrepresent its identity </w:t>
      </w:r>
      <w:r w:rsidR="001C1C78">
        <w:rPr>
          <w:rFonts w:ascii="Times New Roman" w:hAnsi="Times New Roman"/>
          <w:sz w:val="22"/>
          <w:szCs w:val="22"/>
        </w:rPr>
        <w:t>or</w:t>
      </w:r>
      <w:r w:rsidR="001C1C78" w:rsidRPr="00F56556">
        <w:rPr>
          <w:rFonts w:ascii="Times New Roman" w:hAnsi="Times New Roman"/>
          <w:sz w:val="22"/>
          <w:szCs w:val="22"/>
        </w:rPr>
        <w:t xml:space="preserve"> </w:t>
      </w:r>
      <w:r w:rsidRPr="00F56556">
        <w:rPr>
          <w:rFonts w:ascii="Times New Roman" w:hAnsi="Times New Roman"/>
          <w:sz w:val="22"/>
          <w:szCs w:val="22"/>
        </w:rPr>
        <w:t xml:space="preserve">purpose in order to mislead consumers into switching their </w:t>
      </w:r>
      <w:r w:rsidR="0004630F">
        <w:rPr>
          <w:rFonts w:ascii="Times New Roman" w:hAnsi="Times New Roman"/>
          <w:sz w:val="22"/>
          <w:szCs w:val="22"/>
        </w:rPr>
        <w:t>preferred</w:t>
      </w:r>
      <w:r w:rsidRPr="00F56556">
        <w:rPr>
          <w:rFonts w:ascii="Times New Roman" w:hAnsi="Times New Roman"/>
          <w:sz w:val="22"/>
          <w:szCs w:val="22"/>
        </w:rPr>
        <w:t xml:space="preserve"> provider and to add </w:t>
      </w:r>
      <w:r w:rsidR="0004630F">
        <w:rPr>
          <w:rFonts w:ascii="Times New Roman" w:hAnsi="Times New Roman"/>
          <w:sz w:val="22"/>
          <w:szCs w:val="22"/>
        </w:rPr>
        <w:t>unauthorized</w:t>
      </w:r>
      <w:r w:rsidR="0004630F" w:rsidRPr="00F56556">
        <w:rPr>
          <w:rFonts w:ascii="Times New Roman" w:hAnsi="Times New Roman"/>
          <w:sz w:val="22"/>
          <w:szCs w:val="22"/>
        </w:rPr>
        <w:t xml:space="preserve"> </w:t>
      </w:r>
      <w:r w:rsidRPr="00F56556">
        <w:rPr>
          <w:rFonts w:ascii="Times New Roman" w:hAnsi="Times New Roman"/>
          <w:sz w:val="22"/>
          <w:szCs w:val="22"/>
        </w:rPr>
        <w:t>charges to consumer bills</w:t>
      </w:r>
      <w:r w:rsidR="005636D1">
        <w:rPr>
          <w:rFonts w:ascii="Times New Roman" w:hAnsi="Times New Roman"/>
          <w:sz w:val="22"/>
          <w:szCs w:val="22"/>
        </w:rPr>
        <w:t>.</w:t>
      </w:r>
      <w:r w:rsidR="00D40F89">
        <w:rPr>
          <w:rFonts w:ascii="Times New Roman" w:hAnsi="Times New Roman"/>
          <w:sz w:val="22"/>
          <w:szCs w:val="22"/>
        </w:rPr>
        <w:t xml:space="preserve"> </w:t>
      </w:r>
      <w:r w:rsidR="00894730">
        <w:rPr>
          <w:rFonts w:ascii="Times New Roman" w:hAnsi="Times New Roman"/>
          <w:sz w:val="22"/>
          <w:szCs w:val="22"/>
        </w:rPr>
        <w:t xml:space="preserve"> </w:t>
      </w:r>
      <w:r w:rsidR="00D40F89">
        <w:rPr>
          <w:rFonts w:ascii="Times New Roman" w:hAnsi="Times New Roman"/>
          <w:sz w:val="22"/>
          <w:szCs w:val="22"/>
        </w:rPr>
        <w:t>Today’s settlement ensures that all of Birch’s customers w</w:t>
      </w:r>
      <w:r w:rsidR="00EC4216">
        <w:rPr>
          <w:rFonts w:ascii="Times New Roman" w:hAnsi="Times New Roman"/>
          <w:sz w:val="22"/>
          <w:szCs w:val="22"/>
        </w:rPr>
        <w:t>ill</w:t>
      </w:r>
      <w:r w:rsidR="00D40F89">
        <w:rPr>
          <w:rFonts w:ascii="Times New Roman" w:hAnsi="Times New Roman"/>
          <w:sz w:val="22"/>
          <w:szCs w:val="22"/>
        </w:rPr>
        <w:t xml:space="preserve"> enjoy greater protections and that </w:t>
      </w:r>
      <w:r w:rsidR="00722811">
        <w:rPr>
          <w:rFonts w:ascii="Times New Roman" w:hAnsi="Times New Roman"/>
          <w:sz w:val="22"/>
          <w:szCs w:val="22"/>
        </w:rPr>
        <w:t xml:space="preserve">those who were unlawfully charged will get their money back.” </w:t>
      </w:r>
    </w:p>
    <w:p w14:paraId="42F60C3B" w14:textId="77777777" w:rsidR="00711B8E" w:rsidRDefault="00711B8E" w:rsidP="004D743D">
      <w:pPr>
        <w:rPr>
          <w:rFonts w:ascii="Times New Roman" w:hAnsi="Times New Roman"/>
          <w:sz w:val="22"/>
        </w:rPr>
      </w:pPr>
    </w:p>
    <w:p w14:paraId="743FFDAF" w14:textId="1ED201E6" w:rsidR="00711B8E" w:rsidRDefault="00C761AB" w:rsidP="00711B8E">
      <w:pPr>
        <w:rPr>
          <w:rFonts w:ascii="Times New Roman" w:hAnsi="Times New Roman"/>
          <w:sz w:val="22"/>
          <w:szCs w:val="22"/>
        </w:rPr>
      </w:pPr>
      <w:r>
        <w:rPr>
          <w:rFonts w:ascii="Times New Roman" w:hAnsi="Times New Roman"/>
          <w:sz w:val="22"/>
          <w:szCs w:val="22"/>
        </w:rPr>
        <w:t xml:space="preserve">Birch is headquartered in Atlanta, Georgia.  </w:t>
      </w:r>
      <w:r w:rsidR="00E812EF">
        <w:rPr>
          <w:rFonts w:ascii="Times New Roman" w:hAnsi="Times New Roman"/>
          <w:sz w:val="22"/>
          <w:szCs w:val="22"/>
        </w:rPr>
        <w:t xml:space="preserve">The Bureau launched the investigation </w:t>
      </w:r>
      <w:r w:rsidR="005254E2">
        <w:rPr>
          <w:rFonts w:ascii="Times New Roman" w:hAnsi="Times New Roman"/>
          <w:sz w:val="22"/>
          <w:szCs w:val="22"/>
        </w:rPr>
        <w:t xml:space="preserve">in 2015 </w:t>
      </w:r>
      <w:r w:rsidR="00E812EF">
        <w:rPr>
          <w:rFonts w:ascii="Times New Roman" w:hAnsi="Times New Roman"/>
          <w:sz w:val="22"/>
          <w:szCs w:val="22"/>
        </w:rPr>
        <w:t xml:space="preserve">after </w:t>
      </w:r>
      <w:r w:rsidR="00E9515F">
        <w:rPr>
          <w:rFonts w:ascii="Times New Roman" w:hAnsi="Times New Roman"/>
          <w:sz w:val="22"/>
          <w:szCs w:val="22"/>
        </w:rPr>
        <w:t>review</w:t>
      </w:r>
      <w:r w:rsidR="00E812EF">
        <w:rPr>
          <w:rFonts w:ascii="Times New Roman" w:hAnsi="Times New Roman"/>
          <w:sz w:val="22"/>
          <w:szCs w:val="22"/>
        </w:rPr>
        <w:t>ing</w:t>
      </w:r>
      <w:r w:rsidR="007B51DC">
        <w:rPr>
          <w:rFonts w:ascii="Times New Roman" w:hAnsi="Times New Roman"/>
          <w:sz w:val="22"/>
          <w:szCs w:val="22"/>
        </w:rPr>
        <w:t xml:space="preserve"> hundreds of </w:t>
      </w:r>
      <w:r w:rsidR="00E812EF">
        <w:rPr>
          <w:rFonts w:ascii="Times New Roman" w:hAnsi="Times New Roman"/>
          <w:sz w:val="22"/>
          <w:szCs w:val="22"/>
        </w:rPr>
        <w:t xml:space="preserve">consumer complaints </w:t>
      </w:r>
      <w:r w:rsidR="007B51DC">
        <w:rPr>
          <w:rFonts w:ascii="Times New Roman" w:hAnsi="Times New Roman"/>
          <w:sz w:val="22"/>
          <w:szCs w:val="22"/>
        </w:rPr>
        <w:t xml:space="preserve">filed with the FCC, </w:t>
      </w:r>
      <w:r w:rsidR="005254E2">
        <w:rPr>
          <w:rFonts w:ascii="Times New Roman" w:hAnsi="Times New Roman"/>
          <w:sz w:val="22"/>
          <w:szCs w:val="22"/>
        </w:rPr>
        <w:t xml:space="preserve">state regulatory authorities and the Better Business Bureau. </w:t>
      </w:r>
      <w:r w:rsidR="00894730">
        <w:rPr>
          <w:rFonts w:ascii="Times New Roman" w:hAnsi="Times New Roman"/>
          <w:sz w:val="22"/>
          <w:szCs w:val="22"/>
        </w:rPr>
        <w:t xml:space="preserve"> </w:t>
      </w:r>
      <w:r w:rsidR="00711B8E" w:rsidRPr="007D19C2">
        <w:rPr>
          <w:rFonts w:ascii="Times New Roman" w:hAnsi="Times New Roman"/>
          <w:sz w:val="22"/>
          <w:szCs w:val="22"/>
        </w:rPr>
        <w:t xml:space="preserve">The </w:t>
      </w:r>
      <w:r w:rsidR="00EC4216">
        <w:rPr>
          <w:rFonts w:ascii="Times New Roman" w:hAnsi="Times New Roman"/>
          <w:sz w:val="22"/>
          <w:szCs w:val="22"/>
        </w:rPr>
        <w:t>Bureau’s investigation found</w:t>
      </w:r>
      <w:r w:rsidR="00711B8E" w:rsidRPr="007D19C2">
        <w:rPr>
          <w:rFonts w:ascii="Times New Roman" w:hAnsi="Times New Roman"/>
          <w:sz w:val="22"/>
          <w:szCs w:val="22"/>
        </w:rPr>
        <w:t xml:space="preserve"> that </w:t>
      </w:r>
      <w:r w:rsidR="00711B8E" w:rsidRPr="00F56556">
        <w:rPr>
          <w:rFonts w:ascii="Times New Roman" w:hAnsi="Times New Roman"/>
          <w:sz w:val="22"/>
          <w:szCs w:val="22"/>
        </w:rPr>
        <w:t>Birch’s telemarketers repeatedly misrepresented their identity and the purpose of their telemarketing calls</w:t>
      </w:r>
      <w:r w:rsidR="00DE70B3">
        <w:rPr>
          <w:rFonts w:ascii="Times New Roman" w:hAnsi="Times New Roman"/>
          <w:sz w:val="22"/>
          <w:szCs w:val="22"/>
        </w:rPr>
        <w:t xml:space="preserve"> when contacting potential customers</w:t>
      </w:r>
      <w:r w:rsidR="00711B8E" w:rsidRPr="00F56556">
        <w:rPr>
          <w:rFonts w:ascii="Times New Roman" w:hAnsi="Times New Roman"/>
          <w:sz w:val="22"/>
          <w:szCs w:val="22"/>
        </w:rPr>
        <w:t xml:space="preserve">, including claiming to be affiliated with the consumers’ own carriers, in order to fraudulently switch consumers to Birch’s service and place unwanted charges on their bills.  In many cases, Birch assessed substantial early termination fees against consumers when they cancelled the unauthorized and unwanted service.  Consumers, including small businesses and law offices, spent a considerable amount of time and effort trying to return to their preferred carriers and restore the services they had before the unauthorized switches.  </w:t>
      </w:r>
    </w:p>
    <w:p w14:paraId="1A87F8B4" w14:textId="292EF948" w:rsidR="00682B05" w:rsidRDefault="00682B05" w:rsidP="00711B8E">
      <w:pPr>
        <w:rPr>
          <w:rFonts w:ascii="Times New Roman" w:hAnsi="Times New Roman"/>
          <w:sz w:val="22"/>
          <w:szCs w:val="22"/>
        </w:rPr>
      </w:pPr>
    </w:p>
    <w:p w14:paraId="2986887D" w14:textId="15270BB5" w:rsidR="00682B05" w:rsidRDefault="00682B05" w:rsidP="00711B8E">
      <w:pPr>
        <w:rPr>
          <w:rFonts w:ascii="Times New Roman" w:hAnsi="Times New Roman"/>
          <w:sz w:val="22"/>
          <w:szCs w:val="22"/>
        </w:rPr>
      </w:pPr>
      <w:r>
        <w:rPr>
          <w:rFonts w:ascii="Times New Roman" w:hAnsi="Times New Roman"/>
          <w:sz w:val="22"/>
          <w:szCs w:val="22"/>
        </w:rPr>
        <w:t>In addition to the $4.2 million fine and the $1.9 million in consumer refunds, the settlement requires Birch to</w:t>
      </w:r>
      <w:r w:rsidR="00D02734">
        <w:rPr>
          <w:rFonts w:ascii="Times New Roman" w:hAnsi="Times New Roman"/>
          <w:sz w:val="22"/>
          <w:szCs w:val="22"/>
        </w:rPr>
        <w:t xml:space="preserve"> </w:t>
      </w:r>
      <w:r w:rsidR="00415359">
        <w:rPr>
          <w:rFonts w:ascii="Times New Roman" w:hAnsi="Times New Roman"/>
          <w:sz w:val="22"/>
          <w:szCs w:val="22"/>
        </w:rPr>
        <w:t>record all sales calls,</w:t>
      </w:r>
      <w:r w:rsidR="00691A14">
        <w:rPr>
          <w:rFonts w:ascii="Times New Roman" w:hAnsi="Times New Roman"/>
          <w:sz w:val="22"/>
          <w:szCs w:val="22"/>
        </w:rPr>
        <w:t xml:space="preserve"> verify any</w:t>
      </w:r>
      <w:r w:rsidR="008A7CCA">
        <w:rPr>
          <w:rFonts w:ascii="Times New Roman" w:hAnsi="Times New Roman"/>
          <w:sz w:val="22"/>
          <w:szCs w:val="22"/>
        </w:rPr>
        <w:t xml:space="preserve"> changes to </w:t>
      </w:r>
      <w:r w:rsidR="001C6178">
        <w:rPr>
          <w:rFonts w:ascii="Times New Roman" w:hAnsi="Times New Roman"/>
          <w:sz w:val="22"/>
          <w:szCs w:val="22"/>
        </w:rPr>
        <w:t xml:space="preserve">a consumer’s preferred </w:t>
      </w:r>
      <w:r w:rsidR="009B2116">
        <w:rPr>
          <w:rFonts w:ascii="Times New Roman" w:hAnsi="Times New Roman"/>
          <w:sz w:val="22"/>
          <w:szCs w:val="22"/>
        </w:rPr>
        <w:t>carrier</w:t>
      </w:r>
      <w:r w:rsidR="001C6178">
        <w:rPr>
          <w:rFonts w:ascii="Times New Roman" w:hAnsi="Times New Roman"/>
          <w:sz w:val="22"/>
          <w:szCs w:val="22"/>
        </w:rPr>
        <w:t>,</w:t>
      </w:r>
      <w:r w:rsidR="009B2116">
        <w:rPr>
          <w:rFonts w:ascii="Times New Roman" w:hAnsi="Times New Roman"/>
          <w:sz w:val="22"/>
          <w:szCs w:val="22"/>
        </w:rPr>
        <w:t xml:space="preserve"> provide enhanced</w:t>
      </w:r>
      <w:r w:rsidR="00374D9A">
        <w:rPr>
          <w:rFonts w:ascii="Times New Roman" w:hAnsi="Times New Roman"/>
          <w:sz w:val="22"/>
          <w:szCs w:val="22"/>
        </w:rPr>
        <w:t xml:space="preserve"> customer</w:t>
      </w:r>
      <w:r w:rsidR="009B2116">
        <w:rPr>
          <w:rFonts w:ascii="Times New Roman" w:hAnsi="Times New Roman"/>
          <w:sz w:val="22"/>
          <w:szCs w:val="22"/>
        </w:rPr>
        <w:t xml:space="preserve"> notice about early termination fees, promptly investigate consumer complaints about unauthorized charges </w:t>
      </w:r>
      <w:r w:rsidR="002F2488">
        <w:rPr>
          <w:rFonts w:ascii="Times New Roman" w:hAnsi="Times New Roman"/>
          <w:sz w:val="22"/>
          <w:szCs w:val="22"/>
        </w:rPr>
        <w:t>and carrier changes,</w:t>
      </w:r>
      <w:r w:rsidR="009B2116">
        <w:rPr>
          <w:rFonts w:ascii="Times New Roman" w:hAnsi="Times New Roman"/>
          <w:sz w:val="22"/>
          <w:szCs w:val="22"/>
        </w:rPr>
        <w:t xml:space="preserve"> </w:t>
      </w:r>
      <w:r w:rsidR="0079092A">
        <w:rPr>
          <w:rFonts w:ascii="Times New Roman" w:hAnsi="Times New Roman"/>
          <w:sz w:val="22"/>
          <w:szCs w:val="22"/>
        </w:rPr>
        <w:t>designate a senior corporate manager as a compliance officer</w:t>
      </w:r>
      <w:r w:rsidR="002F2488">
        <w:rPr>
          <w:rFonts w:ascii="Times New Roman" w:hAnsi="Times New Roman"/>
          <w:sz w:val="22"/>
          <w:szCs w:val="22"/>
        </w:rPr>
        <w:t>,</w:t>
      </w:r>
      <w:r w:rsidR="00D44CE0">
        <w:rPr>
          <w:rFonts w:ascii="Times New Roman" w:hAnsi="Times New Roman"/>
          <w:sz w:val="22"/>
          <w:szCs w:val="22"/>
        </w:rPr>
        <w:t xml:space="preserve"> and </w:t>
      </w:r>
      <w:r w:rsidR="002F2488">
        <w:rPr>
          <w:rFonts w:ascii="Times New Roman" w:hAnsi="Times New Roman"/>
          <w:sz w:val="22"/>
          <w:szCs w:val="22"/>
        </w:rPr>
        <w:t xml:space="preserve">file compliance reports with the Bureau for </w:t>
      </w:r>
      <w:r w:rsidR="00425D5C">
        <w:rPr>
          <w:rFonts w:ascii="Times New Roman" w:hAnsi="Times New Roman"/>
          <w:sz w:val="22"/>
          <w:szCs w:val="22"/>
        </w:rPr>
        <w:t>five</w:t>
      </w:r>
      <w:r w:rsidR="00374D9A">
        <w:rPr>
          <w:rFonts w:ascii="Times New Roman" w:hAnsi="Times New Roman"/>
          <w:sz w:val="22"/>
          <w:szCs w:val="22"/>
        </w:rPr>
        <w:t xml:space="preserve"> years</w:t>
      </w:r>
      <w:r w:rsidR="00D44CE0">
        <w:rPr>
          <w:rFonts w:ascii="Times New Roman" w:hAnsi="Times New Roman"/>
          <w:sz w:val="22"/>
          <w:szCs w:val="22"/>
        </w:rPr>
        <w:t xml:space="preserve">. </w:t>
      </w:r>
    </w:p>
    <w:p w14:paraId="55F42300" w14:textId="77777777" w:rsidR="006620FE" w:rsidRDefault="006620FE" w:rsidP="004D743D">
      <w:pPr>
        <w:rPr>
          <w:rFonts w:ascii="Times New Roman" w:hAnsi="Times New Roman"/>
          <w:sz w:val="22"/>
          <w:szCs w:val="22"/>
        </w:rPr>
      </w:pPr>
    </w:p>
    <w:p w14:paraId="11EF9DBB" w14:textId="671E21E6" w:rsidR="006620FE" w:rsidRDefault="006B68C1" w:rsidP="000A7395">
      <w:pPr>
        <w:pStyle w:val="ParaNum"/>
        <w:widowControl/>
        <w:numPr>
          <w:ilvl w:val="0"/>
          <w:numId w:val="0"/>
        </w:numPr>
        <w:spacing w:after="0"/>
        <w:rPr>
          <w:szCs w:val="22"/>
        </w:rPr>
      </w:pPr>
      <w:r>
        <w:rPr>
          <w:szCs w:val="22"/>
        </w:rPr>
        <w:lastRenderedPageBreak/>
        <w:t>Slamming and cramming are</w:t>
      </w:r>
      <w:r w:rsidR="006620FE" w:rsidRPr="000E4141">
        <w:rPr>
          <w:szCs w:val="22"/>
        </w:rPr>
        <w:t xml:space="preserve"> “unjust and unreasonable” practice</w:t>
      </w:r>
      <w:r w:rsidR="00A046A3">
        <w:rPr>
          <w:szCs w:val="22"/>
        </w:rPr>
        <w:t>s</w:t>
      </w:r>
      <w:r w:rsidR="006620FE" w:rsidRPr="000E4141">
        <w:rPr>
          <w:szCs w:val="22"/>
        </w:rPr>
        <w:t xml:space="preserve"> </w:t>
      </w:r>
      <w:r w:rsidR="00A130E5">
        <w:rPr>
          <w:szCs w:val="22"/>
        </w:rPr>
        <w:t xml:space="preserve">prohibited by </w:t>
      </w:r>
      <w:r w:rsidR="006620FE" w:rsidRPr="000E4141">
        <w:rPr>
          <w:szCs w:val="22"/>
        </w:rPr>
        <w:t>the Communications Act.</w:t>
      </w:r>
      <w:r w:rsidR="006620FE">
        <w:rPr>
          <w:szCs w:val="22"/>
        </w:rPr>
        <w:t xml:space="preserve">  </w:t>
      </w:r>
      <w:r w:rsidR="00F5102C">
        <w:rPr>
          <w:szCs w:val="22"/>
        </w:rPr>
        <w:t>In the last five years, the Commission has taken more than 30</w:t>
      </w:r>
      <w:r w:rsidR="006620FE" w:rsidRPr="00B06D14">
        <w:rPr>
          <w:szCs w:val="22"/>
        </w:rPr>
        <w:t xml:space="preserve"> enforcement actions against carriers fo</w:t>
      </w:r>
      <w:r w:rsidR="00FF11AB">
        <w:rPr>
          <w:szCs w:val="22"/>
        </w:rPr>
        <w:t>r cramming and</w:t>
      </w:r>
      <w:r w:rsidR="000D68BC">
        <w:rPr>
          <w:szCs w:val="22"/>
        </w:rPr>
        <w:t xml:space="preserve"> slamming</w:t>
      </w:r>
      <w:r w:rsidR="00FF11AB">
        <w:rPr>
          <w:szCs w:val="22"/>
        </w:rPr>
        <w:t xml:space="preserve">, totaling </w:t>
      </w:r>
      <w:r w:rsidR="00F5102C">
        <w:rPr>
          <w:szCs w:val="22"/>
        </w:rPr>
        <w:t>more than $360</w:t>
      </w:r>
      <w:r w:rsidR="006620FE" w:rsidRPr="00B06D14">
        <w:rPr>
          <w:szCs w:val="22"/>
        </w:rPr>
        <w:t xml:space="preserve"> million in proposed penalties and payments to the U.S. Treasury. </w:t>
      </w:r>
      <w:r w:rsidR="006620FE">
        <w:rPr>
          <w:szCs w:val="22"/>
        </w:rPr>
        <w:t xml:space="preserve"> </w:t>
      </w:r>
    </w:p>
    <w:p w14:paraId="3082C389" w14:textId="77777777" w:rsidR="00466D31" w:rsidRPr="00EA4BE9" w:rsidRDefault="00466D31" w:rsidP="000A7395">
      <w:pPr>
        <w:pStyle w:val="ParaNum"/>
        <w:numPr>
          <w:ilvl w:val="0"/>
          <w:numId w:val="0"/>
        </w:numPr>
        <w:spacing w:after="0"/>
      </w:pPr>
    </w:p>
    <w:p w14:paraId="239425E1" w14:textId="7CCBD1E4" w:rsidR="003F4863" w:rsidRPr="00B00725" w:rsidRDefault="003F4863" w:rsidP="004D743D">
      <w:pPr>
        <w:rPr>
          <w:rFonts w:ascii="Times New Roman" w:hAnsi="Times New Roman"/>
          <w:sz w:val="22"/>
          <w:szCs w:val="22"/>
        </w:rPr>
      </w:pPr>
      <w:r w:rsidRPr="005166ED">
        <w:rPr>
          <w:rFonts w:ascii="Times New Roman" w:hAnsi="Times New Roman"/>
          <w:sz w:val="22"/>
        </w:rPr>
        <w:t xml:space="preserve">For more information about the FCC’s rules protecting consumers from unauthorized charges on </w:t>
      </w:r>
      <w:r w:rsidRPr="00B00725">
        <w:rPr>
          <w:rFonts w:ascii="Times New Roman" w:hAnsi="Times New Roman"/>
          <w:sz w:val="22"/>
          <w:szCs w:val="22"/>
        </w:rPr>
        <w:t>telephone</w:t>
      </w:r>
      <w:r w:rsidRPr="005166ED">
        <w:rPr>
          <w:rFonts w:ascii="Times New Roman" w:hAnsi="Times New Roman"/>
          <w:sz w:val="22"/>
        </w:rPr>
        <w:t xml:space="preserve"> bills, see the FCC consumer </w:t>
      </w:r>
      <w:r w:rsidRPr="00B00725">
        <w:rPr>
          <w:rFonts w:ascii="Times New Roman" w:hAnsi="Times New Roman"/>
          <w:sz w:val="22"/>
          <w:szCs w:val="22"/>
        </w:rPr>
        <w:t xml:space="preserve">guides </w:t>
      </w:r>
      <w:r w:rsidRPr="00C0645C">
        <w:rPr>
          <w:rFonts w:ascii="Times New Roman" w:hAnsi="Times New Roman"/>
          <w:sz w:val="22"/>
          <w:szCs w:val="22"/>
        </w:rPr>
        <w:t xml:space="preserve">regarding </w:t>
      </w:r>
      <w:r w:rsidR="00425D5C" w:rsidRPr="00C0645C">
        <w:rPr>
          <w:rFonts w:ascii="Times New Roman" w:hAnsi="Times New Roman"/>
          <w:sz w:val="22"/>
          <w:szCs w:val="22"/>
        </w:rPr>
        <w:t>cramming</w:t>
      </w:r>
      <w:r w:rsidR="00466D31">
        <w:rPr>
          <w:rFonts w:ascii="Times New Roman" w:hAnsi="Times New Roman"/>
          <w:sz w:val="22"/>
          <w:szCs w:val="22"/>
        </w:rPr>
        <w:t xml:space="preserve"> </w:t>
      </w:r>
      <w:r w:rsidR="00425D5C">
        <w:rPr>
          <w:rFonts w:ascii="Times New Roman" w:hAnsi="Times New Roman"/>
          <w:sz w:val="22"/>
          <w:szCs w:val="22"/>
        </w:rPr>
        <w:t xml:space="preserve">at </w:t>
      </w:r>
      <w:hyperlink r:id="rId9" w:history="1">
        <w:r w:rsidR="00425D5C" w:rsidRPr="00137711">
          <w:rPr>
            <w:rStyle w:val="Hyperlink"/>
            <w:rFonts w:ascii="Times New Roman" w:hAnsi="Times New Roman"/>
            <w:sz w:val="22"/>
            <w:szCs w:val="22"/>
          </w:rPr>
          <w:t>https://www.fcc.gov/consumers/guides/cramming-unauthorized-charges-your-phone-bill</w:t>
        </w:r>
      </w:hyperlink>
      <w:r w:rsidR="00425D5C">
        <w:rPr>
          <w:rFonts w:ascii="Times New Roman" w:hAnsi="Times New Roman"/>
          <w:sz w:val="22"/>
          <w:szCs w:val="22"/>
        </w:rPr>
        <w:t xml:space="preserve"> </w:t>
      </w:r>
      <w:r w:rsidR="00466D31">
        <w:rPr>
          <w:rFonts w:ascii="Times New Roman" w:hAnsi="Times New Roman"/>
          <w:sz w:val="22"/>
          <w:szCs w:val="22"/>
        </w:rPr>
        <w:t>and</w:t>
      </w:r>
      <w:r w:rsidR="00466D31" w:rsidRPr="00C0645C">
        <w:rPr>
          <w:rFonts w:ascii="Times New Roman" w:hAnsi="Times New Roman"/>
          <w:sz w:val="22"/>
          <w:szCs w:val="22"/>
        </w:rPr>
        <w:t xml:space="preserve"> </w:t>
      </w:r>
      <w:r w:rsidR="00425D5C" w:rsidRPr="00C0645C">
        <w:rPr>
          <w:rFonts w:ascii="Times New Roman" w:hAnsi="Times New Roman"/>
          <w:sz w:val="22"/>
          <w:szCs w:val="22"/>
        </w:rPr>
        <w:t>slamming</w:t>
      </w:r>
      <w:r w:rsidR="00C0645C">
        <w:rPr>
          <w:rFonts w:ascii="Times New Roman" w:hAnsi="Times New Roman"/>
          <w:sz w:val="22"/>
          <w:szCs w:val="22"/>
        </w:rPr>
        <w:t xml:space="preserve"> at</w:t>
      </w:r>
      <w:r w:rsidR="00425D5C" w:rsidRPr="00C0645C">
        <w:rPr>
          <w:rStyle w:val="Hyperlink"/>
          <w:rFonts w:ascii="Times New Roman" w:hAnsi="Times New Roman"/>
          <w:sz w:val="22"/>
          <w:szCs w:val="22"/>
        </w:rPr>
        <w:t xml:space="preserve"> </w:t>
      </w:r>
      <w:r w:rsidR="00425D5C" w:rsidRPr="00425D5C">
        <w:rPr>
          <w:rStyle w:val="Hyperlink"/>
          <w:rFonts w:ascii="Times New Roman" w:hAnsi="Times New Roman"/>
          <w:sz w:val="22"/>
          <w:szCs w:val="22"/>
        </w:rPr>
        <w:t>https://www.fcc.gov/consumers/guides/slamming-switching-your-authorized-telephone-company-without-permission</w:t>
      </w:r>
      <w:r w:rsidRPr="00B00725">
        <w:rPr>
          <w:rFonts w:ascii="Times New Roman" w:hAnsi="Times New Roman"/>
          <w:sz w:val="22"/>
          <w:szCs w:val="22"/>
        </w:rPr>
        <w:t>.</w:t>
      </w:r>
    </w:p>
    <w:p w14:paraId="057DEAAE" w14:textId="77777777" w:rsidR="003F4863" w:rsidRPr="00B00725" w:rsidRDefault="003F4863" w:rsidP="004D743D">
      <w:pPr>
        <w:rPr>
          <w:rFonts w:ascii="Times New Roman" w:hAnsi="Times New Roman"/>
          <w:sz w:val="22"/>
          <w:szCs w:val="22"/>
        </w:rPr>
      </w:pPr>
    </w:p>
    <w:p w14:paraId="4AA0C2B1" w14:textId="16526004" w:rsidR="003F4863" w:rsidRPr="005166ED" w:rsidRDefault="003F4863" w:rsidP="004D743D">
      <w:pPr>
        <w:rPr>
          <w:rFonts w:ascii="Times New Roman" w:hAnsi="Times New Roman"/>
          <w:sz w:val="22"/>
        </w:rPr>
      </w:pPr>
      <w:r w:rsidRPr="00B00725">
        <w:rPr>
          <w:rFonts w:ascii="Times New Roman" w:hAnsi="Times New Roman"/>
          <w:sz w:val="22"/>
          <w:szCs w:val="22"/>
        </w:rPr>
        <w:t xml:space="preserve">To file a complaint with the FCC, go to </w:t>
      </w:r>
      <w:hyperlink r:id="rId10" w:history="1">
        <w:r w:rsidRPr="00B00725">
          <w:rPr>
            <w:rStyle w:val="Hyperlink"/>
            <w:rFonts w:ascii="Times New Roman" w:hAnsi="Times New Roman"/>
            <w:sz w:val="22"/>
            <w:szCs w:val="22"/>
          </w:rPr>
          <w:t>https://consumercomplaints.fcc.gov/hc/en-us</w:t>
        </w:r>
      </w:hyperlink>
      <w:r w:rsidRPr="005166ED">
        <w:rPr>
          <w:rFonts w:ascii="Times New Roman" w:hAnsi="Times New Roman"/>
          <w:sz w:val="22"/>
        </w:rPr>
        <w:t xml:space="preserve"> or contact the FCC’s Consumer Center by calling 1-888-CALL-FCC (1-888-225-5322) voice or 1-888-TELL-FCC (1-888-835-5322) TTY; faxing 1-866-418-0232; or by writing to:</w:t>
      </w:r>
    </w:p>
    <w:p w14:paraId="1459E3F5" w14:textId="77777777" w:rsidR="003F4863" w:rsidRPr="00B00725" w:rsidRDefault="003F4863" w:rsidP="004D743D">
      <w:pPr>
        <w:jc w:val="center"/>
        <w:rPr>
          <w:rFonts w:ascii="Times New Roman" w:hAnsi="Times New Roman"/>
          <w:sz w:val="22"/>
          <w:szCs w:val="22"/>
        </w:rPr>
      </w:pPr>
    </w:p>
    <w:p w14:paraId="578AF7CF"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Federal Communications Commission</w:t>
      </w:r>
    </w:p>
    <w:p w14:paraId="095196D2"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Consumer and Governmental Affairs Bureau</w:t>
      </w:r>
    </w:p>
    <w:p w14:paraId="1A13A8DE"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Consumer Inquiries and Complaints Division</w:t>
      </w:r>
    </w:p>
    <w:p w14:paraId="7F42176C"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445 12th Street, SW</w:t>
      </w:r>
    </w:p>
    <w:p w14:paraId="25899514" w14:textId="77777777" w:rsidR="003F4863" w:rsidRPr="005166ED" w:rsidRDefault="003F4863" w:rsidP="004D743D">
      <w:pPr>
        <w:jc w:val="center"/>
        <w:rPr>
          <w:rFonts w:ascii="Times New Roman" w:hAnsi="Times New Roman"/>
          <w:sz w:val="22"/>
        </w:rPr>
      </w:pPr>
      <w:r w:rsidRPr="005166ED">
        <w:rPr>
          <w:rFonts w:ascii="Times New Roman" w:hAnsi="Times New Roman"/>
          <w:sz w:val="22"/>
        </w:rPr>
        <w:t>Washington, DC 20554</w:t>
      </w:r>
    </w:p>
    <w:p w14:paraId="2A28EA12" w14:textId="77777777" w:rsidR="003F4863" w:rsidRPr="005166ED" w:rsidRDefault="003F4863" w:rsidP="004D743D">
      <w:pPr>
        <w:jc w:val="center"/>
        <w:rPr>
          <w:rFonts w:ascii="Times New Roman" w:hAnsi="Times New Roman"/>
          <w:sz w:val="22"/>
        </w:rPr>
      </w:pPr>
    </w:p>
    <w:p w14:paraId="7EA88B27" w14:textId="11CED0BE" w:rsidR="003F4863" w:rsidRPr="005166ED" w:rsidRDefault="003F4863" w:rsidP="004D743D">
      <w:pPr>
        <w:rPr>
          <w:rFonts w:ascii="Times New Roman" w:hAnsi="Times New Roman"/>
          <w:sz w:val="22"/>
        </w:rPr>
      </w:pPr>
      <w:r w:rsidRPr="005166ED">
        <w:rPr>
          <w:rFonts w:ascii="Times New Roman" w:hAnsi="Times New Roman"/>
          <w:sz w:val="22"/>
        </w:rPr>
        <w:t xml:space="preserve">The </w:t>
      </w:r>
      <w:r w:rsidR="009E474B">
        <w:rPr>
          <w:rFonts w:ascii="Times New Roman" w:hAnsi="Times New Roman"/>
          <w:sz w:val="22"/>
        </w:rPr>
        <w:t>Consent Decree i</w:t>
      </w:r>
      <w:r w:rsidRPr="005166ED">
        <w:rPr>
          <w:rFonts w:ascii="Times New Roman" w:hAnsi="Times New Roman"/>
          <w:sz w:val="22"/>
        </w:rPr>
        <w:t xml:space="preserve">s available at:  </w:t>
      </w:r>
      <w:hyperlink r:id="rId11" w:history="1">
        <w:r w:rsidRPr="009F4E52">
          <w:rPr>
            <w:rStyle w:val="Hyperlink"/>
            <w:rFonts w:ascii="Times New Roman" w:hAnsi="Times New Roman"/>
            <w:sz w:val="22"/>
            <w:szCs w:val="22"/>
          </w:rPr>
          <w:t>https://apps.fcc.gov/edocs_public/attachmatch/</w:t>
        </w:r>
        <w:r w:rsidR="009F4E52" w:rsidRPr="009F4E52">
          <w:rPr>
            <w:rStyle w:val="Hyperlink"/>
            <w:rFonts w:ascii="Times New Roman" w:hAnsi="Times New Roman"/>
            <w:sz w:val="22"/>
            <w:szCs w:val="22"/>
          </w:rPr>
          <w:t>DA-16-1458A1.pdf</w:t>
        </w:r>
      </w:hyperlink>
      <w:r w:rsidRPr="009F4E52">
        <w:rPr>
          <w:rFonts w:ascii="Times New Roman" w:hAnsi="Times New Roman"/>
          <w:sz w:val="22"/>
          <w:szCs w:val="22"/>
        </w:rPr>
        <w:t>.</w:t>
      </w:r>
    </w:p>
    <w:p w14:paraId="22EF5679" w14:textId="77777777" w:rsidR="003F4863" w:rsidRPr="005166ED" w:rsidRDefault="003F4863" w:rsidP="005166ED">
      <w:pPr>
        <w:rPr>
          <w:rStyle w:val="Hyperlink"/>
          <w:sz w:val="22"/>
        </w:rPr>
      </w:pPr>
    </w:p>
    <w:p w14:paraId="52D52ACF" w14:textId="77777777" w:rsidR="003F4863" w:rsidRPr="00B00725" w:rsidRDefault="003F4863" w:rsidP="004D743D">
      <w:pPr>
        <w:jc w:val="center"/>
        <w:rPr>
          <w:rFonts w:ascii="Times New Roman" w:hAnsi="Times New Roman"/>
          <w:sz w:val="22"/>
          <w:szCs w:val="22"/>
        </w:rPr>
      </w:pPr>
      <w:r w:rsidRPr="00B00725">
        <w:rPr>
          <w:rFonts w:ascii="Times New Roman" w:hAnsi="Times New Roman"/>
          <w:sz w:val="22"/>
          <w:szCs w:val="22"/>
        </w:rPr>
        <w:t>###</w:t>
      </w:r>
    </w:p>
    <w:p w14:paraId="56D832A5" w14:textId="77777777" w:rsidR="003F4863" w:rsidRPr="00B00725" w:rsidRDefault="003F4863" w:rsidP="004D743D">
      <w:pPr>
        <w:jc w:val="center"/>
        <w:rPr>
          <w:rFonts w:ascii="Times New Roman" w:hAnsi="Times New Roman"/>
          <w:b/>
          <w:bCs/>
          <w:sz w:val="22"/>
          <w:szCs w:val="22"/>
        </w:rPr>
      </w:pPr>
      <w:r w:rsidRPr="00B00725">
        <w:rPr>
          <w:rFonts w:ascii="Times New Roman" w:hAnsi="Times New Roman"/>
          <w:b/>
          <w:bCs/>
          <w:sz w:val="22"/>
          <w:szCs w:val="22"/>
        </w:rPr>
        <w:br/>
        <w:t>Office of Media Relations: (202) 418-0500</w:t>
      </w:r>
    </w:p>
    <w:p w14:paraId="3F1BCFEA" w14:textId="77777777" w:rsidR="003F4863" w:rsidRPr="00B00725" w:rsidRDefault="003F4863" w:rsidP="004D743D">
      <w:pPr>
        <w:jc w:val="center"/>
        <w:rPr>
          <w:rFonts w:ascii="Times New Roman" w:hAnsi="Times New Roman"/>
          <w:b/>
          <w:bCs/>
          <w:sz w:val="22"/>
          <w:szCs w:val="22"/>
        </w:rPr>
      </w:pPr>
      <w:r w:rsidRPr="00B00725">
        <w:rPr>
          <w:rFonts w:ascii="Times New Roman" w:hAnsi="Times New Roman"/>
          <w:b/>
          <w:bCs/>
          <w:sz w:val="22"/>
          <w:szCs w:val="22"/>
        </w:rPr>
        <w:t>TTY: (888) 835-5322</w:t>
      </w:r>
    </w:p>
    <w:p w14:paraId="29041408" w14:textId="77777777" w:rsidR="003F4863" w:rsidRPr="005166ED" w:rsidRDefault="003F4863" w:rsidP="004D743D">
      <w:pPr>
        <w:jc w:val="center"/>
        <w:rPr>
          <w:rFonts w:ascii="Times New Roman" w:hAnsi="Times New Roman"/>
          <w:b/>
          <w:sz w:val="22"/>
        </w:rPr>
      </w:pPr>
      <w:r w:rsidRPr="00B00725">
        <w:rPr>
          <w:rFonts w:ascii="Times New Roman" w:hAnsi="Times New Roman"/>
          <w:b/>
          <w:bCs/>
          <w:sz w:val="22"/>
          <w:szCs w:val="22"/>
        </w:rPr>
        <w:t>Twitter: @</w:t>
      </w:r>
      <w:r w:rsidRPr="005166ED">
        <w:rPr>
          <w:rFonts w:ascii="Times New Roman" w:hAnsi="Times New Roman"/>
          <w:b/>
          <w:sz w:val="22"/>
        </w:rPr>
        <w:t>FCC</w:t>
      </w:r>
    </w:p>
    <w:p w14:paraId="1C815073" w14:textId="1E7D1337" w:rsidR="003F4863" w:rsidRPr="00B00725" w:rsidRDefault="00BB62BB" w:rsidP="004D743D">
      <w:pPr>
        <w:jc w:val="center"/>
        <w:rPr>
          <w:rStyle w:val="Hyperlink"/>
          <w:rFonts w:ascii="Times New Roman" w:hAnsi="Times New Roman"/>
          <w:b/>
          <w:bCs/>
          <w:sz w:val="22"/>
          <w:szCs w:val="22"/>
        </w:rPr>
      </w:pPr>
      <w:hyperlink r:id="rId12" w:history="1">
        <w:r w:rsidR="003F4863" w:rsidRPr="00B00725">
          <w:rPr>
            <w:rStyle w:val="Hyperlink"/>
            <w:rFonts w:ascii="Times New Roman" w:hAnsi="Times New Roman"/>
            <w:sz w:val="22"/>
            <w:szCs w:val="22"/>
          </w:rPr>
          <w:t>www.fcc.gov/office-media-relations</w:t>
        </w:r>
      </w:hyperlink>
    </w:p>
    <w:p w14:paraId="27F80194" w14:textId="77777777" w:rsidR="003F4863" w:rsidRPr="00B00725" w:rsidRDefault="003F4863" w:rsidP="004D743D">
      <w:pPr>
        <w:jc w:val="center"/>
        <w:rPr>
          <w:rFonts w:ascii="Times New Roman" w:hAnsi="Times New Roman"/>
          <w:b/>
          <w:bCs/>
          <w:sz w:val="22"/>
          <w:szCs w:val="22"/>
        </w:rPr>
      </w:pPr>
    </w:p>
    <w:p w14:paraId="70614E46" w14:textId="77777777" w:rsidR="003D685D" w:rsidRPr="005166ED" w:rsidRDefault="003F4863" w:rsidP="005166ED">
      <w:pPr>
        <w:pStyle w:val="NormalWeb"/>
        <w:spacing w:before="0" w:beforeAutospacing="0" w:after="0" w:afterAutospacing="0"/>
        <w:jc w:val="center"/>
        <w:rPr>
          <w:rFonts w:ascii="Times New Roman" w:hAnsi="Times New Roman"/>
          <w:sz w:val="22"/>
        </w:rPr>
      </w:pPr>
      <w:r w:rsidRPr="00B00725">
        <w:rPr>
          <w:rFonts w:ascii="Times New Roman" w:hAnsi="Times New Roman"/>
          <w:bCs/>
          <w:i/>
          <w:sz w:val="22"/>
          <w:szCs w:val="22"/>
        </w:rPr>
        <w:t>This is an unofficial announcement of Commission action.  Release of the full text of a Commission order constitutes official action.  See MCI v. FCC, 515 F.2d 385 (D.C. Cir. 1974).</w:t>
      </w:r>
    </w:p>
    <w:sectPr w:rsidR="003D685D" w:rsidRPr="005166ED" w:rsidSect="005166ED">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F2AEA5" w14:textId="77777777" w:rsidR="00D20F10" w:rsidRDefault="00D20F10">
      <w:r>
        <w:separator/>
      </w:r>
    </w:p>
  </w:endnote>
  <w:endnote w:type="continuationSeparator" w:id="0">
    <w:p w14:paraId="04F44BB6" w14:textId="77777777" w:rsidR="00D20F10" w:rsidRDefault="00D20F10">
      <w:r>
        <w:continuationSeparator/>
      </w:r>
    </w:p>
  </w:endnote>
  <w:endnote w:type="continuationNotice" w:id="1">
    <w:p w14:paraId="1BB03230" w14:textId="77777777" w:rsidR="00D20F10" w:rsidRDefault="00D20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CC3D3" w14:textId="77777777" w:rsidR="00F677B3" w:rsidRDefault="00F67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784C6" w14:textId="77777777" w:rsidR="00F677B3" w:rsidRDefault="00F67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B2AA9F" w14:textId="77777777" w:rsidR="00F677B3" w:rsidRDefault="00F67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BFAE4" w14:textId="77777777" w:rsidR="00D20F10" w:rsidRDefault="00D20F10">
      <w:r>
        <w:separator/>
      </w:r>
    </w:p>
  </w:footnote>
  <w:footnote w:type="continuationSeparator" w:id="0">
    <w:p w14:paraId="086CCD48" w14:textId="77777777" w:rsidR="00D20F10" w:rsidRDefault="00D20F10">
      <w:r>
        <w:continuationSeparator/>
      </w:r>
    </w:p>
  </w:footnote>
  <w:footnote w:type="continuationNotice" w:id="1">
    <w:p w14:paraId="55C496B5" w14:textId="77777777" w:rsidR="00D20F10" w:rsidRDefault="00D20F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99C22" w14:textId="77777777" w:rsidR="00F677B3" w:rsidRDefault="00F67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7882D" w14:textId="77777777" w:rsidR="00F677B3" w:rsidRDefault="00F67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AF546" w14:textId="77777777" w:rsidR="00F677B3" w:rsidRDefault="00F67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BE41D4"/>
    <w:lvl w:ilvl="0" w:tplc="D010B582">
      <w:numFmt w:val="none"/>
      <w:lvlText w:val=""/>
      <w:lvlJc w:val="left"/>
      <w:pPr>
        <w:tabs>
          <w:tab w:val="num" w:pos="360"/>
        </w:tabs>
      </w:pPr>
    </w:lvl>
    <w:lvl w:ilvl="1" w:tplc="F210DCF8">
      <w:numFmt w:val="decimal"/>
      <w:lvlText w:val=""/>
      <w:lvlJc w:val="left"/>
    </w:lvl>
    <w:lvl w:ilvl="2" w:tplc="B624F984">
      <w:numFmt w:val="decimal"/>
      <w:lvlText w:val=""/>
      <w:lvlJc w:val="left"/>
    </w:lvl>
    <w:lvl w:ilvl="3" w:tplc="E1C615FE">
      <w:numFmt w:val="decimal"/>
      <w:lvlText w:val=""/>
      <w:lvlJc w:val="left"/>
    </w:lvl>
    <w:lvl w:ilvl="4" w:tplc="216CB4EC">
      <w:numFmt w:val="decimal"/>
      <w:lvlText w:val=""/>
      <w:lvlJc w:val="left"/>
    </w:lvl>
    <w:lvl w:ilvl="5" w:tplc="7354DD84">
      <w:numFmt w:val="decimal"/>
      <w:lvlText w:val=""/>
      <w:lvlJc w:val="left"/>
    </w:lvl>
    <w:lvl w:ilvl="6" w:tplc="8B84DD90">
      <w:numFmt w:val="decimal"/>
      <w:lvlText w:val=""/>
      <w:lvlJc w:val="left"/>
    </w:lvl>
    <w:lvl w:ilvl="7" w:tplc="63982182">
      <w:numFmt w:val="decimal"/>
      <w:lvlText w:val=""/>
      <w:lvlJc w:val="left"/>
    </w:lvl>
    <w:lvl w:ilvl="8" w:tplc="C7CA3098">
      <w:numFmt w:val="decimal"/>
      <w:lvlText w:val=""/>
      <w:lvlJc w:val="left"/>
    </w:lvl>
  </w:abstractNum>
  <w:abstractNum w:abstractNumId="1">
    <w:nsid w:val="0B9F7D8B"/>
    <w:multiLevelType w:val="multilevel"/>
    <w:tmpl w:val="1F8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53B3B"/>
    <w:multiLevelType w:val="hybridMultilevel"/>
    <w:tmpl w:val="F7262A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E2B0657"/>
    <w:multiLevelType w:val="hybridMultilevel"/>
    <w:tmpl w:val="D1C4E3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1FB406D"/>
    <w:multiLevelType w:val="multilevel"/>
    <w:tmpl w:val="6FD6E8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D0A06D1"/>
    <w:multiLevelType w:val="hybridMultilevel"/>
    <w:tmpl w:val="3C76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B7F19D1"/>
    <w:multiLevelType w:val="hybridMultilevel"/>
    <w:tmpl w:val="2632CA9E"/>
    <w:lvl w:ilvl="0" w:tplc="00010409">
      <w:start w:val="1"/>
      <w:numFmt w:val="bullet"/>
      <w:lvlText w:val=""/>
      <w:lvlJc w:val="left"/>
      <w:pPr>
        <w:tabs>
          <w:tab w:val="num" w:pos="780"/>
        </w:tabs>
        <w:ind w:left="780" w:hanging="360"/>
      </w:pPr>
      <w:rPr>
        <w:rFonts w:ascii="Symbol" w:hAnsi="Symbol" w:hint="default"/>
      </w:rPr>
    </w:lvl>
    <w:lvl w:ilvl="1" w:tplc="00030409" w:tentative="1">
      <w:start w:val="1"/>
      <w:numFmt w:val="bullet"/>
      <w:lvlText w:val="o"/>
      <w:lvlJc w:val="left"/>
      <w:pPr>
        <w:tabs>
          <w:tab w:val="num" w:pos="1500"/>
        </w:tabs>
        <w:ind w:left="1500" w:hanging="360"/>
      </w:pPr>
      <w:rPr>
        <w:rFonts w:ascii="Courier New" w:hAnsi="Courier New" w:hint="default"/>
      </w:rPr>
    </w:lvl>
    <w:lvl w:ilvl="2" w:tplc="00050409" w:tentative="1">
      <w:start w:val="1"/>
      <w:numFmt w:val="bullet"/>
      <w:lvlText w:val=""/>
      <w:lvlJc w:val="left"/>
      <w:pPr>
        <w:tabs>
          <w:tab w:val="num" w:pos="2220"/>
        </w:tabs>
        <w:ind w:left="2220" w:hanging="360"/>
      </w:pPr>
      <w:rPr>
        <w:rFonts w:ascii="Wingdings" w:hAnsi="Wingdings" w:hint="default"/>
      </w:rPr>
    </w:lvl>
    <w:lvl w:ilvl="3" w:tplc="00010409" w:tentative="1">
      <w:start w:val="1"/>
      <w:numFmt w:val="bullet"/>
      <w:lvlText w:val=""/>
      <w:lvlJc w:val="left"/>
      <w:pPr>
        <w:tabs>
          <w:tab w:val="num" w:pos="2940"/>
        </w:tabs>
        <w:ind w:left="2940" w:hanging="360"/>
      </w:pPr>
      <w:rPr>
        <w:rFonts w:ascii="Symbol" w:hAnsi="Symbol" w:hint="default"/>
      </w:rPr>
    </w:lvl>
    <w:lvl w:ilvl="4" w:tplc="00030409" w:tentative="1">
      <w:start w:val="1"/>
      <w:numFmt w:val="bullet"/>
      <w:lvlText w:val="o"/>
      <w:lvlJc w:val="left"/>
      <w:pPr>
        <w:tabs>
          <w:tab w:val="num" w:pos="3660"/>
        </w:tabs>
        <w:ind w:left="3660" w:hanging="360"/>
      </w:pPr>
      <w:rPr>
        <w:rFonts w:ascii="Courier New" w:hAnsi="Courier New" w:hint="default"/>
      </w:rPr>
    </w:lvl>
    <w:lvl w:ilvl="5" w:tplc="00050409" w:tentative="1">
      <w:start w:val="1"/>
      <w:numFmt w:val="bullet"/>
      <w:lvlText w:val=""/>
      <w:lvlJc w:val="left"/>
      <w:pPr>
        <w:tabs>
          <w:tab w:val="num" w:pos="4380"/>
        </w:tabs>
        <w:ind w:left="4380" w:hanging="360"/>
      </w:pPr>
      <w:rPr>
        <w:rFonts w:ascii="Wingdings" w:hAnsi="Wingdings" w:hint="default"/>
      </w:rPr>
    </w:lvl>
    <w:lvl w:ilvl="6" w:tplc="00010409" w:tentative="1">
      <w:start w:val="1"/>
      <w:numFmt w:val="bullet"/>
      <w:lvlText w:val=""/>
      <w:lvlJc w:val="left"/>
      <w:pPr>
        <w:tabs>
          <w:tab w:val="num" w:pos="5100"/>
        </w:tabs>
        <w:ind w:left="5100" w:hanging="360"/>
      </w:pPr>
      <w:rPr>
        <w:rFonts w:ascii="Symbol" w:hAnsi="Symbol" w:hint="default"/>
      </w:rPr>
    </w:lvl>
    <w:lvl w:ilvl="7" w:tplc="00030409" w:tentative="1">
      <w:start w:val="1"/>
      <w:numFmt w:val="bullet"/>
      <w:lvlText w:val="o"/>
      <w:lvlJc w:val="left"/>
      <w:pPr>
        <w:tabs>
          <w:tab w:val="num" w:pos="5820"/>
        </w:tabs>
        <w:ind w:left="5820" w:hanging="360"/>
      </w:pPr>
      <w:rPr>
        <w:rFonts w:ascii="Courier New" w:hAnsi="Courier New" w:hint="default"/>
      </w:rPr>
    </w:lvl>
    <w:lvl w:ilvl="8" w:tplc="00050409" w:tentative="1">
      <w:start w:val="1"/>
      <w:numFmt w:val="bullet"/>
      <w:lvlText w:val=""/>
      <w:lvlJc w:val="left"/>
      <w:pPr>
        <w:tabs>
          <w:tab w:val="num" w:pos="6540"/>
        </w:tabs>
        <w:ind w:left="6540" w:hanging="360"/>
      </w:pPr>
      <w:rPr>
        <w:rFonts w:ascii="Wingdings" w:hAnsi="Wingdings" w:hint="default"/>
      </w:rPr>
    </w:lvl>
  </w:abstractNum>
  <w:abstractNum w:abstractNumId="7">
    <w:nsid w:val="4BAD6C26"/>
    <w:multiLevelType w:val="hybridMultilevel"/>
    <w:tmpl w:val="ACC240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267E8F"/>
    <w:multiLevelType w:val="multilevel"/>
    <w:tmpl w:val="F0D4A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3C6EF7"/>
    <w:multiLevelType w:val="hybridMultilevel"/>
    <w:tmpl w:val="A46C511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65000AC4"/>
    <w:multiLevelType w:val="hybridMultilevel"/>
    <w:tmpl w:val="6FD6E8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5E371BB"/>
    <w:multiLevelType w:val="hybridMultilevel"/>
    <w:tmpl w:val="BE06A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631329B"/>
    <w:multiLevelType w:val="hybridMultilevel"/>
    <w:tmpl w:val="ADD68244"/>
    <w:lvl w:ilvl="0" w:tplc="095EBF34">
      <w:start w:val="1"/>
      <w:numFmt w:val="decimal"/>
      <w:lvlText w:val="%1."/>
      <w:lvlJc w:val="left"/>
      <w:pPr>
        <w:tabs>
          <w:tab w:val="num" w:pos="720"/>
        </w:tabs>
        <w:ind w:left="720" w:hanging="360"/>
      </w:pPr>
      <w:rPr>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7A3C6F"/>
    <w:multiLevelType w:val="hybridMultilevel"/>
    <w:tmpl w:val="7376F104"/>
    <w:lvl w:ilvl="0" w:tplc="04090001">
      <w:start w:val="1"/>
      <w:numFmt w:val="bullet"/>
      <w:lvlText w:val=""/>
      <w:lvlJc w:val="left"/>
      <w:pPr>
        <w:tabs>
          <w:tab w:val="num" w:pos="360"/>
        </w:tabs>
        <w:ind w:left="360" w:hanging="360"/>
      </w:pPr>
      <w:rPr>
        <w:rFonts w:ascii="Symbol" w:hAnsi="Symbol" w:hint="default"/>
        <w:lang w:val="en-G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7DAF75DE"/>
    <w:multiLevelType w:val="hybridMultilevel"/>
    <w:tmpl w:val="19A06B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6"/>
  </w:num>
  <w:num w:numId="4">
    <w:abstractNumId w:val="15"/>
  </w:num>
  <w:num w:numId="5">
    <w:abstractNumId w:val="13"/>
  </w:num>
  <w:num w:numId="6">
    <w:abstractNumId w:val="14"/>
  </w:num>
  <w:num w:numId="7">
    <w:abstractNumId w:val="9"/>
  </w:num>
  <w:num w:numId="8">
    <w:abstractNumId w:val="2"/>
  </w:num>
  <w:num w:numId="9">
    <w:abstractNumId w:val="1"/>
  </w:num>
  <w:num w:numId="10">
    <w:abstractNumId w:val="8"/>
  </w:num>
  <w:num w:numId="11">
    <w:abstractNumId w:val="5"/>
  </w:num>
  <w:num w:numId="12">
    <w:abstractNumId w:val="3"/>
  </w:num>
  <w:num w:numId="13">
    <w:abstractNumId w:val="11"/>
  </w:num>
  <w:num w:numId="14">
    <w:abstractNumId w:val="4"/>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85D"/>
    <w:rsid w:val="00013C6D"/>
    <w:rsid w:val="00014F28"/>
    <w:rsid w:val="000213AE"/>
    <w:rsid w:val="0002390B"/>
    <w:rsid w:val="00045207"/>
    <w:rsid w:val="0004630F"/>
    <w:rsid w:val="0004656D"/>
    <w:rsid w:val="00053F0D"/>
    <w:rsid w:val="00070085"/>
    <w:rsid w:val="00074135"/>
    <w:rsid w:val="000863C1"/>
    <w:rsid w:val="00086E5C"/>
    <w:rsid w:val="0009136E"/>
    <w:rsid w:val="000A0D9D"/>
    <w:rsid w:val="000A7395"/>
    <w:rsid w:val="000B54F0"/>
    <w:rsid w:val="000D09F0"/>
    <w:rsid w:val="000D563B"/>
    <w:rsid w:val="000D6310"/>
    <w:rsid w:val="000D68BC"/>
    <w:rsid w:val="000E0869"/>
    <w:rsid w:val="000E77ED"/>
    <w:rsid w:val="001063AC"/>
    <w:rsid w:val="00111CFE"/>
    <w:rsid w:val="00113CE9"/>
    <w:rsid w:val="00113DD0"/>
    <w:rsid w:val="00114084"/>
    <w:rsid w:val="00152017"/>
    <w:rsid w:val="001632CE"/>
    <w:rsid w:val="00174229"/>
    <w:rsid w:val="00176BA5"/>
    <w:rsid w:val="00182534"/>
    <w:rsid w:val="00183B0C"/>
    <w:rsid w:val="00184FA5"/>
    <w:rsid w:val="00197A7C"/>
    <w:rsid w:val="001A1654"/>
    <w:rsid w:val="001A69DB"/>
    <w:rsid w:val="001B352E"/>
    <w:rsid w:val="001B6853"/>
    <w:rsid w:val="001B7C5D"/>
    <w:rsid w:val="001C1C78"/>
    <w:rsid w:val="001C6178"/>
    <w:rsid w:val="001D0809"/>
    <w:rsid w:val="001D177A"/>
    <w:rsid w:val="001D5061"/>
    <w:rsid w:val="001E3324"/>
    <w:rsid w:val="001E7E75"/>
    <w:rsid w:val="00213F91"/>
    <w:rsid w:val="00220000"/>
    <w:rsid w:val="00221FD4"/>
    <w:rsid w:val="002303D3"/>
    <w:rsid w:val="002422E7"/>
    <w:rsid w:val="002459AC"/>
    <w:rsid w:val="00253517"/>
    <w:rsid w:val="00256E52"/>
    <w:rsid w:val="00280B2B"/>
    <w:rsid w:val="00284878"/>
    <w:rsid w:val="00284AC4"/>
    <w:rsid w:val="002A0821"/>
    <w:rsid w:val="002A7CCF"/>
    <w:rsid w:val="002C529A"/>
    <w:rsid w:val="002C7E58"/>
    <w:rsid w:val="002D02D7"/>
    <w:rsid w:val="002D5C89"/>
    <w:rsid w:val="002E2F1B"/>
    <w:rsid w:val="002E411F"/>
    <w:rsid w:val="002E683B"/>
    <w:rsid w:val="002F2488"/>
    <w:rsid w:val="00306954"/>
    <w:rsid w:val="00311CCA"/>
    <w:rsid w:val="00326802"/>
    <w:rsid w:val="00331419"/>
    <w:rsid w:val="00332ACA"/>
    <w:rsid w:val="003372F1"/>
    <w:rsid w:val="00341EA5"/>
    <w:rsid w:val="00364DB8"/>
    <w:rsid w:val="00374029"/>
    <w:rsid w:val="00374D9A"/>
    <w:rsid w:val="003927EE"/>
    <w:rsid w:val="003B168F"/>
    <w:rsid w:val="003C6C5B"/>
    <w:rsid w:val="003D1E8F"/>
    <w:rsid w:val="003D685D"/>
    <w:rsid w:val="003E4062"/>
    <w:rsid w:val="003F4863"/>
    <w:rsid w:val="00411AF3"/>
    <w:rsid w:val="00414A6F"/>
    <w:rsid w:val="00414E2C"/>
    <w:rsid w:val="00415359"/>
    <w:rsid w:val="00415A32"/>
    <w:rsid w:val="0042238B"/>
    <w:rsid w:val="00425D5C"/>
    <w:rsid w:val="00426D4A"/>
    <w:rsid w:val="004407CB"/>
    <w:rsid w:val="00440809"/>
    <w:rsid w:val="004570E5"/>
    <w:rsid w:val="004575E8"/>
    <w:rsid w:val="00462270"/>
    <w:rsid w:val="00466D31"/>
    <w:rsid w:val="004862E3"/>
    <w:rsid w:val="004870B6"/>
    <w:rsid w:val="00497B6B"/>
    <w:rsid w:val="004A63DD"/>
    <w:rsid w:val="004B58D5"/>
    <w:rsid w:val="004C04C0"/>
    <w:rsid w:val="004C6A73"/>
    <w:rsid w:val="004C7953"/>
    <w:rsid w:val="004D743D"/>
    <w:rsid w:val="004F4A69"/>
    <w:rsid w:val="00500009"/>
    <w:rsid w:val="00501D9D"/>
    <w:rsid w:val="005049A2"/>
    <w:rsid w:val="005166ED"/>
    <w:rsid w:val="00517124"/>
    <w:rsid w:val="00524C37"/>
    <w:rsid w:val="005254E2"/>
    <w:rsid w:val="005336B3"/>
    <w:rsid w:val="005367D7"/>
    <w:rsid w:val="00544693"/>
    <w:rsid w:val="005476DE"/>
    <w:rsid w:val="00550487"/>
    <w:rsid w:val="00551DA5"/>
    <w:rsid w:val="00560DD3"/>
    <w:rsid w:val="005636D1"/>
    <w:rsid w:val="005717CF"/>
    <w:rsid w:val="00582D43"/>
    <w:rsid w:val="00586A91"/>
    <w:rsid w:val="005A2607"/>
    <w:rsid w:val="005C4DED"/>
    <w:rsid w:val="005D1C10"/>
    <w:rsid w:val="005D3A30"/>
    <w:rsid w:val="005E59C8"/>
    <w:rsid w:val="005F6199"/>
    <w:rsid w:val="0060661C"/>
    <w:rsid w:val="006076D0"/>
    <w:rsid w:val="006111BF"/>
    <w:rsid w:val="0062463D"/>
    <w:rsid w:val="006258B8"/>
    <w:rsid w:val="0063239A"/>
    <w:rsid w:val="0064676A"/>
    <w:rsid w:val="00652056"/>
    <w:rsid w:val="00652F9E"/>
    <w:rsid w:val="00657175"/>
    <w:rsid w:val="006620FE"/>
    <w:rsid w:val="00667A2C"/>
    <w:rsid w:val="00682B05"/>
    <w:rsid w:val="0068777A"/>
    <w:rsid w:val="006901C1"/>
    <w:rsid w:val="00691A14"/>
    <w:rsid w:val="006B092E"/>
    <w:rsid w:val="006B68C1"/>
    <w:rsid w:val="006C2066"/>
    <w:rsid w:val="006C7A9D"/>
    <w:rsid w:val="006F0EA6"/>
    <w:rsid w:val="00700C61"/>
    <w:rsid w:val="00705EBB"/>
    <w:rsid w:val="00710B7C"/>
    <w:rsid w:val="00711B8E"/>
    <w:rsid w:val="00711CD2"/>
    <w:rsid w:val="007166EE"/>
    <w:rsid w:val="00716AFE"/>
    <w:rsid w:val="00722811"/>
    <w:rsid w:val="007245F3"/>
    <w:rsid w:val="007267EF"/>
    <w:rsid w:val="0072750A"/>
    <w:rsid w:val="00731369"/>
    <w:rsid w:val="00732182"/>
    <w:rsid w:val="0074302C"/>
    <w:rsid w:val="00766647"/>
    <w:rsid w:val="0076797E"/>
    <w:rsid w:val="007725F8"/>
    <w:rsid w:val="0078018B"/>
    <w:rsid w:val="007813AB"/>
    <w:rsid w:val="00785526"/>
    <w:rsid w:val="0079092A"/>
    <w:rsid w:val="007B2F3B"/>
    <w:rsid w:val="007B4CE7"/>
    <w:rsid w:val="007B51DC"/>
    <w:rsid w:val="007B5D05"/>
    <w:rsid w:val="007D075F"/>
    <w:rsid w:val="007D19C2"/>
    <w:rsid w:val="007E5B26"/>
    <w:rsid w:val="007F2F5B"/>
    <w:rsid w:val="007F64DF"/>
    <w:rsid w:val="0080192D"/>
    <w:rsid w:val="00801FED"/>
    <w:rsid w:val="00820969"/>
    <w:rsid w:val="008232C4"/>
    <w:rsid w:val="00826435"/>
    <w:rsid w:val="008318C0"/>
    <w:rsid w:val="00836305"/>
    <w:rsid w:val="00841181"/>
    <w:rsid w:val="0084184A"/>
    <w:rsid w:val="00846A17"/>
    <w:rsid w:val="00857665"/>
    <w:rsid w:val="00867D89"/>
    <w:rsid w:val="008768E2"/>
    <w:rsid w:val="00884C3D"/>
    <w:rsid w:val="00894730"/>
    <w:rsid w:val="0089557B"/>
    <w:rsid w:val="00895CC1"/>
    <w:rsid w:val="008A7CCA"/>
    <w:rsid w:val="008B27C5"/>
    <w:rsid w:val="008B4F59"/>
    <w:rsid w:val="008B6CCA"/>
    <w:rsid w:val="008C2671"/>
    <w:rsid w:val="008C4DC6"/>
    <w:rsid w:val="008C68AF"/>
    <w:rsid w:val="008D7CAB"/>
    <w:rsid w:val="008E1C88"/>
    <w:rsid w:val="008E70AF"/>
    <w:rsid w:val="008F4738"/>
    <w:rsid w:val="008F6DAD"/>
    <w:rsid w:val="00901FB3"/>
    <w:rsid w:val="00902731"/>
    <w:rsid w:val="00906C17"/>
    <w:rsid w:val="00906C31"/>
    <w:rsid w:val="0091089E"/>
    <w:rsid w:val="009316CC"/>
    <w:rsid w:val="00932E86"/>
    <w:rsid w:val="00933033"/>
    <w:rsid w:val="009474CA"/>
    <w:rsid w:val="0096703F"/>
    <w:rsid w:val="0097361D"/>
    <w:rsid w:val="00980233"/>
    <w:rsid w:val="0098096B"/>
    <w:rsid w:val="00980AFB"/>
    <w:rsid w:val="00993CAF"/>
    <w:rsid w:val="0099661F"/>
    <w:rsid w:val="009976C3"/>
    <w:rsid w:val="009A43E9"/>
    <w:rsid w:val="009B20BC"/>
    <w:rsid w:val="009B2116"/>
    <w:rsid w:val="009E474B"/>
    <w:rsid w:val="009F26DC"/>
    <w:rsid w:val="009F4A38"/>
    <w:rsid w:val="009F4E52"/>
    <w:rsid w:val="009F532C"/>
    <w:rsid w:val="00A005C3"/>
    <w:rsid w:val="00A046A3"/>
    <w:rsid w:val="00A119B0"/>
    <w:rsid w:val="00A12D35"/>
    <w:rsid w:val="00A130E5"/>
    <w:rsid w:val="00A205DC"/>
    <w:rsid w:val="00A224A4"/>
    <w:rsid w:val="00A26DFB"/>
    <w:rsid w:val="00A3045C"/>
    <w:rsid w:val="00A3562A"/>
    <w:rsid w:val="00A445E7"/>
    <w:rsid w:val="00A60B6D"/>
    <w:rsid w:val="00A65C45"/>
    <w:rsid w:val="00A74CB0"/>
    <w:rsid w:val="00A77511"/>
    <w:rsid w:val="00A868F4"/>
    <w:rsid w:val="00A91106"/>
    <w:rsid w:val="00A93D51"/>
    <w:rsid w:val="00AA736B"/>
    <w:rsid w:val="00AC16C8"/>
    <w:rsid w:val="00AD0BB3"/>
    <w:rsid w:val="00AD683F"/>
    <w:rsid w:val="00AF1749"/>
    <w:rsid w:val="00B00725"/>
    <w:rsid w:val="00B01D3A"/>
    <w:rsid w:val="00B11AA9"/>
    <w:rsid w:val="00B2690D"/>
    <w:rsid w:val="00B26B59"/>
    <w:rsid w:val="00B34D4D"/>
    <w:rsid w:val="00B364EB"/>
    <w:rsid w:val="00B46BC4"/>
    <w:rsid w:val="00B4779E"/>
    <w:rsid w:val="00B77CD8"/>
    <w:rsid w:val="00B95ABC"/>
    <w:rsid w:val="00B97FCA"/>
    <w:rsid w:val="00BB2CFA"/>
    <w:rsid w:val="00BB62BB"/>
    <w:rsid w:val="00BC7DD7"/>
    <w:rsid w:val="00BE3141"/>
    <w:rsid w:val="00BE4C86"/>
    <w:rsid w:val="00BE5466"/>
    <w:rsid w:val="00BE6D35"/>
    <w:rsid w:val="00BE7F31"/>
    <w:rsid w:val="00BF374A"/>
    <w:rsid w:val="00BF559B"/>
    <w:rsid w:val="00C0645C"/>
    <w:rsid w:val="00C141BE"/>
    <w:rsid w:val="00C2647F"/>
    <w:rsid w:val="00C266FC"/>
    <w:rsid w:val="00C26D61"/>
    <w:rsid w:val="00C31F2E"/>
    <w:rsid w:val="00C32D7A"/>
    <w:rsid w:val="00C362BD"/>
    <w:rsid w:val="00C400B6"/>
    <w:rsid w:val="00C47D75"/>
    <w:rsid w:val="00C6368D"/>
    <w:rsid w:val="00C761AB"/>
    <w:rsid w:val="00C825F0"/>
    <w:rsid w:val="00C84388"/>
    <w:rsid w:val="00C93549"/>
    <w:rsid w:val="00CA513E"/>
    <w:rsid w:val="00CA54B1"/>
    <w:rsid w:val="00CB5C11"/>
    <w:rsid w:val="00CC0C20"/>
    <w:rsid w:val="00CC2B5E"/>
    <w:rsid w:val="00CF1DED"/>
    <w:rsid w:val="00D02734"/>
    <w:rsid w:val="00D0631D"/>
    <w:rsid w:val="00D20F10"/>
    <w:rsid w:val="00D23661"/>
    <w:rsid w:val="00D27532"/>
    <w:rsid w:val="00D3196F"/>
    <w:rsid w:val="00D40F89"/>
    <w:rsid w:val="00D44CE0"/>
    <w:rsid w:val="00D51F90"/>
    <w:rsid w:val="00D54565"/>
    <w:rsid w:val="00D6511C"/>
    <w:rsid w:val="00D66AAE"/>
    <w:rsid w:val="00D72957"/>
    <w:rsid w:val="00D85951"/>
    <w:rsid w:val="00D94877"/>
    <w:rsid w:val="00DB1CF0"/>
    <w:rsid w:val="00DC17E1"/>
    <w:rsid w:val="00DD71A0"/>
    <w:rsid w:val="00DE70B3"/>
    <w:rsid w:val="00DF0BFC"/>
    <w:rsid w:val="00DF3BF1"/>
    <w:rsid w:val="00E001B6"/>
    <w:rsid w:val="00E01DD2"/>
    <w:rsid w:val="00E1134C"/>
    <w:rsid w:val="00E11415"/>
    <w:rsid w:val="00E15151"/>
    <w:rsid w:val="00E20BA2"/>
    <w:rsid w:val="00E2586A"/>
    <w:rsid w:val="00E43A77"/>
    <w:rsid w:val="00E47DCB"/>
    <w:rsid w:val="00E5589F"/>
    <w:rsid w:val="00E62871"/>
    <w:rsid w:val="00E6494C"/>
    <w:rsid w:val="00E770BB"/>
    <w:rsid w:val="00E775C7"/>
    <w:rsid w:val="00E812EF"/>
    <w:rsid w:val="00E85FCD"/>
    <w:rsid w:val="00E94223"/>
    <w:rsid w:val="00E9515F"/>
    <w:rsid w:val="00EA13FB"/>
    <w:rsid w:val="00EA4BE9"/>
    <w:rsid w:val="00EC1D39"/>
    <w:rsid w:val="00EC4216"/>
    <w:rsid w:val="00ED1CA7"/>
    <w:rsid w:val="00ED1CF0"/>
    <w:rsid w:val="00ED3C80"/>
    <w:rsid w:val="00EE516A"/>
    <w:rsid w:val="00EE676D"/>
    <w:rsid w:val="00F030BE"/>
    <w:rsid w:val="00F04B95"/>
    <w:rsid w:val="00F12B79"/>
    <w:rsid w:val="00F14596"/>
    <w:rsid w:val="00F4435C"/>
    <w:rsid w:val="00F44A8A"/>
    <w:rsid w:val="00F50CC8"/>
    <w:rsid w:val="00F5102C"/>
    <w:rsid w:val="00F56556"/>
    <w:rsid w:val="00F6736F"/>
    <w:rsid w:val="00F677B3"/>
    <w:rsid w:val="00F71574"/>
    <w:rsid w:val="00F7246B"/>
    <w:rsid w:val="00F767B3"/>
    <w:rsid w:val="00F77D49"/>
    <w:rsid w:val="00F84EAB"/>
    <w:rsid w:val="00FA12FE"/>
    <w:rsid w:val="00FA2FA5"/>
    <w:rsid w:val="00FC738E"/>
    <w:rsid w:val="00FE20FD"/>
    <w:rsid w:val="00FE242F"/>
    <w:rsid w:val="00FE4915"/>
    <w:rsid w:val="00FE53AB"/>
    <w:rsid w:val="00FF11AB"/>
    <w:rsid w:val="00FF1FDA"/>
    <w:rsid w:val="00FF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EC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
    <w:semiHidden/>
    <w:locked/>
    <w:rsid w:val="008C2671"/>
    <w:rPr>
      <w:lang w:val="en-US" w:eastAsia="en-US" w:bidi="ar-SA"/>
    </w:rPr>
  </w:style>
  <w:style w:type="paragraph" w:styleId="Revision">
    <w:name w:val="Revision"/>
    <w:hidden/>
    <w:uiPriority w:val="99"/>
    <w:semiHidden/>
    <w:rsid w:val="00A868F4"/>
    <w:rPr>
      <w:rFonts w:ascii="Arial" w:hAnsi="Arial"/>
      <w:sz w:val="24"/>
    </w:rPr>
  </w:style>
  <w:style w:type="paragraph" w:customStyle="1" w:styleId="ParaNum">
    <w:name w:val="ParaNum"/>
    <w:basedOn w:val="Normal"/>
    <w:link w:val="ParaNumChar"/>
    <w:rsid w:val="006620FE"/>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uiPriority w:val="99"/>
    <w:locked/>
    <w:rsid w:val="00FE20FD"/>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tabs>
        <w:tab w:val="right" w:pos="9900"/>
      </w:tabs>
      <w:suppressAutoHyphens/>
      <w:ind w:right="-540"/>
      <w:outlineLvl w:val="0"/>
    </w:pPr>
    <w:rPr>
      <w:b/>
      <w:sz w:val="16"/>
    </w:rPr>
  </w:style>
  <w:style w:type="paragraph" w:styleId="Heading2">
    <w:name w:val="heading 2"/>
    <w:basedOn w:val="Normal"/>
    <w:next w:val="Normal"/>
    <w:link w:val="Heading2Char"/>
    <w:qFormat/>
    <w:pPr>
      <w:keepNext/>
      <w:tabs>
        <w:tab w:val="left" w:pos="-720"/>
      </w:tabs>
      <w:suppressAutoHyphens/>
      <w:ind w:right="-540"/>
      <w:outlineLvl w:val="1"/>
    </w:pPr>
    <w:rPr>
      <w:b/>
      <w:sz w:val="108"/>
    </w:rPr>
  </w:style>
  <w:style w:type="paragraph" w:styleId="Heading3">
    <w:name w:val="heading 3"/>
    <w:basedOn w:val="Normal"/>
    <w:next w:val="Normal"/>
    <w:link w:val="Heading3Char"/>
    <w:qFormat/>
    <w:pPr>
      <w:keepNext/>
      <w:outlineLvl w:val="2"/>
    </w:pPr>
    <w:rPr>
      <w:b/>
      <w:sz w:val="16"/>
    </w:rPr>
  </w:style>
  <w:style w:type="paragraph" w:styleId="Heading4">
    <w:name w:val="heading 4"/>
    <w:basedOn w:val="Normal"/>
    <w:next w:val="Normal"/>
    <w:link w:val="Heading4Char"/>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rPr>
  </w:style>
  <w:style w:type="character" w:customStyle="1" w:styleId="Heading2Char">
    <w:name w:val="Heading 2 Char"/>
    <w:link w:val="Heading2"/>
    <w:semiHidden/>
    <w:locked/>
    <w:rPr>
      <w:rFonts w:ascii="Cambria" w:hAnsi="Cambria" w:cs="Times New Roman"/>
      <w:b/>
      <w:bCs/>
      <w:i/>
      <w:iCs/>
      <w:sz w:val="28"/>
    </w:rPr>
  </w:style>
  <w:style w:type="character" w:customStyle="1" w:styleId="Heading3Char">
    <w:name w:val="Heading 3 Char"/>
    <w:link w:val="Heading3"/>
    <w:semiHidden/>
    <w:locked/>
    <w:rPr>
      <w:rFonts w:ascii="Cambria" w:hAnsi="Cambria" w:cs="Times New Roman"/>
      <w:b/>
      <w:bCs/>
      <w:sz w:val="26"/>
    </w:rPr>
  </w:style>
  <w:style w:type="character" w:customStyle="1" w:styleId="Heading4Char">
    <w:name w:val="Heading 4 Char"/>
    <w:link w:val="Heading4"/>
    <w:semiHidden/>
    <w:locked/>
    <w:rPr>
      <w:rFonts w:ascii="Calibri" w:hAnsi="Calibri" w:cs="Times New Roman"/>
      <w:b/>
      <w:bCs/>
      <w:sz w:val="28"/>
    </w:rPr>
  </w:style>
  <w:style w:type="character" w:styleId="FootnoteReference">
    <w:name w:val="footnote reference"/>
    <w:aliases w:val="Style 12,(NECG) Footnote Reference,Appel note de bas de p,Style 124,Style 4,Style 13,o,fr,Style 3,FR,Style 17,Footnote Reference/,Style 6,Footnote Reference1"/>
    <w:rPr>
      <w:rFonts w:ascii="Times New Roman" w:hAnsi="Times New Roman" w:cs="Times New Roman"/>
      <w:spacing w:val="-2"/>
      <w:sz w:val="22"/>
      <w:vertAlign w:val="superscript"/>
    </w:rPr>
  </w:style>
  <w:style w:type="paragraph" w:styleId="FootnoteText">
    <w:name w:val="footnote text"/>
    <w:aliases w:val="Footnote Text Char1,ALTS FOOTNOTE Char,fn Char,rrfootnote Char1,Footnote Text Char Char,Footnote Text Char1 Char Char,Footnote Text Char Char Char Char,rrfootnote Char Char Char Char,Footnote Text Char1 Char Char Char Char,ALTS FOOTNOTE,f"/>
    <w:basedOn w:val="Normal"/>
    <w:link w:val="FootnoteTextChar"/>
    <w:pPr>
      <w:widowControl w:val="0"/>
    </w:pPr>
    <w:rPr>
      <w:rFonts w:ascii="Times New Roman" w:hAnsi="Times New Roman"/>
      <w:sz w:val="20"/>
    </w:rPr>
  </w:style>
  <w:style w:type="character" w:customStyle="1" w:styleId="FootnoteTextChar">
    <w:name w:val="Footnote Text Char"/>
    <w:aliases w:val="Footnote Text Char1 Char1,ALTS FOOTNOTE Char Char1,fn Char Char1,rrfootnote Char1 Char1,Footnote Text Char Char Char1,Footnote Text Char1 Char Char Char1,Footnote Text Char Char Char Char Char1,rrfootnote Char Char Char Char Char1"/>
    <w:link w:val="FootnoteText"/>
    <w:locked/>
    <w:rPr>
      <w:rFonts w:ascii="Arial" w:hAnsi="Arial" w:cs="Times New Roman"/>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rFonts w:ascii="Arial" w:hAnsi="Arial" w:cs="Times New Roman"/>
      <w:sz w:val="24"/>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semiHidden/>
    <w:locked/>
    <w:rPr>
      <w:rFonts w:ascii="Arial" w:hAnsi="Arial" w:cs="Times New Roman"/>
      <w:sz w:val="24"/>
    </w:rPr>
  </w:style>
  <w:style w:type="paragraph" w:styleId="BodyText">
    <w:name w:val="Body Text"/>
    <w:basedOn w:val="Normal"/>
    <w:link w:val="BodyTextChar"/>
    <w:rPr>
      <w:rFonts w:ascii="Times New Roman" w:hAnsi="Times New Roman"/>
      <w:sz w:val="22"/>
    </w:rPr>
  </w:style>
  <w:style w:type="character" w:customStyle="1" w:styleId="BodyTextChar">
    <w:name w:val="Body Text Char"/>
    <w:link w:val="BodyText"/>
    <w:semiHidden/>
    <w:locked/>
    <w:rPr>
      <w:rFonts w:ascii="Arial" w:hAnsi="Arial" w:cs="Times New Roman"/>
      <w:sz w:val="24"/>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paragraph" w:styleId="BodyTextIndent">
    <w:name w:val="Body Text Indent"/>
    <w:basedOn w:val="Normal"/>
    <w:link w:val="BodyTextIndentChar"/>
    <w:pPr>
      <w:ind w:firstLine="720"/>
    </w:pPr>
    <w:rPr>
      <w:rFonts w:ascii="Times New Roman" w:hAnsi="Times New Roman"/>
    </w:rPr>
  </w:style>
  <w:style w:type="character" w:customStyle="1" w:styleId="BodyTextIndentChar">
    <w:name w:val="Body Text Indent Char"/>
    <w:link w:val="BodyTextIndent"/>
    <w:semiHidden/>
    <w:locked/>
    <w:rPr>
      <w:rFonts w:ascii="Arial" w:hAnsi="Arial" w:cs="Times New Roman"/>
      <w:sz w:val="24"/>
    </w:rPr>
  </w:style>
  <w:style w:type="paragraph" w:styleId="PlainText">
    <w:name w:val="Plain Text"/>
    <w:basedOn w:val="Normal"/>
    <w:link w:val="PlainTextChar"/>
    <w:rPr>
      <w:rFonts w:ascii="Times New Roman" w:hAnsi="Times New Roman"/>
      <w:sz w:val="22"/>
      <w:szCs w:val="22"/>
    </w:rPr>
  </w:style>
  <w:style w:type="character" w:customStyle="1" w:styleId="PlainTextChar">
    <w:name w:val="Plain Text Char"/>
    <w:link w:val="PlainText"/>
    <w:semiHidden/>
    <w:locked/>
    <w:rPr>
      <w:rFonts w:ascii="Courier New" w:hAnsi="Courier New" w:cs="Courier New"/>
    </w:rPr>
  </w:style>
  <w:style w:type="character" w:customStyle="1" w:styleId="adr">
    <w:name w:val="adr"/>
    <w:rPr>
      <w:rFonts w:cs="Times New Roman"/>
    </w:rPr>
  </w:style>
  <w:style w:type="character" w:customStyle="1" w:styleId="street-address">
    <w:name w:val="street-address"/>
    <w:rPr>
      <w:rFonts w:cs="Times New Roman"/>
    </w:rPr>
  </w:style>
  <w:style w:type="character" w:customStyle="1" w:styleId="locality">
    <w:name w:val="locality"/>
    <w:rPr>
      <w:rFonts w:cs="Times New Roman"/>
    </w:rPr>
  </w:style>
  <w:style w:type="character" w:customStyle="1" w:styleId="region">
    <w:name w:val="region"/>
    <w:rPr>
      <w:rFonts w:cs="Times New Roman"/>
    </w:rPr>
  </w:style>
  <w:style w:type="character" w:customStyle="1" w:styleId="postal-code">
    <w:name w:val="postal-code"/>
    <w:rPr>
      <w:rFonts w:cs="Times New Roman"/>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rPr>
  </w:style>
  <w:style w:type="paragraph" w:styleId="DocumentMap">
    <w:name w:val="Document Map"/>
    <w:basedOn w:val="Normal"/>
    <w:semiHidden/>
    <w:locked/>
    <w:pPr>
      <w:shd w:val="clear" w:color="auto" w:fill="000080"/>
    </w:pPr>
    <w:rPr>
      <w:rFonts w:ascii="Tahoma" w:hAnsi="Tahoma" w:cs="Tahoma"/>
      <w:sz w:val="20"/>
    </w:rPr>
  </w:style>
  <w:style w:type="character" w:styleId="CommentReference">
    <w:name w:val="annotation reference"/>
    <w:semiHidden/>
    <w:locked/>
    <w:rPr>
      <w:sz w:val="16"/>
      <w:szCs w:val="16"/>
    </w:rPr>
  </w:style>
  <w:style w:type="paragraph" w:styleId="CommentText">
    <w:name w:val="annotation text"/>
    <w:basedOn w:val="Normal"/>
    <w:semiHidden/>
    <w:locked/>
    <w:rPr>
      <w:sz w:val="20"/>
    </w:rPr>
  </w:style>
  <w:style w:type="paragraph" w:styleId="CommentSubject">
    <w:name w:val="annotation subject"/>
    <w:basedOn w:val="CommentText"/>
    <w:next w:val="CommentText"/>
    <w:semiHidden/>
    <w:locked/>
    <w:rPr>
      <w:b/>
      <w:bCs/>
    </w:rPr>
  </w:style>
  <w:style w:type="paragraph" w:styleId="NormalWeb">
    <w:name w:val="Normal (Web)"/>
    <w:basedOn w:val="Normal"/>
    <w:unhideWhenUsed/>
    <w:pPr>
      <w:spacing w:before="100" w:beforeAutospacing="1" w:after="100" w:afterAutospacing="1"/>
    </w:pPr>
    <w:rPr>
      <w:rFonts w:ascii="Verdana" w:hAnsi="Verdana"/>
      <w:color w:val="000000"/>
      <w:sz w:val="20"/>
    </w:rPr>
  </w:style>
  <w:style w:type="character" w:styleId="Strong">
    <w:name w:val="Strong"/>
    <w:qFormat/>
    <w:rPr>
      <w:b/>
      <w:bCs/>
    </w:rPr>
  </w:style>
  <w:style w:type="paragraph" w:styleId="List2">
    <w:name w:val="List 2"/>
    <w:basedOn w:val="Normal"/>
    <w:pPr>
      <w:ind w:left="720" w:hanging="360"/>
    </w:pPr>
  </w:style>
  <w:style w:type="character" w:customStyle="1" w:styleId="EmailStyle481">
    <w:name w:val="EmailStyle481"/>
    <w:semiHidden/>
    <w:rPr>
      <w:rFonts w:ascii="Arial" w:hAnsi="Arial" w:cs="Arial"/>
      <w:color w:val="auto"/>
      <w:sz w:val="20"/>
      <w:szCs w:val="20"/>
    </w:rPr>
  </w:style>
  <w:style w:type="character" w:customStyle="1" w:styleId="FootnoteTextChar1Char">
    <w:name w:val="Footnote Text Char1 Char"/>
    <w:aliases w:val="ALTS FOOTNOTE Char Char,fn Char Char,rrfootnote Char1 Char,Footnote Text Char Char Char,Footnote Text Char1 Char Char Char,Footnote Text Char Char Char Char Char,rrfootnote Char Char Char Char Char,ALTS FOOTNOTE Char1"/>
    <w:semiHidden/>
    <w:locked/>
    <w:rsid w:val="008C2671"/>
    <w:rPr>
      <w:lang w:val="en-US" w:eastAsia="en-US" w:bidi="ar-SA"/>
    </w:rPr>
  </w:style>
  <w:style w:type="paragraph" w:styleId="Revision">
    <w:name w:val="Revision"/>
    <w:hidden/>
    <w:uiPriority w:val="99"/>
    <w:semiHidden/>
    <w:rsid w:val="00A868F4"/>
    <w:rPr>
      <w:rFonts w:ascii="Arial" w:hAnsi="Arial"/>
      <w:sz w:val="24"/>
    </w:rPr>
  </w:style>
  <w:style w:type="paragraph" w:customStyle="1" w:styleId="ParaNum">
    <w:name w:val="ParaNum"/>
    <w:basedOn w:val="Normal"/>
    <w:link w:val="ParaNumChar"/>
    <w:rsid w:val="006620FE"/>
    <w:pPr>
      <w:widowControl w:val="0"/>
      <w:numPr>
        <w:numId w:val="16"/>
      </w:numPr>
      <w:tabs>
        <w:tab w:val="clear" w:pos="1080"/>
        <w:tab w:val="num" w:pos="1440"/>
      </w:tabs>
      <w:spacing w:after="120"/>
    </w:pPr>
    <w:rPr>
      <w:rFonts w:ascii="Times New Roman" w:hAnsi="Times New Roman"/>
      <w:snapToGrid w:val="0"/>
      <w:kern w:val="28"/>
      <w:sz w:val="22"/>
    </w:rPr>
  </w:style>
  <w:style w:type="character" w:customStyle="1" w:styleId="ParaNumChar">
    <w:name w:val="ParaNum Char"/>
    <w:link w:val="ParaNum"/>
    <w:uiPriority w:val="99"/>
    <w:locked/>
    <w:rsid w:val="00FE20F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0351">
      <w:bodyDiv w:val="1"/>
      <w:marLeft w:val="0"/>
      <w:marRight w:val="0"/>
      <w:marTop w:val="0"/>
      <w:marBottom w:val="0"/>
      <w:divBdr>
        <w:top w:val="none" w:sz="0" w:space="0" w:color="auto"/>
        <w:left w:val="none" w:sz="0" w:space="0" w:color="auto"/>
        <w:bottom w:val="none" w:sz="0" w:space="0" w:color="auto"/>
        <w:right w:val="none" w:sz="0" w:space="0" w:color="auto"/>
      </w:divBdr>
    </w:div>
    <w:div w:id="441266424">
      <w:bodyDiv w:val="1"/>
      <w:marLeft w:val="0"/>
      <w:marRight w:val="0"/>
      <w:marTop w:val="0"/>
      <w:marBottom w:val="0"/>
      <w:divBdr>
        <w:top w:val="single" w:sz="24" w:space="0" w:color="76B72A"/>
        <w:left w:val="none" w:sz="0" w:space="0" w:color="auto"/>
        <w:bottom w:val="none" w:sz="0" w:space="0" w:color="auto"/>
        <w:right w:val="none" w:sz="0" w:space="0" w:color="auto"/>
      </w:divBdr>
      <w:divsChild>
        <w:div w:id="50856987">
          <w:marLeft w:val="0"/>
          <w:marRight w:val="0"/>
          <w:marTop w:val="100"/>
          <w:marBottom w:val="100"/>
          <w:divBdr>
            <w:top w:val="none" w:sz="0" w:space="0" w:color="auto"/>
            <w:left w:val="none" w:sz="0" w:space="0" w:color="auto"/>
            <w:bottom w:val="none" w:sz="0" w:space="0" w:color="auto"/>
            <w:right w:val="none" w:sz="0" w:space="0" w:color="auto"/>
          </w:divBdr>
          <w:divsChild>
            <w:div w:id="1575703618">
              <w:marLeft w:val="0"/>
              <w:marRight w:val="0"/>
              <w:marTop w:val="0"/>
              <w:marBottom w:val="0"/>
              <w:divBdr>
                <w:top w:val="none" w:sz="0" w:space="0" w:color="auto"/>
                <w:left w:val="none" w:sz="0" w:space="0" w:color="auto"/>
                <w:bottom w:val="none" w:sz="0" w:space="0" w:color="auto"/>
                <w:right w:val="none" w:sz="0" w:space="0" w:color="auto"/>
              </w:divBdr>
              <w:divsChild>
                <w:div w:id="337969204">
                  <w:marLeft w:val="0"/>
                  <w:marRight w:val="0"/>
                  <w:marTop w:val="0"/>
                  <w:marBottom w:val="0"/>
                  <w:divBdr>
                    <w:top w:val="none" w:sz="0" w:space="0" w:color="auto"/>
                    <w:left w:val="none" w:sz="0" w:space="0" w:color="auto"/>
                    <w:bottom w:val="none" w:sz="0" w:space="0" w:color="auto"/>
                    <w:right w:val="none" w:sz="0" w:space="0" w:color="auto"/>
                  </w:divBdr>
                  <w:divsChild>
                    <w:div w:id="1066730203">
                      <w:marLeft w:val="0"/>
                      <w:marRight w:val="0"/>
                      <w:marTop w:val="0"/>
                      <w:marBottom w:val="0"/>
                      <w:divBdr>
                        <w:top w:val="none" w:sz="0" w:space="0" w:color="auto"/>
                        <w:left w:val="none" w:sz="0" w:space="0" w:color="auto"/>
                        <w:bottom w:val="none" w:sz="0" w:space="0" w:color="auto"/>
                        <w:right w:val="none" w:sz="0" w:space="0" w:color="auto"/>
                      </w:divBdr>
                      <w:divsChild>
                        <w:div w:id="86883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794165">
      <w:bodyDiv w:val="1"/>
      <w:marLeft w:val="0"/>
      <w:marRight w:val="0"/>
      <w:marTop w:val="0"/>
      <w:marBottom w:val="0"/>
      <w:divBdr>
        <w:top w:val="none" w:sz="0" w:space="0" w:color="auto"/>
        <w:left w:val="none" w:sz="0" w:space="0" w:color="auto"/>
        <w:bottom w:val="none" w:sz="0" w:space="0" w:color="auto"/>
        <w:right w:val="none" w:sz="0" w:space="0" w:color="auto"/>
      </w:divBdr>
      <w:divsChild>
        <w:div w:id="1724600069">
          <w:marLeft w:val="0"/>
          <w:marRight w:val="0"/>
          <w:marTop w:val="0"/>
          <w:marBottom w:val="0"/>
          <w:divBdr>
            <w:top w:val="none" w:sz="0" w:space="0" w:color="auto"/>
            <w:left w:val="none" w:sz="0" w:space="0" w:color="auto"/>
            <w:bottom w:val="none" w:sz="0" w:space="0" w:color="auto"/>
            <w:right w:val="none" w:sz="0" w:space="0" w:color="auto"/>
          </w:divBdr>
          <w:divsChild>
            <w:div w:id="96758383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60644634">
                  <w:marLeft w:val="0"/>
                  <w:marRight w:val="0"/>
                  <w:marTop w:val="0"/>
                  <w:marBottom w:val="0"/>
                  <w:divBdr>
                    <w:top w:val="none" w:sz="0" w:space="0" w:color="auto"/>
                    <w:left w:val="none" w:sz="0" w:space="0" w:color="auto"/>
                    <w:bottom w:val="none" w:sz="0" w:space="0" w:color="auto"/>
                    <w:right w:val="none" w:sz="0" w:space="0" w:color="auto"/>
                  </w:divBdr>
                  <w:divsChild>
                    <w:div w:id="1281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468649">
      <w:bodyDiv w:val="1"/>
      <w:marLeft w:val="0"/>
      <w:marRight w:val="0"/>
      <w:marTop w:val="0"/>
      <w:marBottom w:val="0"/>
      <w:divBdr>
        <w:top w:val="single" w:sz="48" w:space="0" w:color="76B72A"/>
        <w:left w:val="none" w:sz="0" w:space="0" w:color="auto"/>
        <w:bottom w:val="none" w:sz="0" w:space="0" w:color="auto"/>
        <w:right w:val="none" w:sz="0" w:space="0" w:color="auto"/>
      </w:divBdr>
      <w:divsChild>
        <w:div w:id="1635791438">
          <w:marLeft w:val="0"/>
          <w:marRight w:val="0"/>
          <w:marTop w:val="100"/>
          <w:marBottom w:val="100"/>
          <w:divBdr>
            <w:top w:val="none" w:sz="0" w:space="0" w:color="auto"/>
            <w:left w:val="none" w:sz="0" w:space="0" w:color="auto"/>
            <w:bottom w:val="none" w:sz="0" w:space="0" w:color="auto"/>
            <w:right w:val="none" w:sz="0" w:space="0" w:color="auto"/>
          </w:divBdr>
          <w:divsChild>
            <w:div w:id="4787690">
              <w:marLeft w:val="0"/>
              <w:marRight w:val="0"/>
              <w:marTop w:val="0"/>
              <w:marBottom w:val="0"/>
              <w:divBdr>
                <w:top w:val="none" w:sz="0" w:space="0" w:color="auto"/>
                <w:left w:val="none" w:sz="0" w:space="0" w:color="auto"/>
                <w:bottom w:val="none" w:sz="0" w:space="0" w:color="auto"/>
                <w:right w:val="none" w:sz="0" w:space="0" w:color="auto"/>
              </w:divBdr>
              <w:divsChild>
                <w:div w:id="1654719054">
                  <w:marLeft w:val="0"/>
                  <w:marRight w:val="0"/>
                  <w:marTop w:val="0"/>
                  <w:marBottom w:val="0"/>
                  <w:divBdr>
                    <w:top w:val="none" w:sz="0" w:space="0" w:color="auto"/>
                    <w:left w:val="none" w:sz="0" w:space="0" w:color="auto"/>
                    <w:bottom w:val="none" w:sz="0" w:space="0" w:color="auto"/>
                    <w:right w:val="none" w:sz="0" w:space="0" w:color="auto"/>
                  </w:divBdr>
                  <w:divsChild>
                    <w:div w:id="1816794806">
                      <w:marLeft w:val="0"/>
                      <w:marRight w:val="0"/>
                      <w:marTop w:val="0"/>
                      <w:marBottom w:val="0"/>
                      <w:divBdr>
                        <w:top w:val="none" w:sz="0" w:space="0" w:color="auto"/>
                        <w:left w:val="none" w:sz="0" w:space="0" w:color="auto"/>
                        <w:bottom w:val="none" w:sz="0" w:space="0" w:color="auto"/>
                        <w:right w:val="none" w:sz="0" w:space="0" w:color="auto"/>
                      </w:divBdr>
                      <w:divsChild>
                        <w:div w:id="11775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cc.gov/office-media-relation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edocs_public/attachmatch/DA-16-1458A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sumercomplaints.fcc.gov/hc/en-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cc.gov/consumers/guides/cramming-unauthorized-charges-your-phone-bil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4004</Characters>
  <Application>Microsoft Office Word</Application>
  <DocSecurity>0</DocSecurity>
  <Lines>80</Lines>
  <Paragraphs>26</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4625</CharactersWithSpaces>
  <SharedDoc>false</SharedDoc>
  <HyperlinkBase> </HyperlinkBase>
  <HLinks>
    <vt:vector size="30" baseType="variant">
      <vt:variant>
        <vt:i4>5898330</vt:i4>
      </vt:variant>
      <vt:variant>
        <vt:i4>12</vt:i4>
      </vt:variant>
      <vt:variant>
        <vt:i4>0</vt:i4>
      </vt:variant>
      <vt:variant>
        <vt:i4>5</vt:i4>
      </vt:variant>
      <vt:variant>
        <vt:lpwstr>http://www.fcc.gov/office-media-relations</vt:lpwstr>
      </vt:variant>
      <vt:variant>
        <vt:lpwstr/>
      </vt:variant>
      <vt:variant>
        <vt:i4>1376304</vt:i4>
      </vt:variant>
      <vt:variant>
        <vt:i4>9</vt:i4>
      </vt:variant>
      <vt:variant>
        <vt:i4>0</vt:i4>
      </vt:variant>
      <vt:variant>
        <vt:i4>5</vt:i4>
      </vt:variant>
      <vt:variant>
        <vt:lpwstr>https://apps.fcc.gov/edocs_public/attachmatch/XX-XXX.pdf</vt:lpwstr>
      </vt:variant>
      <vt:variant>
        <vt:lpwstr/>
      </vt:variant>
      <vt:variant>
        <vt:i4>3735594</vt:i4>
      </vt:variant>
      <vt:variant>
        <vt:i4>6</vt:i4>
      </vt:variant>
      <vt:variant>
        <vt:i4>0</vt:i4>
      </vt:variant>
      <vt:variant>
        <vt:i4>5</vt:i4>
      </vt:variant>
      <vt:variant>
        <vt:lpwstr>https://consumercomplaints.fcc.gov/hc/en-us</vt:lpwstr>
      </vt:variant>
      <vt:variant>
        <vt:lpwstr/>
      </vt:variant>
      <vt:variant>
        <vt:i4>720973</vt:i4>
      </vt:variant>
      <vt:variant>
        <vt:i4>3</vt:i4>
      </vt:variant>
      <vt:variant>
        <vt:i4>0</vt:i4>
      </vt:variant>
      <vt:variant>
        <vt:i4>5</vt:i4>
      </vt:variant>
      <vt:variant>
        <vt:lpwstr>https://www.fcc.gov/consumers/guides/slamming-switching-your-authorized-telephone-company-without-permission</vt:lpwstr>
      </vt:variant>
      <vt:variant>
        <vt:lpwstr/>
      </vt:variant>
      <vt:variant>
        <vt:i4>8323186</vt:i4>
      </vt:variant>
      <vt:variant>
        <vt:i4>0</vt:i4>
      </vt:variant>
      <vt:variant>
        <vt:i4>0</vt:i4>
      </vt:variant>
      <vt:variant>
        <vt:i4>5</vt:i4>
      </vt:variant>
      <vt:variant>
        <vt:lpwstr>https://www.fcc.gov/guides/cramming-unauthorized-misleading-or-deceptive-charges-placed-your-telephone-bill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2009-12-09T18:44:00Z</cp:lastPrinted>
  <dcterms:created xsi:type="dcterms:W3CDTF">2016-12-29T19:12:00Z</dcterms:created>
  <dcterms:modified xsi:type="dcterms:W3CDTF">2016-12-29T19:12:00Z</dcterms:modified>
  <cp:category> </cp:category>
  <cp:contentStatus> </cp:contentStatus>
</cp:coreProperties>
</file>