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E0" w:rsidRPr="00DF2347" w:rsidRDefault="005A51E0" w:rsidP="005A51E0">
      <w:pPr>
        <w:pStyle w:val="Title"/>
        <w:rPr>
          <w:rFonts w:ascii="Cambria" w:hAnsi="Cambria"/>
          <w:sz w:val="24"/>
          <w:szCs w:val="24"/>
        </w:rPr>
      </w:pPr>
      <w:r w:rsidRPr="00DF2347">
        <w:rPr>
          <w:rFonts w:ascii="Cambria" w:hAnsi="Cambria"/>
          <w:sz w:val="24"/>
          <w:szCs w:val="24"/>
        </w:rPr>
        <w:t>memorandum</w:t>
      </w:r>
    </w:p>
    <w:tbl>
      <w:tblPr>
        <w:tblW w:w="5000" w:type="pct"/>
        <w:tblCellMar>
          <w:left w:w="0" w:type="dxa"/>
          <w:right w:w="0" w:type="dxa"/>
        </w:tblCellMar>
        <w:tblLook w:val="04A0" w:firstRow="1" w:lastRow="0" w:firstColumn="1" w:lastColumn="0" w:noHBand="0" w:noVBand="1"/>
      </w:tblPr>
      <w:tblGrid>
        <w:gridCol w:w="1468"/>
        <w:gridCol w:w="7892"/>
      </w:tblGrid>
      <w:tr w:rsidR="005A51E0" w:rsidRPr="00DF2347" w:rsidTr="001B0F1A">
        <w:trPr>
          <w:cantSplit/>
          <w:trHeight w:val="253"/>
        </w:trPr>
        <w:tc>
          <w:tcPr>
            <w:tcW w:w="1355" w:type="dxa"/>
          </w:tcPr>
          <w:p w:rsidR="005A51E0" w:rsidRPr="00DF2347" w:rsidRDefault="005A51E0" w:rsidP="001B0F1A">
            <w:pPr>
              <w:pStyle w:val="Heading1"/>
              <w:rPr>
                <w:rFonts w:ascii="Cambria" w:hAnsi="Cambria"/>
                <w:sz w:val="24"/>
                <w:szCs w:val="24"/>
              </w:rPr>
            </w:pPr>
            <w:r w:rsidRPr="00DF2347">
              <w:rPr>
                <w:rFonts w:ascii="Cambria" w:hAnsi="Cambria"/>
                <w:sz w:val="24"/>
                <w:szCs w:val="24"/>
              </w:rPr>
              <w:t>to:</w:t>
            </w:r>
          </w:p>
        </w:tc>
        <w:tc>
          <w:tcPr>
            <w:tcW w:w="7285" w:type="dxa"/>
          </w:tcPr>
          <w:p w:rsidR="005A51E0" w:rsidRPr="00DF2347" w:rsidRDefault="005A51E0" w:rsidP="001B0F1A">
            <w:pPr>
              <w:rPr>
                <w:rFonts w:ascii="Cambria" w:hAnsi="Cambria"/>
                <w:sz w:val="24"/>
                <w:szCs w:val="24"/>
              </w:rPr>
            </w:pPr>
            <w:r w:rsidRPr="00DF2347">
              <w:rPr>
                <w:rFonts w:ascii="Cambria" w:hAnsi="Cambria"/>
                <w:sz w:val="24"/>
                <w:szCs w:val="24"/>
              </w:rPr>
              <w:t>Chairman Tom Wheeler</w:t>
            </w:r>
          </w:p>
        </w:tc>
      </w:tr>
      <w:tr w:rsidR="005A51E0" w:rsidRPr="00DF2347" w:rsidTr="001B0F1A">
        <w:trPr>
          <w:cantSplit/>
          <w:trHeight w:val="253"/>
        </w:trPr>
        <w:tc>
          <w:tcPr>
            <w:tcW w:w="1355" w:type="dxa"/>
          </w:tcPr>
          <w:p w:rsidR="005A51E0" w:rsidRPr="00DF2347" w:rsidRDefault="005A51E0" w:rsidP="001B0F1A">
            <w:pPr>
              <w:pStyle w:val="Heading1"/>
              <w:rPr>
                <w:rFonts w:ascii="Cambria" w:hAnsi="Cambria"/>
                <w:sz w:val="24"/>
                <w:szCs w:val="24"/>
              </w:rPr>
            </w:pPr>
            <w:r w:rsidRPr="00DF2347">
              <w:rPr>
                <w:rFonts w:ascii="Cambria" w:hAnsi="Cambria"/>
                <w:sz w:val="24"/>
                <w:szCs w:val="24"/>
              </w:rPr>
              <w:t>from:</w:t>
            </w:r>
          </w:p>
        </w:tc>
        <w:tc>
          <w:tcPr>
            <w:tcW w:w="7285" w:type="dxa"/>
          </w:tcPr>
          <w:p w:rsidR="005A51E0" w:rsidRPr="00DF2347" w:rsidRDefault="005A51E0" w:rsidP="001B0F1A">
            <w:pPr>
              <w:rPr>
                <w:rFonts w:ascii="Cambria" w:hAnsi="Cambria"/>
                <w:sz w:val="24"/>
                <w:szCs w:val="24"/>
              </w:rPr>
            </w:pPr>
            <w:r w:rsidRPr="00DF2347">
              <w:rPr>
                <w:rFonts w:ascii="Cambria" w:hAnsi="Cambria"/>
                <w:sz w:val="24"/>
                <w:szCs w:val="24"/>
              </w:rPr>
              <w:t>Jon Wilkins</w:t>
            </w:r>
          </w:p>
          <w:p w:rsidR="005A51E0" w:rsidRPr="00DF2347" w:rsidRDefault="005A51E0" w:rsidP="001B0F1A">
            <w:pPr>
              <w:rPr>
                <w:rFonts w:ascii="Cambria" w:hAnsi="Cambria"/>
                <w:sz w:val="24"/>
                <w:szCs w:val="24"/>
              </w:rPr>
            </w:pPr>
            <w:r w:rsidRPr="00DF2347">
              <w:rPr>
                <w:rFonts w:ascii="Cambria" w:hAnsi="Cambria"/>
                <w:sz w:val="24"/>
                <w:szCs w:val="24"/>
              </w:rPr>
              <w:t>Advisor for Management</w:t>
            </w:r>
          </w:p>
        </w:tc>
      </w:tr>
      <w:tr w:rsidR="005A51E0" w:rsidRPr="00DF2347" w:rsidTr="001B0F1A">
        <w:trPr>
          <w:cantSplit/>
          <w:trHeight w:val="253"/>
        </w:trPr>
        <w:tc>
          <w:tcPr>
            <w:tcW w:w="1355" w:type="dxa"/>
          </w:tcPr>
          <w:p w:rsidR="005A51E0" w:rsidRPr="00DF2347" w:rsidRDefault="005A51E0" w:rsidP="001B0F1A">
            <w:pPr>
              <w:pStyle w:val="Heading1"/>
              <w:rPr>
                <w:rFonts w:ascii="Cambria" w:hAnsi="Cambria"/>
                <w:sz w:val="24"/>
                <w:szCs w:val="24"/>
              </w:rPr>
            </w:pPr>
            <w:r w:rsidRPr="00DF2347">
              <w:rPr>
                <w:rFonts w:ascii="Cambria" w:hAnsi="Cambria"/>
                <w:sz w:val="24"/>
                <w:szCs w:val="24"/>
              </w:rPr>
              <w:t>subject:</w:t>
            </w:r>
          </w:p>
        </w:tc>
        <w:tc>
          <w:tcPr>
            <w:tcW w:w="7285" w:type="dxa"/>
          </w:tcPr>
          <w:p w:rsidR="005A51E0" w:rsidRPr="00DF2347" w:rsidRDefault="005A51E0" w:rsidP="001B0F1A">
            <w:pPr>
              <w:rPr>
                <w:rFonts w:ascii="Cambria" w:hAnsi="Cambria"/>
                <w:sz w:val="24"/>
                <w:szCs w:val="24"/>
              </w:rPr>
            </w:pPr>
            <w:r>
              <w:rPr>
                <w:rFonts w:ascii="Cambria" w:hAnsi="Cambria"/>
                <w:sz w:val="24"/>
                <w:szCs w:val="24"/>
              </w:rPr>
              <w:t>E-rate Modernization Progress R</w:t>
            </w:r>
            <w:r w:rsidRPr="00DF2347">
              <w:rPr>
                <w:rFonts w:ascii="Cambria" w:hAnsi="Cambria"/>
                <w:sz w:val="24"/>
                <w:szCs w:val="24"/>
              </w:rPr>
              <w:t>eport</w:t>
            </w:r>
          </w:p>
        </w:tc>
      </w:tr>
      <w:tr w:rsidR="005A51E0" w:rsidRPr="00DF2347" w:rsidTr="001B0F1A">
        <w:trPr>
          <w:cantSplit/>
          <w:trHeight w:val="253"/>
        </w:trPr>
        <w:tc>
          <w:tcPr>
            <w:tcW w:w="1355" w:type="dxa"/>
          </w:tcPr>
          <w:p w:rsidR="005A51E0" w:rsidRPr="00DF2347" w:rsidRDefault="005A51E0" w:rsidP="001B0F1A">
            <w:pPr>
              <w:pStyle w:val="Heading1"/>
              <w:rPr>
                <w:rFonts w:ascii="Cambria" w:hAnsi="Cambria"/>
                <w:sz w:val="24"/>
                <w:szCs w:val="24"/>
              </w:rPr>
            </w:pPr>
            <w:r w:rsidRPr="00DF2347">
              <w:rPr>
                <w:rFonts w:ascii="Cambria" w:hAnsi="Cambria"/>
                <w:sz w:val="24"/>
                <w:szCs w:val="24"/>
              </w:rPr>
              <w:t>date:</w:t>
            </w:r>
          </w:p>
        </w:tc>
        <w:sdt>
          <w:sdtPr>
            <w:rPr>
              <w:rFonts w:ascii="Cambria" w:hAnsi="Cambria"/>
              <w:sz w:val="24"/>
              <w:szCs w:val="24"/>
            </w:rPr>
            <w:alias w:val="Date"/>
            <w:tag w:val="Date"/>
            <w:id w:val="85081685"/>
            <w:placeholder>
              <w:docPart w:val="573DACC2DC174ECF9CDCDD796683DFCC"/>
            </w:placeholder>
            <w:date w:fullDate="2017-01-18T00:00:00Z">
              <w:dateFormat w:val="MMMM d, yyyy"/>
              <w:lid w:val="en-US"/>
              <w:storeMappedDataAs w:val="dateTime"/>
              <w:calendar w:val="gregorian"/>
            </w:date>
          </w:sdtPr>
          <w:sdtEndPr/>
          <w:sdtContent>
            <w:tc>
              <w:tcPr>
                <w:tcW w:w="7285" w:type="dxa"/>
              </w:tcPr>
              <w:p w:rsidR="005A51E0" w:rsidRPr="00DF2347" w:rsidRDefault="0068785B" w:rsidP="0068785B">
                <w:pPr>
                  <w:rPr>
                    <w:rFonts w:ascii="Cambria" w:hAnsi="Cambria"/>
                    <w:sz w:val="24"/>
                    <w:szCs w:val="24"/>
                  </w:rPr>
                </w:pPr>
                <w:r>
                  <w:rPr>
                    <w:rFonts w:ascii="Cambria" w:hAnsi="Cambria"/>
                    <w:sz w:val="24"/>
                    <w:szCs w:val="24"/>
                  </w:rPr>
                  <w:t>January 18, 2017</w:t>
                </w:r>
              </w:p>
            </w:tc>
          </w:sdtContent>
        </w:sdt>
      </w:tr>
      <w:tr w:rsidR="005A51E0" w:rsidRPr="00DF2347" w:rsidTr="001B0F1A">
        <w:trPr>
          <w:cantSplit/>
          <w:trHeight w:val="253"/>
        </w:trPr>
        <w:tc>
          <w:tcPr>
            <w:tcW w:w="1355" w:type="dxa"/>
          </w:tcPr>
          <w:p w:rsidR="005A51E0" w:rsidRPr="00DF2347" w:rsidRDefault="005A51E0" w:rsidP="001B0F1A">
            <w:pPr>
              <w:pStyle w:val="Heading1"/>
              <w:rPr>
                <w:rFonts w:ascii="Cambria" w:hAnsi="Cambria"/>
                <w:sz w:val="24"/>
                <w:szCs w:val="24"/>
              </w:rPr>
            </w:pPr>
          </w:p>
        </w:tc>
        <w:tc>
          <w:tcPr>
            <w:tcW w:w="7285" w:type="dxa"/>
          </w:tcPr>
          <w:p w:rsidR="005A51E0" w:rsidRPr="00DF2347" w:rsidRDefault="005A51E0" w:rsidP="001B0F1A">
            <w:pPr>
              <w:pStyle w:val="Heading2"/>
              <w:rPr>
                <w:rFonts w:ascii="Cambria" w:hAnsi="Cambria"/>
                <w:sz w:val="24"/>
                <w:szCs w:val="24"/>
              </w:rPr>
            </w:pPr>
          </w:p>
        </w:tc>
      </w:tr>
      <w:tr w:rsidR="005A51E0" w:rsidRPr="00DF2347" w:rsidTr="001B0F1A">
        <w:trPr>
          <w:cantSplit/>
          <w:trHeight w:val="70"/>
        </w:trPr>
        <w:tc>
          <w:tcPr>
            <w:tcW w:w="1355" w:type="dxa"/>
            <w:tcBorders>
              <w:bottom w:val="single" w:sz="4" w:space="0" w:color="404040" w:themeColor="text1" w:themeTint="BF"/>
            </w:tcBorders>
          </w:tcPr>
          <w:p w:rsidR="005A51E0" w:rsidRPr="00DF2347" w:rsidRDefault="005A51E0" w:rsidP="001B0F1A">
            <w:pPr>
              <w:pStyle w:val="Heading1"/>
              <w:rPr>
                <w:rFonts w:ascii="Cambria" w:hAnsi="Cambria"/>
                <w:b w:val="0"/>
                <w:sz w:val="24"/>
                <w:szCs w:val="24"/>
              </w:rPr>
            </w:pPr>
          </w:p>
        </w:tc>
        <w:tc>
          <w:tcPr>
            <w:tcW w:w="7285" w:type="dxa"/>
            <w:tcBorders>
              <w:bottom w:val="single" w:sz="4" w:space="0" w:color="404040" w:themeColor="text1" w:themeTint="BF"/>
            </w:tcBorders>
          </w:tcPr>
          <w:p w:rsidR="005A51E0" w:rsidRPr="00DF2347" w:rsidRDefault="005A51E0" w:rsidP="001B0F1A">
            <w:pPr>
              <w:pStyle w:val="Heading1"/>
              <w:rPr>
                <w:rFonts w:ascii="Cambria" w:hAnsi="Cambria"/>
                <w:sz w:val="24"/>
                <w:szCs w:val="24"/>
              </w:rPr>
            </w:pPr>
          </w:p>
        </w:tc>
      </w:tr>
    </w:tbl>
    <w:p w:rsidR="005A51E0" w:rsidRDefault="005A51E0" w:rsidP="005A51E0">
      <w:pPr>
        <w:ind w:left="720"/>
        <w:rPr>
          <w:rFonts w:ascii="Cambria" w:hAnsi="Cambria"/>
          <w:sz w:val="24"/>
          <w:szCs w:val="24"/>
        </w:rPr>
      </w:pPr>
    </w:p>
    <w:p w:rsidR="005A51E0" w:rsidRPr="00DF2347" w:rsidRDefault="005A51E0" w:rsidP="005A51E0">
      <w:pPr>
        <w:ind w:left="720"/>
        <w:rPr>
          <w:rFonts w:ascii="Cambria" w:hAnsi="Cambria"/>
          <w:sz w:val="24"/>
          <w:szCs w:val="24"/>
        </w:rPr>
      </w:pPr>
      <w:r w:rsidRPr="00DF2347">
        <w:rPr>
          <w:rFonts w:ascii="Cambria" w:hAnsi="Cambria"/>
          <w:sz w:val="24"/>
          <w:szCs w:val="24"/>
        </w:rPr>
        <w:t>Mr. Chairman –</w:t>
      </w:r>
    </w:p>
    <w:p w:rsidR="005A51E0" w:rsidRDefault="005A51E0" w:rsidP="005A51E0">
      <w:pPr>
        <w:ind w:left="720" w:firstLine="720"/>
        <w:rPr>
          <w:rFonts w:ascii="Cambria" w:hAnsi="Cambria"/>
          <w:sz w:val="24"/>
          <w:szCs w:val="24"/>
        </w:rPr>
      </w:pPr>
      <w:r w:rsidRPr="00DF2347">
        <w:rPr>
          <w:rFonts w:ascii="Cambria" w:hAnsi="Cambria"/>
          <w:sz w:val="24"/>
          <w:szCs w:val="24"/>
        </w:rPr>
        <w:t xml:space="preserve">The attached report examines the progress of E-rate modernization since the adoption of the two major </w:t>
      </w:r>
      <w:r w:rsidRPr="00DF2347">
        <w:rPr>
          <w:rFonts w:ascii="Cambria" w:hAnsi="Cambria"/>
          <w:i/>
          <w:sz w:val="24"/>
          <w:szCs w:val="24"/>
        </w:rPr>
        <w:t xml:space="preserve">E-rate Modernization Orders </w:t>
      </w:r>
      <w:r w:rsidRPr="00DF2347">
        <w:rPr>
          <w:rFonts w:ascii="Cambria" w:hAnsi="Cambria"/>
          <w:sz w:val="24"/>
          <w:szCs w:val="24"/>
        </w:rPr>
        <w:t xml:space="preserve">in </w:t>
      </w:r>
      <w:r w:rsidR="00B94109">
        <w:rPr>
          <w:rFonts w:ascii="Cambria" w:hAnsi="Cambria"/>
          <w:sz w:val="24"/>
          <w:szCs w:val="24"/>
        </w:rPr>
        <w:t xml:space="preserve">the second half of </w:t>
      </w:r>
      <w:r w:rsidRPr="00DF2347">
        <w:rPr>
          <w:rFonts w:ascii="Cambria" w:hAnsi="Cambria"/>
          <w:sz w:val="24"/>
          <w:szCs w:val="24"/>
        </w:rPr>
        <w:t>2014.  The report focuses</w:t>
      </w:r>
      <w:r w:rsidR="00B94109">
        <w:rPr>
          <w:rFonts w:ascii="Cambria" w:hAnsi="Cambria"/>
          <w:sz w:val="24"/>
          <w:szCs w:val="24"/>
        </w:rPr>
        <w:t xml:space="preserve"> on</w:t>
      </w:r>
      <w:r>
        <w:rPr>
          <w:rFonts w:ascii="Cambria" w:hAnsi="Cambria"/>
          <w:sz w:val="24"/>
          <w:szCs w:val="24"/>
        </w:rPr>
        <w:t xml:space="preserve"> reforms in</w:t>
      </w:r>
      <w:r w:rsidRPr="00DF2347">
        <w:rPr>
          <w:rFonts w:ascii="Cambria" w:hAnsi="Cambria"/>
          <w:sz w:val="24"/>
          <w:szCs w:val="24"/>
        </w:rPr>
        <w:t xml:space="preserve"> three major policy </w:t>
      </w:r>
      <w:r>
        <w:rPr>
          <w:rFonts w:ascii="Cambria" w:hAnsi="Cambria"/>
          <w:sz w:val="24"/>
          <w:szCs w:val="24"/>
        </w:rPr>
        <w:t>areas:</w:t>
      </w:r>
    </w:p>
    <w:p w:rsidR="005A51E0" w:rsidRPr="00DF2347" w:rsidRDefault="005A51E0" w:rsidP="005A51E0">
      <w:pPr>
        <w:pStyle w:val="ListParagraph"/>
        <w:numPr>
          <w:ilvl w:val="0"/>
          <w:numId w:val="20"/>
        </w:numPr>
        <w:rPr>
          <w:rFonts w:ascii="Cambria" w:hAnsi="Cambria"/>
          <w:sz w:val="24"/>
          <w:szCs w:val="24"/>
        </w:rPr>
      </w:pPr>
      <w:r w:rsidRPr="00DF2347">
        <w:rPr>
          <w:rFonts w:ascii="Cambria" w:hAnsi="Cambria"/>
          <w:sz w:val="24"/>
          <w:szCs w:val="24"/>
        </w:rPr>
        <w:t xml:space="preserve">Expanding E-rate support for the equipment and services needed to deliver high speed Wi-Fi to classrooms and libraries. </w:t>
      </w:r>
    </w:p>
    <w:p w:rsidR="005A51E0" w:rsidRPr="00DF2347" w:rsidRDefault="005A51E0" w:rsidP="005A51E0">
      <w:pPr>
        <w:pStyle w:val="ListParagraph"/>
        <w:numPr>
          <w:ilvl w:val="0"/>
          <w:numId w:val="20"/>
        </w:numPr>
        <w:rPr>
          <w:rFonts w:ascii="Cambria" w:hAnsi="Cambria"/>
          <w:sz w:val="24"/>
          <w:szCs w:val="24"/>
        </w:rPr>
      </w:pPr>
      <w:r w:rsidRPr="00DF2347">
        <w:rPr>
          <w:rFonts w:ascii="Cambria" w:hAnsi="Cambria"/>
          <w:sz w:val="24"/>
          <w:szCs w:val="24"/>
        </w:rPr>
        <w:t>Connecting all schools and libraries to high-speed broadband services.</w:t>
      </w:r>
    </w:p>
    <w:p w:rsidR="005A51E0" w:rsidRPr="00DF2347" w:rsidRDefault="005A51E0" w:rsidP="005A51E0">
      <w:pPr>
        <w:pStyle w:val="ListParagraph"/>
        <w:numPr>
          <w:ilvl w:val="0"/>
          <w:numId w:val="20"/>
        </w:numPr>
        <w:rPr>
          <w:rFonts w:ascii="Cambria" w:hAnsi="Cambria"/>
          <w:sz w:val="24"/>
          <w:szCs w:val="24"/>
        </w:rPr>
      </w:pPr>
      <w:r w:rsidRPr="00DF2347">
        <w:rPr>
          <w:rFonts w:ascii="Cambria" w:hAnsi="Cambria"/>
          <w:sz w:val="24"/>
          <w:szCs w:val="24"/>
        </w:rPr>
        <w:t xml:space="preserve">Ensuring the financial stability of the E-rate program.  </w:t>
      </w:r>
    </w:p>
    <w:p w:rsidR="005A51E0" w:rsidRPr="00DF2347" w:rsidRDefault="005A51E0" w:rsidP="005A51E0">
      <w:pPr>
        <w:ind w:left="720" w:firstLine="720"/>
        <w:rPr>
          <w:rFonts w:ascii="Cambria" w:hAnsi="Cambria"/>
          <w:sz w:val="24"/>
          <w:szCs w:val="24"/>
        </w:rPr>
      </w:pPr>
      <w:r w:rsidRPr="00DF2347">
        <w:rPr>
          <w:rFonts w:ascii="Cambria" w:hAnsi="Cambria"/>
          <w:sz w:val="24"/>
          <w:szCs w:val="24"/>
        </w:rPr>
        <w:t xml:space="preserve">The report provides a brief summary </w:t>
      </w:r>
      <w:r>
        <w:rPr>
          <w:rFonts w:ascii="Cambria" w:hAnsi="Cambria"/>
          <w:sz w:val="24"/>
          <w:szCs w:val="24"/>
        </w:rPr>
        <w:t>of each set of reforms, an analysis of available data on the impact of those reforms to date, and a discussion of potential next steps for future Commissions.</w:t>
      </w:r>
    </w:p>
    <w:p w:rsidR="005A51E0" w:rsidRPr="00DF2347" w:rsidRDefault="005A51E0" w:rsidP="005A51E0">
      <w:pPr>
        <w:ind w:left="720"/>
        <w:rPr>
          <w:rFonts w:ascii="Cambria" w:hAnsi="Cambria"/>
          <w:sz w:val="24"/>
          <w:szCs w:val="24"/>
        </w:rPr>
      </w:pPr>
    </w:p>
    <w:p w:rsidR="005A51E0" w:rsidRDefault="005A51E0">
      <w:pPr>
        <w:rPr>
          <w:rFonts w:ascii="Cambria" w:hAnsi="Cambria"/>
          <w:b/>
          <w:bCs/>
          <w:sz w:val="28"/>
          <w:szCs w:val="28"/>
          <w:u w:val="single"/>
        </w:rPr>
      </w:pPr>
      <w:r>
        <w:rPr>
          <w:rFonts w:ascii="Cambria" w:hAnsi="Cambria"/>
          <w:b/>
          <w:bCs/>
          <w:sz w:val="28"/>
          <w:szCs w:val="28"/>
          <w:u w:val="single"/>
        </w:rPr>
        <w:br w:type="page"/>
      </w:r>
    </w:p>
    <w:p w:rsidR="00A869AC" w:rsidRPr="00D518F4" w:rsidRDefault="00A869AC">
      <w:pPr>
        <w:jc w:val="center"/>
        <w:rPr>
          <w:rFonts w:ascii="Cambria" w:hAnsi="Cambria"/>
          <w:b/>
          <w:bCs/>
          <w:sz w:val="28"/>
          <w:szCs w:val="28"/>
          <w:u w:val="single"/>
        </w:rPr>
      </w:pPr>
      <w:r>
        <w:rPr>
          <w:rFonts w:ascii="Cambria" w:hAnsi="Cambria"/>
          <w:b/>
          <w:bCs/>
          <w:sz w:val="28"/>
          <w:szCs w:val="28"/>
          <w:u w:val="single"/>
        </w:rPr>
        <w:lastRenderedPageBreak/>
        <w:t>E-rate Modernization: Progress and the Road Ahead</w:t>
      </w:r>
    </w:p>
    <w:p w:rsidR="00D518F4" w:rsidRPr="00D518F4" w:rsidRDefault="00D518F4" w:rsidP="00D518F4">
      <w:pPr>
        <w:rPr>
          <w:rFonts w:ascii="Cambria" w:hAnsi="Cambria"/>
          <w:sz w:val="24"/>
          <w:szCs w:val="24"/>
        </w:rPr>
      </w:pPr>
      <w:r w:rsidRPr="00D518F4">
        <w:rPr>
          <w:rFonts w:ascii="Cambria" w:hAnsi="Cambria"/>
          <w:sz w:val="24"/>
          <w:szCs w:val="24"/>
        </w:rPr>
        <w:t>In the second half of 2014, the Commission released two landmark orders comprehensively modernizing E-rate</w:t>
      </w:r>
      <w:r w:rsidR="00465C4F">
        <w:rPr>
          <w:rFonts w:ascii="Cambria" w:hAnsi="Cambria"/>
          <w:sz w:val="24"/>
          <w:szCs w:val="24"/>
        </w:rPr>
        <w:t>, the largest federal educational technology</w:t>
      </w:r>
      <w:r w:rsidRPr="00D518F4">
        <w:rPr>
          <w:rFonts w:ascii="Cambria" w:hAnsi="Cambria"/>
          <w:sz w:val="24"/>
          <w:szCs w:val="24"/>
        </w:rPr>
        <w:t xml:space="preserve"> program.</w:t>
      </w:r>
      <w:r w:rsidRPr="00D518F4">
        <w:rPr>
          <w:rStyle w:val="FootnoteReference"/>
          <w:rFonts w:ascii="Cambria" w:hAnsi="Cambria"/>
          <w:sz w:val="24"/>
          <w:szCs w:val="24"/>
        </w:rPr>
        <w:footnoteReference w:id="2"/>
      </w:r>
      <w:r w:rsidRPr="00D518F4">
        <w:rPr>
          <w:rFonts w:ascii="Cambria" w:hAnsi="Cambria"/>
          <w:sz w:val="24"/>
          <w:szCs w:val="24"/>
        </w:rPr>
        <w:t xml:space="preserve">  This staff paper examines progress as a result of the </w:t>
      </w:r>
      <w:r w:rsidRPr="00D518F4">
        <w:rPr>
          <w:rFonts w:ascii="Cambria" w:hAnsi="Cambria"/>
          <w:i/>
          <w:iCs/>
          <w:sz w:val="24"/>
          <w:szCs w:val="24"/>
        </w:rPr>
        <w:t>E-rate Modernization Orders</w:t>
      </w:r>
      <w:r w:rsidRPr="00D518F4">
        <w:rPr>
          <w:rFonts w:ascii="Cambria" w:hAnsi="Cambria"/>
          <w:sz w:val="24"/>
          <w:szCs w:val="24"/>
        </w:rPr>
        <w:t xml:space="preserve"> in three critical areas: </w:t>
      </w:r>
    </w:p>
    <w:p w:rsidR="00D518F4" w:rsidRDefault="00D518F4" w:rsidP="006616E8">
      <w:pPr>
        <w:pStyle w:val="ListParagraph"/>
        <w:numPr>
          <w:ilvl w:val="0"/>
          <w:numId w:val="10"/>
        </w:numPr>
        <w:rPr>
          <w:rFonts w:ascii="Cambria" w:hAnsi="Cambria"/>
          <w:sz w:val="24"/>
          <w:szCs w:val="24"/>
        </w:rPr>
      </w:pPr>
      <w:r w:rsidRPr="00D518F4">
        <w:rPr>
          <w:rFonts w:ascii="Cambria" w:hAnsi="Cambria"/>
          <w:sz w:val="24"/>
          <w:szCs w:val="24"/>
        </w:rPr>
        <w:t>E</w:t>
      </w:r>
      <w:r w:rsidRPr="006616E8">
        <w:rPr>
          <w:rFonts w:ascii="Cambria" w:hAnsi="Cambria"/>
          <w:sz w:val="24"/>
          <w:szCs w:val="24"/>
        </w:rPr>
        <w:t>xpanding E-rate support for the equipment and services needed to deliver high speed Wi-Fi to classrooms and libraries</w:t>
      </w:r>
      <w:r w:rsidR="00356736">
        <w:rPr>
          <w:rFonts w:ascii="Cambria" w:hAnsi="Cambria"/>
          <w:sz w:val="24"/>
          <w:szCs w:val="24"/>
        </w:rPr>
        <w:t>.</w:t>
      </w:r>
      <w:r w:rsidRPr="006616E8">
        <w:rPr>
          <w:rFonts w:ascii="Cambria" w:hAnsi="Cambria"/>
          <w:sz w:val="24"/>
          <w:szCs w:val="24"/>
        </w:rPr>
        <w:t xml:space="preserve"> </w:t>
      </w:r>
    </w:p>
    <w:p w:rsidR="007701B7" w:rsidRDefault="007701B7" w:rsidP="007701B7">
      <w:pPr>
        <w:pStyle w:val="ListParagraph"/>
        <w:numPr>
          <w:ilvl w:val="1"/>
          <w:numId w:val="17"/>
        </w:numPr>
        <w:rPr>
          <w:rFonts w:ascii="Cambria" w:hAnsi="Cambria"/>
          <w:sz w:val="24"/>
          <w:szCs w:val="24"/>
        </w:rPr>
      </w:pPr>
      <w:r>
        <w:rPr>
          <w:rFonts w:ascii="Cambria" w:hAnsi="Cambria"/>
          <w:sz w:val="24"/>
          <w:szCs w:val="24"/>
        </w:rPr>
        <w:t xml:space="preserve">$1.3 billion in Wi-Fi commitments in 2015. </w:t>
      </w:r>
    </w:p>
    <w:p w:rsidR="007701B7" w:rsidRPr="00D518F4" w:rsidRDefault="007701B7" w:rsidP="007701B7">
      <w:pPr>
        <w:pStyle w:val="ListParagraph"/>
        <w:numPr>
          <w:ilvl w:val="1"/>
          <w:numId w:val="17"/>
        </w:numPr>
        <w:rPr>
          <w:rFonts w:ascii="Cambria" w:hAnsi="Cambria"/>
          <w:sz w:val="24"/>
          <w:szCs w:val="24"/>
        </w:rPr>
      </w:pPr>
      <w:r>
        <w:rPr>
          <w:rFonts w:ascii="Cambria" w:hAnsi="Cambria"/>
          <w:sz w:val="24"/>
          <w:szCs w:val="24"/>
        </w:rPr>
        <w:t>Funding to schools in every state and territory in 2015- 2016.</w:t>
      </w:r>
    </w:p>
    <w:p w:rsidR="00D518F4" w:rsidRDefault="00D518F4" w:rsidP="006616E8">
      <w:pPr>
        <w:pStyle w:val="ListParagraph"/>
        <w:numPr>
          <w:ilvl w:val="0"/>
          <w:numId w:val="10"/>
        </w:numPr>
        <w:rPr>
          <w:rFonts w:ascii="Cambria" w:hAnsi="Cambria"/>
          <w:sz w:val="24"/>
          <w:szCs w:val="24"/>
        </w:rPr>
      </w:pPr>
      <w:r w:rsidRPr="00D518F4">
        <w:rPr>
          <w:rFonts w:ascii="Cambria" w:hAnsi="Cambria"/>
          <w:sz w:val="24"/>
          <w:szCs w:val="24"/>
        </w:rPr>
        <w:t>C</w:t>
      </w:r>
      <w:r w:rsidRPr="006616E8">
        <w:rPr>
          <w:rFonts w:ascii="Cambria" w:hAnsi="Cambria"/>
          <w:sz w:val="24"/>
          <w:szCs w:val="24"/>
        </w:rPr>
        <w:t>onnecting all schools and libraries to high-speed broadband services</w:t>
      </w:r>
      <w:r w:rsidRPr="00D518F4">
        <w:rPr>
          <w:rFonts w:ascii="Cambria" w:hAnsi="Cambria"/>
          <w:sz w:val="24"/>
          <w:szCs w:val="24"/>
        </w:rPr>
        <w:t>.</w:t>
      </w:r>
    </w:p>
    <w:p w:rsidR="007701B7" w:rsidRDefault="007701B7" w:rsidP="00AF35C0">
      <w:pPr>
        <w:pStyle w:val="ListParagraph"/>
        <w:numPr>
          <w:ilvl w:val="1"/>
          <w:numId w:val="18"/>
        </w:numPr>
        <w:rPr>
          <w:rFonts w:ascii="Cambria" w:hAnsi="Cambria"/>
          <w:sz w:val="24"/>
          <w:szCs w:val="24"/>
        </w:rPr>
      </w:pPr>
      <w:r>
        <w:rPr>
          <w:rFonts w:ascii="Cambria" w:hAnsi="Cambria"/>
          <w:sz w:val="24"/>
          <w:szCs w:val="24"/>
        </w:rPr>
        <w:t>61 percent decline in schools not connected to fiber.</w:t>
      </w:r>
    </w:p>
    <w:p w:rsidR="007701B7" w:rsidRPr="00D518F4" w:rsidRDefault="007701B7" w:rsidP="00AF35C0">
      <w:pPr>
        <w:pStyle w:val="ListParagraph"/>
        <w:numPr>
          <w:ilvl w:val="1"/>
          <w:numId w:val="18"/>
        </w:numPr>
        <w:rPr>
          <w:rFonts w:ascii="Cambria" w:hAnsi="Cambria"/>
          <w:sz w:val="24"/>
          <w:szCs w:val="24"/>
        </w:rPr>
      </w:pPr>
      <w:r>
        <w:rPr>
          <w:rFonts w:ascii="Cambria" w:hAnsi="Cambria"/>
          <w:sz w:val="24"/>
          <w:szCs w:val="24"/>
        </w:rPr>
        <w:t>Increasing number of states matching special construction funding.</w:t>
      </w:r>
    </w:p>
    <w:p w:rsidR="00D518F4" w:rsidRDefault="00D518F4" w:rsidP="006616E8">
      <w:pPr>
        <w:pStyle w:val="ListParagraph"/>
        <w:numPr>
          <w:ilvl w:val="0"/>
          <w:numId w:val="10"/>
        </w:numPr>
        <w:rPr>
          <w:rFonts w:ascii="Cambria" w:hAnsi="Cambria"/>
          <w:sz w:val="24"/>
          <w:szCs w:val="24"/>
        </w:rPr>
      </w:pPr>
      <w:r w:rsidRPr="00D518F4">
        <w:rPr>
          <w:rFonts w:ascii="Cambria" w:hAnsi="Cambria"/>
          <w:sz w:val="24"/>
          <w:szCs w:val="24"/>
        </w:rPr>
        <w:t>E</w:t>
      </w:r>
      <w:r w:rsidRPr="006616E8">
        <w:rPr>
          <w:rFonts w:ascii="Cambria" w:hAnsi="Cambria"/>
          <w:sz w:val="24"/>
          <w:szCs w:val="24"/>
        </w:rPr>
        <w:t xml:space="preserve">nsuring the financial stability of the E-rate program.  </w:t>
      </w:r>
    </w:p>
    <w:p w:rsidR="007701B7" w:rsidRDefault="007701B7" w:rsidP="00AF35C0">
      <w:pPr>
        <w:pStyle w:val="ListParagraph"/>
        <w:numPr>
          <w:ilvl w:val="1"/>
          <w:numId w:val="19"/>
        </w:numPr>
        <w:rPr>
          <w:rFonts w:ascii="Cambria" w:hAnsi="Cambria"/>
          <w:sz w:val="24"/>
          <w:szCs w:val="24"/>
        </w:rPr>
      </w:pPr>
      <w:r>
        <w:rPr>
          <w:rFonts w:ascii="Cambria" w:hAnsi="Cambria"/>
          <w:sz w:val="24"/>
          <w:szCs w:val="24"/>
        </w:rPr>
        <w:t>Stable funding commitments, under the $3.9 billion cap, in 2015 and 2016.</w:t>
      </w:r>
    </w:p>
    <w:p w:rsidR="007701B7" w:rsidRPr="006616E8" w:rsidRDefault="007701B7" w:rsidP="00AF35C0">
      <w:pPr>
        <w:pStyle w:val="ListParagraph"/>
        <w:numPr>
          <w:ilvl w:val="1"/>
          <w:numId w:val="19"/>
        </w:numPr>
        <w:rPr>
          <w:rFonts w:ascii="Cambria" w:hAnsi="Cambria"/>
          <w:sz w:val="24"/>
          <w:szCs w:val="24"/>
        </w:rPr>
      </w:pPr>
      <w:r>
        <w:rPr>
          <w:rFonts w:ascii="Cambria" w:hAnsi="Cambria"/>
          <w:sz w:val="24"/>
          <w:szCs w:val="24"/>
        </w:rPr>
        <w:t>Cost per Mbps</w:t>
      </w:r>
      <w:r w:rsidR="00EF17EF">
        <w:rPr>
          <w:rFonts w:ascii="Cambria" w:hAnsi="Cambria"/>
          <w:sz w:val="24"/>
          <w:szCs w:val="24"/>
        </w:rPr>
        <w:t xml:space="preserve"> reduced from $22 in 2013 to $7.05 in 2016.</w:t>
      </w:r>
    </w:p>
    <w:p w:rsidR="00D518F4" w:rsidRPr="006616E8" w:rsidRDefault="00CD42BE" w:rsidP="00D518F4">
      <w:pPr>
        <w:rPr>
          <w:rFonts w:ascii="Cambria" w:hAnsi="Cambria"/>
          <w:sz w:val="24"/>
          <w:szCs w:val="24"/>
        </w:rPr>
      </w:pPr>
      <w:r>
        <w:rPr>
          <w:rFonts w:ascii="Cambria" w:hAnsi="Cambria"/>
          <w:sz w:val="24"/>
          <w:szCs w:val="24"/>
        </w:rPr>
        <w:t>This</w:t>
      </w:r>
      <w:r w:rsidR="00D518F4" w:rsidRPr="006616E8">
        <w:rPr>
          <w:rFonts w:ascii="Cambria" w:hAnsi="Cambria"/>
          <w:sz w:val="24"/>
          <w:szCs w:val="24"/>
        </w:rPr>
        <w:t xml:space="preserve"> paper identifies measurable progress toward each goal and also identifies the next steps that future Commissions should take to build upon that progress.</w:t>
      </w:r>
    </w:p>
    <w:p w:rsidR="00465C4F" w:rsidRPr="0065060A" w:rsidRDefault="00465C4F">
      <w:pPr>
        <w:rPr>
          <w:rFonts w:ascii="Cambria" w:hAnsi="Cambria"/>
          <w:b/>
          <w:i/>
          <w:sz w:val="24"/>
          <w:szCs w:val="24"/>
        </w:rPr>
      </w:pPr>
      <w:r w:rsidRPr="0065060A">
        <w:rPr>
          <w:rFonts w:ascii="Cambria" w:hAnsi="Cambria"/>
          <w:b/>
          <w:i/>
          <w:sz w:val="24"/>
          <w:szCs w:val="24"/>
        </w:rPr>
        <w:t>The E-rate Modernization Orders</w:t>
      </w:r>
    </w:p>
    <w:p w:rsidR="00084485" w:rsidRPr="00D518F4" w:rsidRDefault="00300B11">
      <w:pPr>
        <w:rPr>
          <w:rFonts w:ascii="Cambria" w:hAnsi="Cambria"/>
          <w:sz w:val="24"/>
          <w:szCs w:val="24"/>
        </w:rPr>
      </w:pPr>
      <w:r w:rsidRPr="00D518F4">
        <w:rPr>
          <w:rFonts w:ascii="Cambria" w:hAnsi="Cambria"/>
          <w:sz w:val="24"/>
          <w:szCs w:val="24"/>
        </w:rPr>
        <w:t xml:space="preserve">Since its inception in 1996, E-rate has </w:t>
      </w:r>
      <w:r w:rsidR="000928BD" w:rsidRPr="00D518F4">
        <w:rPr>
          <w:rFonts w:ascii="Cambria" w:hAnsi="Cambria"/>
          <w:sz w:val="24"/>
          <w:szCs w:val="24"/>
        </w:rPr>
        <w:t>help</w:t>
      </w:r>
      <w:r w:rsidR="00465C4F">
        <w:rPr>
          <w:rFonts w:ascii="Cambria" w:hAnsi="Cambria"/>
          <w:sz w:val="24"/>
          <w:szCs w:val="24"/>
        </w:rPr>
        <w:t>ed</w:t>
      </w:r>
      <w:r w:rsidR="000928BD" w:rsidRPr="00D518F4">
        <w:rPr>
          <w:rFonts w:ascii="Cambria" w:hAnsi="Cambria"/>
          <w:sz w:val="24"/>
          <w:szCs w:val="24"/>
        </w:rPr>
        <w:t xml:space="preserve"> to ensure that </w:t>
      </w:r>
      <w:r w:rsidRPr="00D518F4">
        <w:rPr>
          <w:rFonts w:ascii="Cambria" w:hAnsi="Cambria"/>
          <w:sz w:val="24"/>
          <w:szCs w:val="24"/>
        </w:rPr>
        <w:t>virtually all schools and libraries</w:t>
      </w:r>
      <w:r w:rsidR="00C97987" w:rsidRPr="00D518F4">
        <w:rPr>
          <w:rFonts w:ascii="Cambria" w:hAnsi="Cambria"/>
          <w:sz w:val="24"/>
          <w:szCs w:val="24"/>
        </w:rPr>
        <w:t xml:space="preserve"> are able to connect</w:t>
      </w:r>
      <w:r w:rsidR="00465C4F">
        <w:rPr>
          <w:rFonts w:ascii="Cambria" w:hAnsi="Cambria"/>
          <w:sz w:val="24"/>
          <w:szCs w:val="24"/>
        </w:rPr>
        <w:t xml:space="preserve"> to the I</w:t>
      </w:r>
      <w:r w:rsidRPr="00D518F4">
        <w:rPr>
          <w:rFonts w:ascii="Cambria" w:hAnsi="Cambria"/>
          <w:sz w:val="24"/>
          <w:szCs w:val="24"/>
        </w:rPr>
        <w:t xml:space="preserve">nternet.  </w:t>
      </w:r>
      <w:r w:rsidR="00C61356" w:rsidRPr="00D518F4">
        <w:rPr>
          <w:rFonts w:ascii="Cambria" w:hAnsi="Cambria"/>
          <w:sz w:val="24"/>
          <w:szCs w:val="24"/>
        </w:rPr>
        <w:t>However, the need to modernize E-rate became clear in recent years as online tools revolutionized classroom instruction and high-speed internet access and Wi-Fi became necessities for modern digital learning.</w:t>
      </w:r>
    </w:p>
    <w:p w:rsidR="00465C4F" w:rsidRDefault="00C61356" w:rsidP="00465C4F">
      <w:pPr>
        <w:pStyle w:val="ListParagraph"/>
        <w:numPr>
          <w:ilvl w:val="0"/>
          <w:numId w:val="11"/>
        </w:numPr>
        <w:rPr>
          <w:rFonts w:ascii="Cambria" w:hAnsi="Cambria"/>
          <w:sz w:val="24"/>
          <w:szCs w:val="24"/>
        </w:rPr>
      </w:pPr>
      <w:r w:rsidRPr="00465C4F">
        <w:rPr>
          <w:rFonts w:ascii="Cambria" w:hAnsi="Cambria"/>
          <w:sz w:val="24"/>
          <w:szCs w:val="24"/>
        </w:rPr>
        <w:t xml:space="preserve">The </w:t>
      </w:r>
      <w:r w:rsidR="0088466F" w:rsidRPr="00465C4F">
        <w:rPr>
          <w:rFonts w:ascii="Cambria" w:hAnsi="Cambria"/>
          <w:i/>
          <w:sz w:val="24"/>
          <w:szCs w:val="24"/>
        </w:rPr>
        <w:t xml:space="preserve">First </w:t>
      </w:r>
      <w:r w:rsidRPr="00465C4F">
        <w:rPr>
          <w:rFonts w:ascii="Cambria" w:hAnsi="Cambria"/>
          <w:i/>
          <w:iCs/>
          <w:sz w:val="24"/>
          <w:szCs w:val="24"/>
        </w:rPr>
        <w:t xml:space="preserve">E-rate Modernization Order </w:t>
      </w:r>
      <w:r w:rsidR="00A23CCB" w:rsidRPr="00465C4F">
        <w:rPr>
          <w:rFonts w:ascii="Cambria" w:hAnsi="Cambria"/>
          <w:sz w:val="24"/>
          <w:szCs w:val="24"/>
        </w:rPr>
        <w:t xml:space="preserve">took major steps to modernize and streamline the E-rate program with a </w:t>
      </w:r>
      <w:r w:rsidR="00CA338E" w:rsidRPr="00465C4F">
        <w:rPr>
          <w:rFonts w:ascii="Cambria" w:hAnsi="Cambria"/>
          <w:sz w:val="24"/>
          <w:szCs w:val="24"/>
        </w:rPr>
        <w:t>focus on supporting Wi-Fi networks and robust broadband connectivity for all schools and libraries</w:t>
      </w:r>
      <w:r w:rsidR="00A23CCB" w:rsidRPr="00465C4F">
        <w:rPr>
          <w:rFonts w:ascii="Cambria" w:hAnsi="Cambria"/>
          <w:sz w:val="24"/>
          <w:szCs w:val="24"/>
        </w:rPr>
        <w:t xml:space="preserve">.  </w:t>
      </w:r>
    </w:p>
    <w:p w:rsidR="0054774E" w:rsidRPr="00465C4F" w:rsidRDefault="00A23CCB" w:rsidP="00465C4F">
      <w:pPr>
        <w:pStyle w:val="ListParagraph"/>
        <w:numPr>
          <w:ilvl w:val="0"/>
          <w:numId w:val="11"/>
        </w:numPr>
        <w:rPr>
          <w:rFonts w:ascii="Cambria" w:hAnsi="Cambria"/>
          <w:sz w:val="24"/>
          <w:szCs w:val="24"/>
        </w:rPr>
      </w:pPr>
      <w:r w:rsidRPr="00465C4F">
        <w:rPr>
          <w:rFonts w:ascii="Cambria" w:hAnsi="Cambria"/>
          <w:sz w:val="24"/>
          <w:szCs w:val="24"/>
        </w:rPr>
        <w:t xml:space="preserve">The </w:t>
      </w:r>
      <w:r w:rsidRPr="00465C4F">
        <w:rPr>
          <w:rFonts w:ascii="Cambria" w:hAnsi="Cambria"/>
          <w:i/>
          <w:iCs/>
          <w:sz w:val="24"/>
          <w:szCs w:val="24"/>
        </w:rPr>
        <w:t xml:space="preserve">Second E-rate Modernization Order </w:t>
      </w:r>
      <w:r w:rsidRPr="00465C4F">
        <w:rPr>
          <w:rFonts w:ascii="Cambria" w:hAnsi="Cambria"/>
          <w:sz w:val="24"/>
          <w:szCs w:val="24"/>
        </w:rPr>
        <w:t>addressed the connectivity gap facing many schools and libraries by expanding options for purchasing affordable broadband and increasing the E-rate funding cap to fully meet applicants’ needs</w:t>
      </w:r>
      <w:r w:rsidR="0054774E" w:rsidRPr="00465C4F">
        <w:rPr>
          <w:rFonts w:ascii="Cambria" w:hAnsi="Cambria"/>
          <w:sz w:val="24"/>
          <w:szCs w:val="24"/>
        </w:rPr>
        <w:t xml:space="preserve">.  </w:t>
      </w:r>
    </w:p>
    <w:p w:rsidR="005D31E2" w:rsidRDefault="00D518F4">
      <w:pPr>
        <w:rPr>
          <w:rFonts w:ascii="Cambria" w:hAnsi="Cambria"/>
          <w:sz w:val="24"/>
          <w:szCs w:val="24"/>
        </w:rPr>
      </w:pPr>
      <w:r>
        <w:rPr>
          <w:rFonts w:ascii="Cambria" w:hAnsi="Cambria"/>
          <w:sz w:val="24"/>
          <w:szCs w:val="24"/>
        </w:rPr>
        <w:t>T</w:t>
      </w:r>
      <w:r w:rsidR="00C20210" w:rsidRPr="00D518F4">
        <w:rPr>
          <w:rFonts w:ascii="Cambria" w:hAnsi="Cambria"/>
          <w:sz w:val="24"/>
          <w:szCs w:val="24"/>
        </w:rPr>
        <w:t xml:space="preserve">he </w:t>
      </w:r>
      <w:r w:rsidR="00D63431" w:rsidRPr="00D518F4">
        <w:rPr>
          <w:rFonts w:ascii="Cambria" w:hAnsi="Cambria"/>
          <w:sz w:val="24"/>
          <w:szCs w:val="24"/>
        </w:rPr>
        <w:t>Commission</w:t>
      </w:r>
      <w:r w:rsidR="00C20210" w:rsidRPr="00D518F4">
        <w:rPr>
          <w:rFonts w:ascii="Cambria" w:hAnsi="Cambria"/>
          <w:sz w:val="24"/>
          <w:szCs w:val="24"/>
        </w:rPr>
        <w:t xml:space="preserve"> adopted aggressive </w:t>
      </w:r>
      <w:r w:rsidR="00C643C6" w:rsidRPr="00D518F4">
        <w:rPr>
          <w:rFonts w:ascii="Cambria" w:hAnsi="Cambria"/>
          <w:sz w:val="24"/>
          <w:szCs w:val="24"/>
        </w:rPr>
        <w:t>I</w:t>
      </w:r>
      <w:r w:rsidR="00C20210" w:rsidRPr="00D518F4">
        <w:rPr>
          <w:rFonts w:ascii="Cambria" w:hAnsi="Cambria"/>
          <w:sz w:val="24"/>
          <w:szCs w:val="24"/>
        </w:rPr>
        <w:t xml:space="preserve">nternet access connectivity targets, at least 100 Mbps per 1,000 users short-term and 1 Gbps per 1,000 users long-term, </w:t>
      </w:r>
      <w:r>
        <w:rPr>
          <w:rFonts w:ascii="Cambria" w:hAnsi="Cambria"/>
          <w:sz w:val="24"/>
          <w:szCs w:val="24"/>
        </w:rPr>
        <w:t>to</w:t>
      </w:r>
      <w:r w:rsidR="00C20210" w:rsidRPr="00D518F4">
        <w:rPr>
          <w:rFonts w:ascii="Cambria" w:hAnsi="Cambria"/>
          <w:sz w:val="24"/>
          <w:szCs w:val="24"/>
        </w:rPr>
        <w:t xml:space="preserve"> </w:t>
      </w:r>
      <w:r w:rsidR="00465C4F">
        <w:rPr>
          <w:rFonts w:ascii="Cambria" w:hAnsi="Cambria"/>
          <w:sz w:val="24"/>
          <w:szCs w:val="24"/>
        </w:rPr>
        <w:t>encourage</w:t>
      </w:r>
      <w:r w:rsidR="00C20210" w:rsidRPr="00D518F4">
        <w:rPr>
          <w:rFonts w:ascii="Cambria" w:hAnsi="Cambria"/>
          <w:sz w:val="24"/>
          <w:szCs w:val="24"/>
        </w:rPr>
        <w:t xml:space="preserve"> school districts to prioritize connectivity upgrades.</w:t>
      </w:r>
      <w:r w:rsidR="00C20210" w:rsidRPr="00D518F4">
        <w:rPr>
          <w:rStyle w:val="FootnoteReference"/>
          <w:rFonts w:ascii="Cambria" w:hAnsi="Cambria"/>
          <w:sz w:val="24"/>
          <w:szCs w:val="24"/>
        </w:rPr>
        <w:footnoteReference w:id="3"/>
      </w:r>
      <w:r w:rsidR="00C20210" w:rsidRPr="00D518F4">
        <w:rPr>
          <w:rFonts w:ascii="Cambria" w:hAnsi="Cambria"/>
          <w:sz w:val="24"/>
          <w:szCs w:val="24"/>
        </w:rPr>
        <w:t xml:space="preserve">  </w:t>
      </w:r>
      <w:r w:rsidR="005D31E2">
        <w:rPr>
          <w:rFonts w:ascii="Cambria" w:hAnsi="Cambria"/>
          <w:sz w:val="24"/>
          <w:szCs w:val="24"/>
        </w:rPr>
        <w:t>Highlighting the need for bandwidth produced results:</w:t>
      </w:r>
    </w:p>
    <w:p w:rsidR="00EB75B1" w:rsidRDefault="00EB75B1" w:rsidP="005D31E2">
      <w:pPr>
        <w:pStyle w:val="ListParagraph"/>
        <w:numPr>
          <w:ilvl w:val="0"/>
          <w:numId w:val="14"/>
        </w:numPr>
        <w:rPr>
          <w:rFonts w:ascii="Cambria" w:hAnsi="Cambria"/>
          <w:sz w:val="24"/>
          <w:szCs w:val="24"/>
        </w:rPr>
      </w:pPr>
      <w:r>
        <w:rPr>
          <w:rFonts w:ascii="Cambria" w:hAnsi="Cambria"/>
          <w:sz w:val="24"/>
          <w:szCs w:val="24"/>
        </w:rPr>
        <w:lastRenderedPageBreak/>
        <w:t>In 2013, only 30 percent</w:t>
      </w:r>
      <w:r w:rsidR="009B0EA4" w:rsidRPr="005D31E2">
        <w:rPr>
          <w:rFonts w:ascii="Cambria" w:hAnsi="Cambria"/>
          <w:sz w:val="24"/>
          <w:szCs w:val="24"/>
        </w:rPr>
        <w:t xml:space="preserve"> of</w:t>
      </w:r>
      <w:r w:rsidR="000D2653">
        <w:rPr>
          <w:rFonts w:ascii="Cambria" w:hAnsi="Cambria"/>
          <w:sz w:val="24"/>
          <w:szCs w:val="24"/>
        </w:rPr>
        <w:t xml:space="preserve"> school districts met the short-</w:t>
      </w:r>
      <w:r w:rsidR="009B0EA4" w:rsidRPr="005D31E2">
        <w:rPr>
          <w:rFonts w:ascii="Cambria" w:hAnsi="Cambria"/>
          <w:sz w:val="24"/>
          <w:szCs w:val="24"/>
        </w:rPr>
        <w:t>term target.</w:t>
      </w:r>
      <w:r w:rsidR="009B0EA4">
        <w:rPr>
          <w:rStyle w:val="FootnoteReference"/>
          <w:rFonts w:ascii="Cambria" w:hAnsi="Cambria"/>
          <w:sz w:val="24"/>
          <w:szCs w:val="24"/>
        </w:rPr>
        <w:footnoteReference w:id="4"/>
      </w:r>
      <w:r w:rsidR="009B0EA4" w:rsidRPr="005D31E2">
        <w:rPr>
          <w:rFonts w:ascii="Cambria" w:hAnsi="Cambria"/>
          <w:sz w:val="24"/>
          <w:szCs w:val="24"/>
        </w:rPr>
        <w:t xml:space="preserve">  </w:t>
      </w:r>
    </w:p>
    <w:p w:rsidR="00C20210" w:rsidRPr="005D31E2" w:rsidRDefault="00A62F87" w:rsidP="005D31E2">
      <w:pPr>
        <w:pStyle w:val="ListParagraph"/>
        <w:numPr>
          <w:ilvl w:val="0"/>
          <w:numId w:val="14"/>
        </w:numPr>
        <w:rPr>
          <w:rFonts w:ascii="Cambria" w:hAnsi="Cambria"/>
          <w:sz w:val="24"/>
          <w:szCs w:val="24"/>
        </w:rPr>
      </w:pPr>
      <w:r w:rsidRPr="005D31E2">
        <w:rPr>
          <w:rFonts w:ascii="Cambria" w:hAnsi="Cambria"/>
          <w:sz w:val="24"/>
          <w:szCs w:val="24"/>
        </w:rPr>
        <w:t>As</w:t>
      </w:r>
      <w:r w:rsidR="00EB75B1">
        <w:rPr>
          <w:rFonts w:ascii="Cambria" w:hAnsi="Cambria"/>
          <w:sz w:val="24"/>
          <w:szCs w:val="24"/>
        </w:rPr>
        <w:t xml:space="preserve"> of early 2016,</w:t>
      </w:r>
      <w:r w:rsidR="00C20210" w:rsidRPr="005D31E2">
        <w:rPr>
          <w:rFonts w:ascii="Cambria" w:hAnsi="Cambria"/>
          <w:sz w:val="24"/>
          <w:szCs w:val="24"/>
        </w:rPr>
        <w:t xml:space="preserve"> 77 percent of </w:t>
      </w:r>
      <w:r w:rsidR="00EB75B1">
        <w:rPr>
          <w:rFonts w:ascii="Cambria" w:hAnsi="Cambria"/>
          <w:sz w:val="24"/>
          <w:szCs w:val="24"/>
        </w:rPr>
        <w:t>school</w:t>
      </w:r>
      <w:r w:rsidR="00C20210" w:rsidRPr="005D31E2">
        <w:rPr>
          <w:rFonts w:ascii="Cambria" w:hAnsi="Cambria"/>
          <w:sz w:val="24"/>
          <w:szCs w:val="24"/>
        </w:rPr>
        <w:t xml:space="preserve"> districts,</w:t>
      </w:r>
      <w:r w:rsidR="00EB75B1">
        <w:rPr>
          <w:rFonts w:ascii="Cambria" w:hAnsi="Cambria"/>
          <w:sz w:val="24"/>
          <w:szCs w:val="24"/>
        </w:rPr>
        <w:t xml:space="preserve"> representing</w:t>
      </w:r>
      <w:r w:rsidR="000D2653">
        <w:rPr>
          <w:rFonts w:ascii="Cambria" w:hAnsi="Cambria"/>
          <w:sz w:val="24"/>
          <w:szCs w:val="24"/>
        </w:rPr>
        <w:t xml:space="preserve"> 68 percent of schools</w:t>
      </w:r>
      <w:r w:rsidR="00C20210" w:rsidRPr="005D31E2">
        <w:rPr>
          <w:rFonts w:ascii="Cambria" w:hAnsi="Cambria"/>
          <w:sz w:val="24"/>
          <w:szCs w:val="24"/>
        </w:rPr>
        <w:t xml:space="preserve"> and 67 percent of students, met the short-term target.</w:t>
      </w:r>
      <w:r w:rsidR="00C20210" w:rsidRPr="00D518F4">
        <w:rPr>
          <w:rStyle w:val="FootnoteReference"/>
          <w:rFonts w:ascii="Cambria" w:hAnsi="Cambria"/>
          <w:sz w:val="24"/>
          <w:szCs w:val="24"/>
        </w:rPr>
        <w:footnoteReference w:id="5"/>
      </w:r>
      <w:r w:rsidR="00C20210" w:rsidRPr="005D31E2">
        <w:rPr>
          <w:rFonts w:ascii="Cambria" w:hAnsi="Cambria"/>
          <w:sz w:val="24"/>
          <w:szCs w:val="24"/>
        </w:rPr>
        <w:t xml:space="preserve">  </w:t>
      </w:r>
    </w:p>
    <w:p w:rsidR="004157B2" w:rsidRPr="00CB4EA3" w:rsidRDefault="004157B2" w:rsidP="0088466F">
      <w:pPr>
        <w:pStyle w:val="ParaNum"/>
        <w:numPr>
          <w:ilvl w:val="0"/>
          <w:numId w:val="0"/>
        </w:numPr>
        <w:spacing w:after="0"/>
        <w:rPr>
          <w:rFonts w:ascii="Cambria" w:hAnsi="Cambria"/>
          <w:b/>
          <w:szCs w:val="22"/>
        </w:rPr>
      </w:pPr>
    </w:p>
    <w:p w:rsidR="00300B11" w:rsidRPr="00465C4F" w:rsidRDefault="00C20B34" w:rsidP="00612FDF">
      <w:pPr>
        <w:pStyle w:val="ListParagraph"/>
        <w:numPr>
          <w:ilvl w:val="0"/>
          <w:numId w:val="8"/>
        </w:numPr>
        <w:rPr>
          <w:rFonts w:ascii="Cambria" w:hAnsi="Cambria"/>
          <w:b/>
          <w:bCs/>
          <w:sz w:val="24"/>
          <w:szCs w:val="24"/>
        </w:rPr>
      </w:pPr>
      <w:r w:rsidRPr="00465C4F">
        <w:rPr>
          <w:rFonts w:ascii="Cambria" w:hAnsi="Cambria"/>
          <w:b/>
          <w:bCs/>
          <w:sz w:val="24"/>
          <w:szCs w:val="24"/>
        </w:rPr>
        <w:t>Expanding Wi</w:t>
      </w:r>
      <w:r w:rsidR="002F2E6C" w:rsidRPr="00465C4F">
        <w:rPr>
          <w:rFonts w:ascii="Cambria" w:hAnsi="Cambria"/>
          <w:b/>
          <w:bCs/>
          <w:sz w:val="24"/>
          <w:szCs w:val="24"/>
        </w:rPr>
        <w:t>-</w:t>
      </w:r>
      <w:r w:rsidRPr="00465C4F">
        <w:rPr>
          <w:rFonts w:ascii="Cambria" w:hAnsi="Cambria"/>
          <w:b/>
          <w:bCs/>
          <w:sz w:val="24"/>
          <w:szCs w:val="24"/>
        </w:rPr>
        <w:t>Fi support for All Schools and L</w:t>
      </w:r>
      <w:r w:rsidR="00300B11" w:rsidRPr="00465C4F">
        <w:rPr>
          <w:rFonts w:ascii="Cambria" w:hAnsi="Cambria"/>
          <w:b/>
          <w:bCs/>
          <w:sz w:val="24"/>
          <w:szCs w:val="24"/>
        </w:rPr>
        <w:t>ibraries</w:t>
      </w:r>
    </w:p>
    <w:p w:rsidR="009F30F3" w:rsidRDefault="00590774">
      <w:pPr>
        <w:rPr>
          <w:rFonts w:ascii="Cambria" w:hAnsi="Cambria"/>
          <w:sz w:val="24"/>
          <w:szCs w:val="24"/>
        </w:rPr>
      </w:pPr>
      <w:r w:rsidRPr="00465C4F">
        <w:rPr>
          <w:rFonts w:ascii="Cambria" w:hAnsi="Cambria"/>
          <w:sz w:val="24"/>
          <w:szCs w:val="24"/>
        </w:rPr>
        <w:t xml:space="preserve">The </w:t>
      </w:r>
      <w:r w:rsidR="0056515E" w:rsidRPr="00465C4F">
        <w:rPr>
          <w:rFonts w:ascii="Cambria" w:hAnsi="Cambria"/>
          <w:i/>
          <w:iCs/>
          <w:sz w:val="24"/>
          <w:szCs w:val="24"/>
        </w:rPr>
        <w:t xml:space="preserve">First </w:t>
      </w:r>
      <w:r w:rsidRPr="00465C4F">
        <w:rPr>
          <w:rFonts w:ascii="Cambria" w:hAnsi="Cambria"/>
          <w:i/>
          <w:iCs/>
          <w:sz w:val="24"/>
          <w:szCs w:val="24"/>
        </w:rPr>
        <w:t xml:space="preserve">E-rate Modernization Order </w:t>
      </w:r>
      <w:r w:rsidRPr="00465C4F">
        <w:rPr>
          <w:rFonts w:ascii="Cambria" w:hAnsi="Cambria"/>
          <w:sz w:val="24"/>
          <w:szCs w:val="24"/>
        </w:rPr>
        <w:t>provide</w:t>
      </w:r>
      <w:r w:rsidR="00A17770">
        <w:rPr>
          <w:rFonts w:ascii="Cambria" w:hAnsi="Cambria"/>
          <w:sz w:val="24"/>
          <w:szCs w:val="24"/>
        </w:rPr>
        <w:t>d</w:t>
      </w:r>
      <w:r w:rsidRPr="00465C4F">
        <w:rPr>
          <w:rFonts w:ascii="Cambria" w:hAnsi="Cambria"/>
          <w:sz w:val="24"/>
          <w:szCs w:val="24"/>
        </w:rPr>
        <w:t xml:space="preserve"> enhanced and more equitable </w:t>
      </w:r>
      <w:r w:rsidR="004157B2" w:rsidRPr="00465C4F">
        <w:rPr>
          <w:rFonts w:ascii="Cambria" w:hAnsi="Cambria"/>
          <w:sz w:val="24"/>
          <w:szCs w:val="24"/>
        </w:rPr>
        <w:t xml:space="preserve">Wi-Fi </w:t>
      </w:r>
      <w:r w:rsidRPr="00465C4F">
        <w:rPr>
          <w:rFonts w:ascii="Cambria" w:hAnsi="Cambria"/>
          <w:sz w:val="24"/>
          <w:szCs w:val="24"/>
        </w:rPr>
        <w:t xml:space="preserve">support.  </w:t>
      </w:r>
      <w:r w:rsidR="00465C4F">
        <w:rPr>
          <w:rFonts w:ascii="Cambria" w:hAnsi="Cambria"/>
          <w:sz w:val="24"/>
          <w:szCs w:val="24"/>
        </w:rPr>
        <w:t>P</w:t>
      </w:r>
      <w:r w:rsidR="00C86AC2" w:rsidRPr="00465C4F">
        <w:rPr>
          <w:rFonts w:ascii="Cambria" w:hAnsi="Cambria"/>
          <w:sz w:val="24"/>
          <w:szCs w:val="24"/>
        </w:rPr>
        <w:t>revious</w:t>
      </w:r>
      <w:r w:rsidR="0097584C">
        <w:rPr>
          <w:rFonts w:ascii="Cambria" w:hAnsi="Cambria"/>
          <w:sz w:val="24"/>
          <w:szCs w:val="24"/>
        </w:rPr>
        <w:t>ly, the</w:t>
      </w:r>
      <w:r w:rsidR="00C86AC2" w:rsidRPr="00465C4F">
        <w:rPr>
          <w:rFonts w:ascii="Cambria" w:hAnsi="Cambria"/>
          <w:sz w:val="24"/>
          <w:szCs w:val="24"/>
        </w:rPr>
        <w:t xml:space="preserve"> E-rate rules categorized</w:t>
      </w:r>
      <w:r w:rsidR="00884CAB">
        <w:rPr>
          <w:rFonts w:ascii="Cambria" w:hAnsi="Cambria"/>
          <w:sz w:val="24"/>
          <w:szCs w:val="24"/>
        </w:rPr>
        <w:t xml:space="preserve"> </w:t>
      </w:r>
      <w:r w:rsidR="004067FB">
        <w:rPr>
          <w:rFonts w:ascii="Cambria" w:hAnsi="Cambria"/>
          <w:sz w:val="24"/>
          <w:szCs w:val="24"/>
        </w:rPr>
        <w:t xml:space="preserve"> </w:t>
      </w:r>
      <w:r w:rsidR="00C86AC2" w:rsidRPr="00465C4F">
        <w:rPr>
          <w:rFonts w:ascii="Cambria" w:hAnsi="Cambria"/>
          <w:sz w:val="24"/>
          <w:szCs w:val="24"/>
        </w:rPr>
        <w:t xml:space="preserve">Wi-Fi </w:t>
      </w:r>
      <w:r w:rsidR="009F30F3">
        <w:rPr>
          <w:rFonts w:ascii="Cambria" w:hAnsi="Cambria"/>
          <w:sz w:val="24"/>
          <w:szCs w:val="24"/>
        </w:rPr>
        <w:t xml:space="preserve">equipment and </w:t>
      </w:r>
      <w:r w:rsidR="0097584C">
        <w:rPr>
          <w:rFonts w:ascii="Cambria" w:hAnsi="Cambria"/>
          <w:sz w:val="24"/>
          <w:szCs w:val="24"/>
        </w:rPr>
        <w:t>other internal connections</w:t>
      </w:r>
      <w:r w:rsidR="00C86AC2" w:rsidRPr="00465C4F">
        <w:rPr>
          <w:rFonts w:ascii="Cambria" w:hAnsi="Cambria"/>
          <w:sz w:val="24"/>
          <w:szCs w:val="24"/>
        </w:rPr>
        <w:t xml:space="preserve"> </w:t>
      </w:r>
      <w:r w:rsidR="009F30F3">
        <w:rPr>
          <w:rFonts w:ascii="Cambria" w:hAnsi="Cambria"/>
          <w:sz w:val="24"/>
          <w:szCs w:val="24"/>
        </w:rPr>
        <w:t>as Priority Two</w:t>
      </w:r>
      <w:r w:rsidR="0097584C">
        <w:rPr>
          <w:rFonts w:ascii="Cambria" w:hAnsi="Cambria"/>
          <w:sz w:val="24"/>
          <w:szCs w:val="24"/>
        </w:rPr>
        <w:t xml:space="preserve"> services</w:t>
      </w:r>
      <w:r w:rsidR="009F30F3">
        <w:rPr>
          <w:rFonts w:ascii="Cambria" w:hAnsi="Cambria"/>
          <w:sz w:val="24"/>
          <w:szCs w:val="24"/>
        </w:rPr>
        <w:t>, meaning that</w:t>
      </w:r>
      <w:r w:rsidR="0049005C" w:rsidRPr="00465C4F">
        <w:rPr>
          <w:rFonts w:ascii="Cambria" w:hAnsi="Cambria"/>
          <w:sz w:val="24"/>
          <w:szCs w:val="24"/>
        </w:rPr>
        <w:t xml:space="preserve"> support</w:t>
      </w:r>
      <w:r w:rsidR="00C86AC2" w:rsidRPr="00465C4F">
        <w:rPr>
          <w:rFonts w:ascii="Cambria" w:hAnsi="Cambria"/>
          <w:sz w:val="24"/>
          <w:szCs w:val="24"/>
        </w:rPr>
        <w:t xml:space="preserve"> was only available </w:t>
      </w:r>
      <w:r w:rsidR="00137950">
        <w:rPr>
          <w:rFonts w:ascii="Cambria" w:hAnsi="Cambria"/>
          <w:sz w:val="24"/>
          <w:szCs w:val="24"/>
        </w:rPr>
        <w:t>if</w:t>
      </w:r>
      <w:r w:rsidR="00C86AC2" w:rsidRPr="00465C4F">
        <w:rPr>
          <w:rFonts w:ascii="Cambria" w:hAnsi="Cambria"/>
          <w:sz w:val="24"/>
          <w:szCs w:val="24"/>
        </w:rPr>
        <w:t xml:space="preserve"> </w:t>
      </w:r>
      <w:r w:rsidR="0049005C" w:rsidRPr="00465C4F">
        <w:rPr>
          <w:rFonts w:ascii="Cambria" w:hAnsi="Cambria"/>
          <w:sz w:val="24"/>
          <w:szCs w:val="24"/>
        </w:rPr>
        <w:t>dollars</w:t>
      </w:r>
      <w:r w:rsidR="00C80E12" w:rsidRPr="00465C4F">
        <w:rPr>
          <w:rFonts w:ascii="Cambria" w:hAnsi="Cambria"/>
          <w:sz w:val="24"/>
          <w:szCs w:val="24"/>
        </w:rPr>
        <w:t xml:space="preserve"> remain</w:t>
      </w:r>
      <w:r w:rsidR="00674DA0">
        <w:rPr>
          <w:rFonts w:ascii="Cambria" w:hAnsi="Cambria"/>
          <w:sz w:val="24"/>
          <w:szCs w:val="24"/>
        </w:rPr>
        <w:t>ed</w:t>
      </w:r>
      <w:r w:rsidR="00C80E12" w:rsidRPr="00465C4F">
        <w:rPr>
          <w:rFonts w:ascii="Cambria" w:hAnsi="Cambria"/>
          <w:sz w:val="24"/>
          <w:szCs w:val="24"/>
        </w:rPr>
        <w:t xml:space="preserve"> after all Priority One (telecommunications and Internet access) applications</w:t>
      </w:r>
      <w:r w:rsidR="00674DA0">
        <w:rPr>
          <w:rFonts w:ascii="Cambria" w:hAnsi="Cambria"/>
          <w:sz w:val="24"/>
          <w:szCs w:val="24"/>
        </w:rPr>
        <w:t xml:space="preserve"> had been funded</w:t>
      </w:r>
      <w:r w:rsidR="00C80E12" w:rsidRPr="00465C4F">
        <w:rPr>
          <w:rFonts w:ascii="Cambria" w:hAnsi="Cambria"/>
          <w:sz w:val="24"/>
          <w:szCs w:val="24"/>
        </w:rPr>
        <w:t>.</w:t>
      </w:r>
      <w:r w:rsidR="009454A1">
        <w:rPr>
          <w:rStyle w:val="FootnoteReference"/>
          <w:rFonts w:ascii="Cambria" w:hAnsi="Cambria"/>
          <w:sz w:val="24"/>
          <w:szCs w:val="24"/>
        </w:rPr>
        <w:footnoteReference w:id="6"/>
      </w:r>
      <w:r w:rsidR="009F30F3">
        <w:rPr>
          <w:rFonts w:ascii="Cambria" w:hAnsi="Cambria"/>
          <w:sz w:val="24"/>
          <w:szCs w:val="24"/>
        </w:rPr>
        <w:t xml:space="preserve">  </w:t>
      </w:r>
      <w:r w:rsidR="00C4258F" w:rsidRPr="00465C4F">
        <w:rPr>
          <w:rFonts w:ascii="Cambria" w:hAnsi="Cambria"/>
          <w:sz w:val="24"/>
          <w:szCs w:val="24"/>
        </w:rPr>
        <w:t>As demand for high-speed broadband both to and within schools and libraries grew</w:t>
      </w:r>
      <w:r w:rsidR="00C020E6" w:rsidRPr="00465C4F">
        <w:rPr>
          <w:rFonts w:ascii="Cambria" w:hAnsi="Cambria"/>
          <w:sz w:val="24"/>
          <w:szCs w:val="24"/>
        </w:rPr>
        <w:t xml:space="preserve">, </w:t>
      </w:r>
      <w:r w:rsidR="009F30F3">
        <w:rPr>
          <w:rFonts w:ascii="Cambria" w:hAnsi="Cambria"/>
          <w:sz w:val="24"/>
          <w:szCs w:val="24"/>
        </w:rPr>
        <w:t>two problems arose:</w:t>
      </w:r>
    </w:p>
    <w:p w:rsidR="009F30F3" w:rsidRDefault="009F30F3" w:rsidP="009F30F3">
      <w:pPr>
        <w:pStyle w:val="ListParagraph"/>
        <w:numPr>
          <w:ilvl w:val="0"/>
          <w:numId w:val="12"/>
        </w:numPr>
        <w:rPr>
          <w:rFonts w:ascii="Cambria" w:hAnsi="Cambria"/>
          <w:sz w:val="24"/>
          <w:szCs w:val="24"/>
        </w:rPr>
      </w:pPr>
      <w:r>
        <w:rPr>
          <w:rFonts w:ascii="Cambria" w:hAnsi="Cambria"/>
          <w:sz w:val="24"/>
          <w:szCs w:val="24"/>
          <w:u w:val="single"/>
        </w:rPr>
        <w:t xml:space="preserve">Insufficient </w:t>
      </w:r>
      <w:r w:rsidRPr="009F30F3">
        <w:rPr>
          <w:rFonts w:ascii="Cambria" w:hAnsi="Cambria"/>
          <w:sz w:val="24"/>
          <w:szCs w:val="24"/>
          <w:u w:val="single"/>
        </w:rPr>
        <w:t>support</w:t>
      </w:r>
      <w:r>
        <w:rPr>
          <w:rFonts w:ascii="Cambria" w:hAnsi="Cambria"/>
          <w:sz w:val="24"/>
          <w:szCs w:val="24"/>
        </w:rPr>
        <w:t xml:space="preserve">. </w:t>
      </w:r>
      <w:r w:rsidR="004C68CE" w:rsidRPr="009F30F3">
        <w:rPr>
          <w:rFonts w:ascii="Cambria" w:hAnsi="Cambria"/>
          <w:sz w:val="24"/>
          <w:szCs w:val="24"/>
        </w:rPr>
        <w:t xml:space="preserve">Priority Two </w:t>
      </w:r>
      <w:r w:rsidR="002F2E6C" w:rsidRPr="009F30F3">
        <w:rPr>
          <w:rFonts w:ascii="Cambria" w:hAnsi="Cambria"/>
          <w:sz w:val="24"/>
          <w:szCs w:val="24"/>
        </w:rPr>
        <w:t xml:space="preserve">requests </w:t>
      </w:r>
      <w:r w:rsidR="00F147B9" w:rsidRPr="009F30F3">
        <w:rPr>
          <w:rFonts w:ascii="Cambria" w:hAnsi="Cambria"/>
          <w:sz w:val="24"/>
          <w:szCs w:val="24"/>
        </w:rPr>
        <w:t>greatly</w:t>
      </w:r>
      <w:r w:rsidR="00AD16DE" w:rsidRPr="009F30F3">
        <w:rPr>
          <w:rFonts w:ascii="Cambria" w:hAnsi="Cambria"/>
          <w:sz w:val="24"/>
          <w:szCs w:val="24"/>
        </w:rPr>
        <w:t xml:space="preserve"> exceeded available funding almost every year</w:t>
      </w:r>
      <w:r w:rsidR="004C68CE" w:rsidRPr="009F30F3">
        <w:rPr>
          <w:rFonts w:ascii="Cambria" w:hAnsi="Cambria"/>
          <w:sz w:val="24"/>
          <w:szCs w:val="24"/>
        </w:rPr>
        <w:t>.</w:t>
      </w:r>
      <w:r w:rsidR="00AD16DE" w:rsidRPr="009F30F3">
        <w:rPr>
          <w:rFonts w:ascii="Cambria" w:hAnsi="Cambria"/>
          <w:sz w:val="24"/>
          <w:szCs w:val="24"/>
        </w:rPr>
        <w:t xml:space="preserve"> </w:t>
      </w:r>
      <w:r w:rsidR="00CA338E" w:rsidRPr="009F30F3">
        <w:rPr>
          <w:rFonts w:ascii="Cambria" w:hAnsi="Cambria"/>
          <w:sz w:val="24"/>
          <w:szCs w:val="24"/>
        </w:rPr>
        <w:t xml:space="preserve"> </w:t>
      </w:r>
      <w:r w:rsidRPr="009F30F3">
        <w:rPr>
          <w:rFonts w:ascii="Cambria" w:hAnsi="Cambria"/>
          <w:sz w:val="24"/>
          <w:szCs w:val="24"/>
        </w:rPr>
        <w:t>For funding years 2013 and 2014, Priority One support consumed</w:t>
      </w:r>
      <w:r w:rsidR="004F432E">
        <w:rPr>
          <w:rFonts w:ascii="Cambria" w:hAnsi="Cambria"/>
          <w:sz w:val="24"/>
          <w:szCs w:val="24"/>
        </w:rPr>
        <w:t xml:space="preserve"> all</w:t>
      </w:r>
      <w:r w:rsidRPr="009F30F3">
        <w:rPr>
          <w:rFonts w:ascii="Cambria" w:hAnsi="Cambria"/>
          <w:sz w:val="24"/>
          <w:szCs w:val="24"/>
        </w:rPr>
        <w:t xml:space="preserve"> available E-rate support and </w:t>
      </w:r>
      <w:r w:rsidR="004F432E">
        <w:rPr>
          <w:rFonts w:ascii="Cambria" w:hAnsi="Cambria"/>
          <w:sz w:val="24"/>
          <w:szCs w:val="24"/>
        </w:rPr>
        <w:t xml:space="preserve">applicant received </w:t>
      </w:r>
      <w:r w:rsidR="00364C3D">
        <w:rPr>
          <w:rFonts w:ascii="Cambria" w:hAnsi="Cambria"/>
          <w:sz w:val="24"/>
          <w:szCs w:val="24"/>
        </w:rPr>
        <w:t xml:space="preserve">no </w:t>
      </w:r>
      <w:r w:rsidR="004F432E">
        <w:rPr>
          <w:rFonts w:ascii="Cambria" w:hAnsi="Cambria"/>
          <w:sz w:val="24"/>
          <w:szCs w:val="24"/>
        </w:rPr>
        <w:t>Priority Two funding</w:t>
      </w:r>
      <w:r w:rsidRPr="009F30F3">
        <w:rPr>
          <w:rFonts w:ascii="Cambria" w:hAnsi="Cambria"/>
          <w:sz w:val="24"/>
          <w:szCs w:val="24"/>
        </w:rPr>
        <w:t>.</w:t>
      </w:r>
    </w:p>
    <w:p w:rsidR="00590774" w:rsidRPr="009F30F3" w:rsidRDefault="009F30F3" w:rsidP="009F30F3">
      <w:pPr>
        <w:pStyle w:val="ListParagraph"/>
        <w:numPr>
          <w:ilvl w:val="0"/>
          <w:numId w:val="12"/>
        </w:numPr>
        <w:rPr>
          <w:rFonts w:ascii="Cambria" w:hAnsi="Cambria"/>
          <w:sz w:val="24"/>
          <w:szCs w:val="24"/>
        </w:rPr>
      </w:pPr>
      <w:r w:rsidRPr="009F30F3">
        <w:rPr>
          <w:rFonts w:ascii="Cambria" w:hAnsi="Cambria"/>
          <w:sz w:val="24"/>
          <w:szCs w:val="24"/>
          <w:u w:val="single"/>
        </w:rPr>
        <w:t>Inequitable distribution of support</w:t>
      </w:r>
      <w:r>
        <w:rPr>
          <w:rFonts w:ascii="Cambria" w:hAnsi="Cambria"/>
          <w:sz w:val="24"/>
          <w:szCs w:val="24"/>
        </w:rPr>
        <w:t xml:space="preserve">. </w:t>
      </w:r>
      <w:r w:rsidR="00D72974">
        <w:rPr>
          <w:rFonts w:ascii="Cambria" w:hAnsi="Cambria"/>
          <w:sz w:val="24"/>
          <w:szCs w:val="24"/>
        </w:rPr>
        <w:t>Only four to 11 percent of schools received</w:t>
      </w:r>
      <w:r w:rsidRPr="009F30F3">
        <w:rPr>
          <w:rFonts w:ascii="Cambria" w:hAnsi="Cambria"/>
          <w:sz w:val="24"/>
          <w:szCs w:val="24"/>
        </w:rPr>
        <w:t xml:space="preserve"> Priority Two </w:t>
      </w:r>
      <w:r w:rsidR="00D72974">
        <w:rPr>
          <w:rFonts w:ascii="Cambria" w:hAnsi="Cambria"/>
          <w:sz w:val="24"/>
          <w:szCs w:val="24"/>
        </w:rPr>
        <w:t>support</w:t>
      </w:r>
      <w:r w:rsidRPr="009F30F3">
        <w:rPr>
          <w:rFonts w:ascii="Cambria" w:hAnsi="Cambria"/>
          <w:sz w:val="24"/>
          <w:szCs w:val="24"/>
        </w:rPr>
        <w:t xml:space="preserve"> </w:t>
      </w:r>
      <w:r w:rsidR="00D72974">
        <w:rPr>
          <w:rFonts w:ascii="Cambria" w:hAnsi="Cambria"/>
          <w:sz w:val="24"/>
          <w:szCs w:val="24"/>
        </w:rPr>
        <w:t>in fu</w:t>
      </w:r>
      <w:r w:rsidRPr="009F30F3">
        <w:rPr>
          <w:rFonts w:ascii="Cambria" w:hAnsi="Cambria"/>
          <w:sz w:val="24"/>
          <w:szCs w:val="24"/>
        </w:rPr>
        <w:t>nding years 2008-2012.</w:t>
      </w:r>
      <w:r w:rsidRPr="00465C4F">
        <w:rPr>
          <w:rStyle w:val="FootnoteReference"/>
          <w:rFonts w:ascii="Cambria" w:hAnsi="Cambria"/>
          <w:sz w:val="24"/>
          <w:szCs w:val="24"/>
        </w:rPr>
        <w:footnoteReference w:id="7"/>
      </w:r>
      <w:r w:rsidRPr="009F30F3">
        <w:rPr>
          <w:rFonts w:ascii="Cambria" w:hAnsi="Cambria"/>
          <w:sz w:val="24"/>
          <w:szCs w:val="24"/>
        </w:rPr>
        <w:t xml:space="preserve">  </w:t>
      </w:r>
      <w:r w:rsidR="00582FCD" w:rsidRPr="009F30F3">
        <w:rPr>
          <w:rFonts w:ascii="Cambria" w:hAnsi="Cambria"/>
          <w:sz w:val="24"/>
          <w:szCs w:val="24"/>
        </w:rPr>
        <w:t xml:space="preserve">Funding limitations also created </w:t>
      </w:r>
      <w:r w:rsidR="00E668C7" w:rsidRPr="009F30F3">
        <w:rPr>
          <w:rFonts w:ascii="Cambria" w:hAnsi="Cambria"/>
          <w:sz w:val="24"/>
          <w:szCs w:val="24"/>
        </w:rPr>
        <w:t>an urban/rural disparity</w:t>
      </w:r>
      <w:r w:rsidR="008B37E8">
        <w:rPr>
          <w:rFonts w:ascii="Cambria" w:hAnsi="Cambria"/>
          <w:sz w:val="24"/>
          <w:szCs w:val="24"/>
        </w:rPr>
        <w:t>, with</w:t>
      </w:r>
      <w:r w:rsidR="00E668C7" w:rsidRPr="009F30F3">
        <w:rPr>
          <w:rFonts w:ascii="Cambria" w:hAnsi="Cambria"/>
          <w:sz w:val="24"/>
          <w:szCs w:val="24"/>
        </w:rPr>
        <w:t xml:space="preserve"> rural schools on average receiv</w:t>
      </w:r>
      <w:r w:rsidR="008B37E8">
        <w:rPr>
          <w:rFonts w:ascii="Cambria" w:hAnsi="Cambria"/>
          <w:sz w:val="24"/>
          <w:szCs w:val="24"/>
        </w:rPr>
        <w:t xml:space="preserve">ing </w:t>
      </w:r>
      <w:r w:rsidR="00E668C7" w:rsidRPr="009F30F3">
        <w:rPr>
          <w:rFonts w:ascii="Cambria" w:hAnsi="Cambria"/>
          <w:sz w:val="24"/>
          <w:szCs w:val="24"/>
        </w:rPr>
        <w:t xml:space="preserve">25 percent less Wi-Fi support per student and </w:t>
      </w:r>
      <w:r w:rsidR="00914934" w:rsidRPr="009F30F3">
        <w:rPr>
          <w:rFonts w:ascii="Cambria" w:hAnsi="Cambria"/>
          <w:sz w:val="24"/>
          <w:szCs w:val="24"/>
        </w:rPr>
        <w:t>50 percent less per school.</w:t>
      </w:r>
      <w:r w:rsidR="00914934" w:rsidRPr="00465C4F">
        <w:rPr>
          <w:rStyle w:val="FootnoteReference"/>
          <w:rFonts w:ascii="Cambria" w:hAnsi="Cambria"/>
          <w:sz w:val="24"/>
          <w:szCs w:val="24"/>
        </w:rPr>
        <w:footnoteReference w:id="8"/>
      </w:r>
      <w:r w:rsidR="00914934" w:rsidRPr="009F30F3">
        <w:rPr>
          <w:rFonts w:ascii="Cambria" w:hAnsi="Cambria"/>
          <w:sz w:val="24"/>
          <w:szCs w:val="24"/>
        </w:rPr>
        <w:t xml:space="preserve">  </w:t>
      </w:r>
    </w:p>
    <w:p w:rsidR="00590774" w:rsidRPr="001A1E9A" w:rsidRDefault="00742967" w:rsidP="001A1E9A">
      <w:pPr>
        <w:pStyle w:val="CommentText"/>
      </w:pPr>
      <w:r>
        <w:rPr>
          <w:rFonts w:ascii="Cambria" w:hAnsi="Cambria"/>
          <w:sz w:val="24"/>
          <w:szCs w:val="24"/>
        </w:rPr>
        <w:t>T</w:t>
      </w:r>
      <w:r w:rsidR="00C80E12" w:rsidRPr="00465C4F">
        <w:rPr>
          <w:rFonts w:ascii="Cambria" w:hAnsi="Cambria"/>
          <w:sz w:val="24"/>
          <w:szCs w:val="24"/>
        </w:rPr>
        <w:t xml:space="preserve">he </w:t>
      </w:r>
      <w:r w:rsidR="0056515E" w:rsidRPr="00465C4F">
        <w:rPr>
          <w:rFonts w:ascii="Cambria" w:hAnsi="Cambria"/>
          <w:i/>
          <w:iCs/>
          <w:sz w:val="24"/>
          <w:szCs w:val="24"/>
        </w:rPr>
        <w:t xml:space="preserve">First </w:t>
      </w:r>
      <w:r w:rsidR="00D91CC1" w:rsidRPr="00465C4F">
        <w:rPr>
          <w:rFonts w:ascii="Cambria" w:hAnsi="Cambria"/>
          <w:i/>
          <w:iCs/>
          <w:sz w:val="24"/>
          <w:szCs w:val="24"/>
        </w:rPr>
        <w:t>E-rate Modernization Order</w:t>
      </w:r>
      <w:r w:rsidR="00D91CC1" w:rsidRPr="00465C4F">
        <w:rPr>
          <w:rFonts w:ascii="Cambria" w:hAnsi="Cambria"/>
          <w:sz w:val="24"/>
          <w:szCs w:val="24"/>
        </w:rPr>
        <w:t xml:space="preserve"> </w:t>
      </w:r>
      <w:r>
        <w:rPr>
          <w:rFonts w:ascii="Cambria" w:hAnsi="Cambria"/>
          <w:sz w:val="24"/>
          <w:szCs w:val="24"/>
        </w:rPr>
        <w:t>t</w:t>
      </w:r>
      <w:r w:rsidR="00D94E17">
        <w:rPr>
          <w:rFonts w:ascii="Cambria" w:hAnsi="Cambria"/>
          <w:sz w:val="24"/>
          <w:szCs w:val="24"/>
        </w:rPr>
        <w:t>ook a number of steps to help ensure full fun</w:t>
      </w:r>
      <w:r w:rsidR="000B2249">
        <w:rPr>
          <w:rFonts w:ascii="Cambria" w:hAnsi="Cambria"/>
          <w:sz w:val="24"/>
          <w:szCs w:val="24"/>
        </w:rPr>
        <w:t xml:space="preserve">ding of WiFi and other internal connections.  </w:t>
      </w:r>
      <w:r w:rsidR="006070AA">
        <w:rPr>
          <w:rFonts w:ascii="Cambria" w:hAnsi="Cambria"/>
          <w:sz w:val="24"/>
          <w:szCs w:val="24"/>
        </w:rPr>
        <w:t xml:space="preserve">Recognizing the importance of both external and internal broadband connections, the FCC changed the nomenclature from “Priority One and Two” to “Category One and Two” services.  </w:t>
      </w:r>
      <w:r>
        <w:rPr>
          <w:rFonts w:ascii="Cambria" w:hAnsi="Cambria"/>
          <w:sz w:val="24"/>
          <w:szCs w:val="24"/>
        </w:rPr>
        <w:t xml:space="preserve">It redesignated </w:t>
      </w:r>
      <w:r w:rsidR="00D91CC1" w:rsidRPr="00465C4F">
        <w:rPr>
          <w:rFonts w:ascii="Cambria" w:hAnsi="Cambria"/>
          <w:sz w:val="24"/>
          <w:szCs w:val="24"/>
        </w:rPr>
        <w:t xml:space="preserve"> </w:t>
      </w:r>
      <w:r w:rsidR="00235FBF" w:rsidRPr="00465C4F">
        <w:rPr>
          <w:rFonts w:ascii="Cambria" w:hAnsi="Cambria"/>
          <w:sz w:val="24"/>
          <w:szCs w:val="24"/>
        </w:rPr>
        <w:t>Wi-Fi</w:t>
      </w:r>
      <w:r w:rsidR="00D91CC1" w:rsidRPr="00465C4F">
        <w:rPr>
          <w:rFonts w:ascii="Cambria" w:hAnsi="Cambria"/>
          <w:sz w:val="24"/>
          <w:szCs w:val="24"/>
        </w:rPr>
        <w:t xml:space="preserve"> equipment </w:t>
      </w:r>
      <w:r w:rsidR="0097584C">
        <w:rPr>
          <w:rFonts w:ascii="Cambria" w:hAnsi="Cambria"/>
          <w:sz w:val="24"/>
          <w:szCs w:val="24"/>
        </w:rPr>
        <w:t>and other internal connections</w:t>
      </w:r>
      <w:r w:rsidR="006070AA">
        <w:rPr>
          <w:rFonts w:ascii="Cambria" w:hAnsi="Cambria"/>
          <w:sz w:val="24"/>
          <w:szCs w:val="24"/>
        </w:rPr>
        <w:t xml:space="preserve"> need</w:t>
      </w:r>
      <w:r w:rsidR="002165A6">
        <w:rPr>
          <w:rFonts w:ascii="Cambria" w:hAnsi="Cambria"/>
          <w:sz w:val="24"/>
          <w:szCs w:val="24"/>
        </w:rPr>
        <w:t>ed to provide broadband within schools and libraries</w:t>
      </w:r>
      <w:r w:rsidR="0097584C">
        <w:rPr>
          <w:rFonts w:ascii="Cambria" w:hAnsi="Cambria"/>
          <w:sz w:val="24"/>
          <w:szCs w:val="24"/>
        </w:rPr>
        <w:t xml:space="preserve"> </w:t>
      </w:r>
      <w:r w:rsidR="00D91CC1" w:rsidRPr="00465C4F">
        <w:rPr>
          <w:rFonts w:ascii="Cambria" w:hAnsi="Cambria"/>
          <w:sz w:val="24"/>
          <w:szCs w:val="24"/>
        </w:rPr>
        <w:t>as “Category Two”</w:t>
      </w:r>
      <w:r>
        <w:rPr>
          <w:rFonts w:ascii="Cambria" w:hAnsi="Cambria"/>
          <w:sz w:val="24"/>
          <w:szCs w:val="24"/>
        </w:rPr>
        <w:t xml:space="preserve"> services</w:t>
      </w:r>
      <w:r w:rsidR="00250012">
        <w:rPr>
          <w:rFonts w:ascii="Cambria" w:hAnsi="Cambria"/>
          <w:sz w:val="24"/>
          <w:szCs w:val="24"/>
        </w:rPr>
        <w:t>, reduced the highest discount rate for Category 2 services by five percent</w:t>
      </w:r>
      <w:r w:rsidR="002165A6">
        <w:rPr>
          <w:rFonts w:ascii="Cambria" w:hAnsi="Cambria"/>
          <w:sz w:val="24"/>
          <w:szCs w:val="24"/>
        </w:rPr>
        <w:t>age points</w:t>
      </w:r>
      <w:r w:rsidR="00250012">
        <w:rPr>
          <w:rFonts w:ascii="Cambria" w:hAnsi="Cambria"/>
          <w:sz w:val="24"/>
          <w:szCs w:val="24"/>
        </w:rPr>
        <w:t xml:space="preserve">, </w:t>
      </w:r>
      <w:r w:rsidR="00D91CC1" w:rsidRPr="00465C4F">
        <w:rPr>
          <w:rFonts w:ascii="Cambria" w:hAnsi="Cambria"/>
          <w:sz w:val="24"/>
          <w:szCs w:val="24"/>
        </w:rPr>
        <w:t>and set an annual support target of $1 billion</w:t>
      </w:r>
      <w:r w:rsidR="0097584C">
        <w:rPr>
          <w:rFonts w:ascii="Cambria" w:hAnsi="Cambria"/>
          <w:sz w:val="24"/>
          <w:szCs w:val="24"/>
        </w:rPr>
        <w:t xml:space="preserve"> for Category Two services</w:t>
      </w:r>
      <w:r w:rsidR="00D91CC1" w:rsidRPr="00465C4F">
        <w:rPr>
          <w:rFonts w:ascii="Cambria" w:hAnsi="Cambria"/>
          <w:sz w:val="24"/>
          <w:szCs w:val="24"/>
        </w:rPr>
        <w:t xml:space="preserve">.  </w:t>
      </w:r>
      <w:r w:rsidR="002165A6">
        <w:rPr>
          <w:rFonts w:ascii="Cambria" w:hAnsi="Cambria"/>
          <w:sz w:val="24"/>
          <w:szCs w:val="24"/>
        </w:rPr>
        <w:lastRenderedPageBreak/>
        <w:t xml:space="preserve">The Order </w:t>
      </w:r>
      <w:r>
        <w:rPr>
          <w:rFonts w:ascii="Cambria" w:hAnsi="Cambria"/>
          <w:sz w:val="24"/>
          <w:szCs w:val="24"/>
        </w:rPr>
        <w:t xml:space="preserve">also </w:t>
      </w:r>
      <w:r w:rsidR="00364C3D">
        <w:rPr>
          <w:rFonts w:ascii="Cambria" w:hAnsi="Cambria"/>
          <w:sz w:val="24"/>
          <w:szCs w:val="24"/>
        </w:rPr>
        <w:t>phased out</w:t>
      </w:r>
      <w:r w:rsidR="00A85E3E">
        <w:rPr>
          <w:rFonts w:ascii="Cambria" w:hAnsi="Cambria"/>
          <w:sz w:val="24"/>
          <w:szCs w:val="24"/>
        </w:rPr>
        <w:t xml:space="preserve"> support for legacy services</w:t>
      </w:r>
      <w:r>
        <w:rPr>
          <w:rFonts w:ascii="Cambria" w:hAnsi="Cambria"/>
          <w:sz w:val="24"/>
          <w:szCs w:val="24"/>
        </w:rPr>
        <w:t xml:space="preserve"> in both</w:t>
      </w:r>
      <w:r w:rsidR="006070AA">
        <w:rPr>
          <w:rFonts w:ascii="Cambria" w:hAnsi="Cambria"/>
          <w:sz w:val="24"/>
          <w:szCs w:val="24"/>
        </w:rPr>
        <w:t xml:space="preserve"> categories</w:t>
      </w:r>
      <w:r>
        <w:rPr>
          <w:rFonts w:ascii="Cambria" w:hAnsi="Cambria"/>
          <w:sz w:val="24"/>
          <w:szCs w:val="24"/>
        </w:rPr>
        <w:t xml:space="preserve"> </w:t>
      </w:r>
      <w:r w:rsidR="00A85E3E">
        <w:rPr>
          <w:rFonts w:ascii="Cambria" w:hAnsi="Cambria"/>
          <w:sz w:val="24"/>
          <w:szCs w:val="24"/>
        </w:rPr>
        <w:t>su</w:t>
      </w:r>
      <w:r w:rsidR="006070AA">
        <w:rPr>
          <w:rFonts w:ascii="Cambria" w:hAnsi="Cambria"/>
          <w:sz w:val="24"/>
          <w:szCs w:val="24"/>
        </w:rPr>
        <w:t xml:space="preserve">ch as paging and voice services, </w:t>
      </w:r>
      <w:r w:rsidR="00A85E3E">
        <w:rPr>
          <w:rFonts w:ascii="Cambria" w:hAnsi="Cambria"/>
          <w:sz w:val="24"/>
          <w:szCs w:val="24"/>
        </w:rPr>
        <w:t>and adopted other reforms</w:t>
      </w:r>
      <w:r w:rsidR="000B2249">
        <w:rPr>
          <w:rFonts w:ascii="Cambria" w:hAnsi="Cambria"/>
          <w:sz w:val="24"/>
          <w:szCs w:val="24"/>
        </w:rPr>
        <w:t>,</w:t>
      </w:r>
      <w:r w:rsidR="00A85E3E">
        <w:rPr>
          <w:rFonts w:ascii="Cambria" w:hAnsi="Cambria"/>
          <w:sz w:val="24"/>
          <w:szCs w:val="24"/>
        </w:rPr>
        <w:t xml:space="preserve"> </w:t>
      </w:r>
      <w:r w:rsidR="00364C3D">
        <w:rPr>
          <w:rFonts w:ascii="Cambria" w:hAnsi="Cambria"/>
          <w:sz w:val="24"/>
          <w:szCs w:val="24"/>
        </w:rPr>
        <w:t>in part to make more funding available for Category Two support.</w:t>
      </w:r>
      <w:r w:rsidR="00CA3B58">
        <w:rPr>
          <w:rStyle w:val="FootnoteReference"/>
          <w:rFonts w:ascii="Cambria" w:hAnsi="Cambria"/>
          <w:sz w:val="24"/>
          <w:szCs w:val="24"/>
        </w:rPr>
        <w:footnoteReference w:id="9"/>
      </w:r>
      <w:r w:rsidR="00364C3D">
        <w:rPr>
          <w:rFonts w:ascii="Cambria" w:hAnsi="Cambria"/>
          <w:sz w:val="24"/>
          <w:szCs w:val="24"/>
        </w:rPr>
        <w:t xml:space="preserve">  </w:t>
      </w:r>
      <w:r w:rsidR="002165A6">
        <w:rPr>
          <w:rFonts w:ascii="Cambria" w:hAnsi="Cambria"/>
          <w:sz w:val="24"/>
          <w:szCs w:val="24"/>
        </w:rPr>
        <w:t>In the Order, t</w:t>
      </w:r>
      <w:r w:rsidR="00A85E3E" w:rsidRPr="00465C4F">
        <w:rPr>
          <w:rFonts w:ascii="Cambria" w:hAnsi="Cambria"/>
          <w:sz w:val="24"/>
          <w:szCs w:val="24"/>
        </w:rPr>
        <w:t xml:space="preserve">he </w:t>
      </w:r>
      <w:r w:rsidR="002165A6">
        <w:rPr>
          <w:rFonts w:ascii="Cambria" w:hAnsi="Cambria"/>
          <w:sz w:val="24"/>
          <w:szCs w:val="24"/>
        </w:rPr>
        <w:t xml:space="preserve">FCC also </w:t>
      </w:r>
      <w:r w:rsidR="00364C3D">
        <w:rPr>
          <w:rFonts w:ascii="Cambria" w:hAnsi="Cambria"/>
          <w:sz w:val="24"/>
          <w:szCs w:val="24"/>
        </w:rPr>
        <w:t xml:space="preserve">rationalized the amount of support applicants can receive for Category Two support by establishing </w:t>
      </w:r>
      <w:r w:rsidR="00D91CC1" w:rsidRPr="00465C4F">
        <w:rPr>
          <w:rFonts w:ascii="Cambria" w:hAnsi="Cambria"/>
          <w:sz w:val="24"/>
          <w:szCs w:val="24"/>
        </w:rPr>
        <w:t>five</w:t>
      </w:r>
      <w:r w:rsidR="002F2E6C" w:rsidRPr="00465C4F">
        <w:rPr>
          <w:rFonts w:ascii="Cambria" w:hAnsi="Cambria"/>
          <w:sz w:val="24"/>
          <w:szCs w:val="24"/>
        </w:rPr>
        <w:t>-</w:t>
      </w:r>
      <w:r w:rsidR="00D91CC1" w:rsidRPr="00465C4F">
        <w:rPr>
          <w:rFonts w:ascii="Cambria" w:hAnsi="Cambria"/>
          <w:sz w:val="24"/>
          <w:szCs w:val="24"/>
        </w:rPr>
        <w:t>year Category Two budgets of $150 (pre-discount) per student</w:t>
      </w:r>
      <w:r w:rsidR="00E13713" w:rsidRPr="00465C4F">
        <w:rPr>
          <w:rFonts w:ascii="Cambria" w:hAnsi="Cambria"/>
          <w:sz w:val="24"/>
          <w:szCs w:val="24"/>
        </w:rPr>
        <w:t xml:space="preserve"> so that </w:t>
      </w:r>
      <w:r w:rsidR="00F147B9" w:rsidRPr="00465C4F">
        <w:rPr>
          <w:rFonts w:ascii="Cambria" w:hAnsi="Cambria"/>
          <w:sz w:val="24"/>
          <w:szCs w:val="24"/>
        </w:rPr>
        <w:t xml:space="preserve">all E-rate </w:t>
      </w:r>
      <w:r w:rsidR="00E13713" w:rsidRPr="00465C4F">
        <w:rPr>
          <w:rFonts w:ascii="Cambria" w:hAnsi="Cambria"/>
          <w:sz w:val="24"/>
          <w:szCs w:val="24"/>
        </w:rPr>
        <w:t>applicants could have predictable, flexible, and equitable funding sufficient to support robust Wi-Fi networks</w:t>
      </w:r>
      <w:r w:rsidR="00D91CC1" w:rsidRPr="00465C4F">
        <w:rPr>
          <w:rFonts w:ascii="Cambria" w:hAnsi="Cambria"/>
          <w:sz w:val="24"/>
          <w:szCs w:val="24"/>
        </w:rPr>
        <w:t xml:space="preserve">.  </w:t>
      </w:r>
      <w:r w:rsidR="006070AA">
        <w:rPr>
          <w:rFonts w:ascii="Cambria" w:hAnsi="Cambria"/>
          <w:sz w:val="24"/>
          <w:szCs w:val="24"/>
        </w:rPr>
        <w:t xml:space="preserve">In the </w:t>
      </w:r>
      <w:r w:rsidR="006070AA" w:rsidRPr="00465C4F">
        <w:rPr>
          <w:rFonts w:ascii="Cambria" w:hAnsi="Cambria"/>
          <w:i/>
          <w:iCs/>
          <w:sz w:val="24"/>
          <w:szCs w:val="24"/>
        </w:rPr>
        <w:t>Second E-rate Modernization Order</w:t>
      </w:r>
      <w:r w:rsidR="006070AA">
        <w:rPr>
          <w:rFonts w:ascii="Cambria" w:hAnsi="Cambria"/>
          <w:sz w:val="24"/>
          <w:szCs w:val="24"/>
        </w:rPr>
        <w:t xml:space="preserve"> t</w:t>
      </w:r>
      <w:r w:rsidR="00D91CC1" w:rsidRPr="00465C4F">
        <w:rPr>
          <w:rFonts w:ascii="Cambria" w:hAnsi="Cambria"/>
          <w:sz w:val="24"/>
          <w:szCs w:val="24"/>
        </w:rPr>
        <w:t xml:space="preserve">he </w:t>
      </w:r>
      <w:r w:rsidR="006070AA">
        <w:rPr>
          <w:rFonts w:ascii="Cambria" w:hAnsi="Cambria"/>
          <w:sz w:val="24"/>
          <w:szCs w:val="24"/>
        </w:rPr>
        <w:t xml:space="preserve">FCC </w:t>
      </w:r>
      <w:r w:rsidR="00D91CC1" w:rsidRPr="00465C4F">
        <w:rPr>
          <w:rFonts w:ascii="Cambria" w:hAnsi="Cambria"/>
          <w:sz w:val="24"/>
          <w:szCs w:val="24"/>
        </w:rPr>
        <w:t xml:space="preserve">extended the </w:t>
      </w:r>
      <w:r w:rsidR="006070AA">
        <w:rPr>
          <w:rFonts w:ascii="Cambria" w:hAnsi="Cambria"/>
          <w:sz w:val="24"/>
          <w:szCs w:val="24"/>
        </w:rPr>
        <w:t xml:space="preserve">Category 2 </w:t>
      </w:r>
      <w:r w:rsidR="00D91CC1" w:rsidRPr="00465C4F">
        <w:rPr>
          <w:rFonts w:ascii="Cambria" w:hAnsi="Cambria"/>
          <w:sz w:val="24"/>
          <w:szCs w:val="24"/>
        </w:rPr>
        <w:t xml:space="preserve">budget approach </w:t>
      </w:r>
      <w:r w:rsidR="002F2E6C" w:rsidRPr="00465C4F">
        <w:rPr>
          <w:rFonts w:ascii="Cambria" w:hAnsi="Cambria"/>
          <w:sz w:val="24"/>
          <w:szCs w:val="24"/>
        </w:rPr>
        <w:t>through funding year 2019</w:t>
      </w:r>
      <w:r w:rsidR="006070AA">
        <w:rPr>
          <w:rFonts w:ascii="Cambria" w:hAnsi="Cambria"/>
          <w:sz w:val="24"/>
          <w:szCs w:val="24"/>
        </w:rPr>
        <w:t>, with a few modifications</w:t>
      </w:r>
      <w:r w:rsidR="00D5531F">
        <w:rPr>
          <w:rFonts w:ascii="Cambria" w:hAnsi="Cambria"/>
          <w:sz w:val="24"/>
          <w:szCs w:val="24"/>
        </w:rPr>
        <w:t xml:space="preserve">, </w:t>
      </w:r>
      <w:r w:rsidR="00D5531F" w:rsidRPr="00465C4F">
        <w:rPr>
          <w:rFonts w:ascii="Cambria" w:hAnsi="Cambria"/>
          <w:sz w:val="24"/>
          <w:szCs w:val="24"/>
        </w:rPr>
        <w:t>and</w:t>
      </w:r>
      <w:r w:rsidR="006070AA">
        <w:rPr>
          <w:rFonts w:ascii="Cambria" w:hAnsi="Cambria"/>
          <w:sz w:val="24"/>
          <w:szCs w:val="24"/>
        </w:rPr>
        <w:t xml:space="preserve"> raised the annual E-rate cap to $3.9 bil</w:t>
      </w:r>
      <w:r w:rsidR="000B2249">
        <w:rPr>
          <w:rFonts w:ascii="Cambria" w:hAnsi="Cambria"/>
          <w:sz w:val="24"/>
          <w:szCs w:val="24"/>
        </w:rPr>
        <w:t xml:space="preserve">lion in order to ensure </w:t>
      </w:r>
      <w:r w:rsidR="006070AA">
        <w:rPr>
          <w:rFonts w:ascii="Cambria" w:hAnsi="Cambria"/>
          <w:sz w:val="24"/>
          <w:szCs w:val="24"/>
        </w:rPr>
        <w:t xml:space="preserve">the availability </w:t>
      </w:r>
      <w:r w:rsidR="000B2249">
        <w:rPr>
          <w:rFonts w:ascii="Cambria" w:hAnsi="Cambria"/>
          <w:sz w:val="24"/>
          <w:szCs w:val="24"/>
        </w:rPr>
        <w:t xml:space="preserve">of full funding for all </w:t>
      </w:r>
      <w:r w:rsidR="006070AA">
        <w:rPr>
          <w:rFonts w:ascii="Cambria" w:hAnsi="Cambria"/>
          <w:sz w:val="24"/>
          <w:szCs w:val="24"/>
        </w:rPr>
        <w:t>E-rate eligible services.</w:t>
      </w:r>
    </w:p>
    <w:p w:rsidR="00C20B34" w:rsidRPr="00465C4F" w:rsidRDefault="00C20B34">
      <w:pPr>
        <w:rPr>
          <w:rFonts w:ascii="Cambria" w:hAnsi="Cambria"/>
          <w:b/>
          <w:bCs/>
          <w:i/>
          <w:iCs/>
          <w:sz w:val="24"/>
          <w:szCs w:val="24"/>
        </w:rPr>
      </w:pPr>
      <w:r w:rsidRPr="00465C4F">
        <w:rPr>
          <w:rFonts w:ascii="Cambria" w:hAnsi="Cambria"/>
          <w:b/>
          <w:bCs/>
          <w:i/>
          <w:iCs/>
          <w:sz w:val="24"/>
          <w:szCs w:val="24"/>
        </w:rPr>
        <w:t>Progress</w:t>
      </w:r>
      <w:r w:rsidR="00F8367C" w:rsidRPr="00465C4F">
        <w:rPr>
          <w:rFonts w:ascii="Cambria" w:hAnsi="Cambria"/>
          <w:b/>
          <w:bCs/>
          <w:i/>
          <w:iCs/>
          <w:sz w:val="24"/>
          <w:szCs w:val="24"/>
        </w:rPr>
        <w:t>: Increased, Equitable Wi-Fi Funding</w:t>
      </w:r>
    </w:p>
    <w:p w:rsidR="00590774" w:rsidRPr="00465C4F" w:rsidRDefault="00E13713">
      <w:pPr>
        <w:rPr>
          <w:rFonts w:ascii="Cambria" w:hAnsi="Cambria"/>
          <w:sz w:val="24"/>
          <w:szCs w:val="24"/>
        </w:rPr>
      </w:pPr>
      <w:r w:rsidRPr="00465C4F">
        <w:rPr>
          <w:rFonts w:ascii="Cambria" w:hAnsi="Cambria"/>
          <w:sz w:val="24"/>
          <w:szCs w:val="24"/>
        </w:rPr>
        <w:t xml:space="preserve">With two funding years on the books, </w:t>
      </w:r>
      <w:r w:rsidR="00590774" w:rsidRPr="00465C4F">
        <w:rPr>
          <w:rFonts w:ascii="Cambria" w:hAnsi="Cambria"/>
          <w:sz w:val="24"/>
          <w:szCs w:val="24"/>
        </w:rPr>
        <w:t>E-rate’s new approach to Wi-Fi has had a rapid and widespread impact.</w:t>
      </w:r>
      <w:r w:rsidR="00F147B9" w:rsidRPr="00465C4F">
        <w:rPr>
          <w:rFonts w:ascii="Cambria" w:hAnsi="Cambria"/>
          <w:sz w:val="24"/>
          <w:szCs w:val="24"/>
        </w:rPr>
        <w:t xml:space="preserve">  </w:t>
      </w:r>
      <w:r w:rsidR="00E02923">
        <w:rPr>
          <w:rFonts w:ascii="Cambria" w:hAnsi="Cambria"/>
          <w:sz w:val="24"/>
          <w:szCs w:val="24"/>
        </w:rPr>
        <w:t>Nearly 50,000</w:t>
      </w:r>
      <w:r w:rsidR="00F147B9" w:rsidRPr="00465C4F">
        <w:rPr>
          <w:rFonts w:ascii="Cambria" w:hAnsi="Cambria"/>
          <w:sz w:val="24"/>
          <w:szCs w:val="24"/>
        </w:rPr>
        <w:t xml:space="preserve"> schools and libraries receiv</w:t>
      </w:r>
      <w:r w:rsidR="00E02923">
        <w:rPr>
          <w:rFonts w:ascii="Cambria" w:hAnsi="Cambria"/>
          <w:sz w:val="24"/>
          <w:szCs w:val="24"/>
        </w:rPr>
        <w:t>ed</w:t>
      </w:r>
      <w:r w:rsidR="00F147B9" w:rsidRPr="00465C4F">
        <w:rPr>
          <w:rFonts w:ascii="Cambria" w:hAnsi="Cambria"/>
          <w:sz w:val="24"/>
          <w:szCs w:val="24"/>
        </w:rPr>
        <w:t xml:space="preserve"> </w:t>
      </w:r>
      <w:r w:rsidR="00E02923">
        <w:rPr>
          <w:rFonts w:ascii="Cambria" w:hAnsi="Cambria"/>
          <w:sz w:val="24"/>
          <w:szCs w:val="24"/>
        </w:rPr>
        <w:t xml:space="preserve">Wi-Fi </w:t>
      </w:r>
      <w:r w:rsidR="00F147B9" w:rsidRPr="00465C4F">
        <w:rPr>
          <w:rFonts w:ascii="Cambria" w:hAnsi="Cambria"/>
          <w:sz w:val="24"/>
          <w:szCs w:val="24"/>
        </w:rPr>
        <w:t xml:space="preserve">support </w:t>
      </w:r>
      <w:r w:rsidR="00E02923">
        <w:rPr>
          <w:rFonts w:ascii="Cambria" w:hAnsi="Cambria"/>
          <w:sz w:val="24"/>
          <w:szCs w:val="24"/>
        </w:rPr>
        <w:t>in 2015, compared to</w:t>
      </w:r>
      <w:r w:rsidR="00F147B9" w:rsidRPr="00465C4F">
        <w:rPr>
          <w:rFonts w:ascii="Cambria" w:hAnsi="Cambria"/>
          <w:sz w:val="24"/>
          <w:szCs w:val="24"/>
        </w:rPr>
        <w:t xml:space="preserve"> zero in funding year</w:t>
      </w:r>
      <w:r w:rsidR="009107F1" w:rsidRPr="00465C4F">
        <w:rPr>
          <w:rFonts w:ascii="Cambria" w:hAnsi="Cambria"/>
          <w:sz w:val="24"/>
          <w:szCs w:val="24"/>
        </w:rPr>
        <w:t>s 2013 and</w:t>
      </w:r>
      <w:r w:rsidR="00F147B9" w:rsidRPr="00465C4F">
        <w:rPr>
          <w:rFonts w:ascii="Cambria" w:hAnsi="Cambria"/>
          <w:sz w:val="24"/>
          <w:szCs w:val="24"/>
        </w:rPr>
        <w:t xml:space="preserve"> 2014.  </w:t>
      </w:r>
      <w:r w:rsidR="00BB4F7B" w:rsidRPr="00465C4F">
        <w:rPr>
          <w:rFonts w:ascii="Cambria" w:hAnsi="Cambria"/>
          <w:sz w:val="24"/>
          <w:szCs w:val="24"/>
        </w:rPr>
        <w:t>A</w:t>
      </w:r>
      <w:r w:rsidR="00F147B9" w:rsidRPr="00465C4F">
        <w:rPr>
          <w:rFonts w:ascii="Cambria" w:hAnsi="Cambria"/>
          <w:iCs/>
          <w:sz w:val="24"/>
          <w:szCs w:val="24"/>
        </w:rPr>
        <w:t xml:space="preserve">ll </w:t>
      </w:r>
      <w:r w:rsidR="00F147B9" w:rsidRPr="00465C4F">
        <w:rPr>
          <w:rFonts w:ascii="Cambria" w:hAnsi="Cambria"/>
          <w:sz w:val="24"/>
          <w:szCs w:val="24"/>
        </w:rPr>
        <w:t xml:space="preserve">eligible funding </w:t>
      </w:r>
      <w:r w:rsidR="00C55B2B" w:rsidRPr="00465C4F">
        <w:rPr>
          <w:rFonts w:ascii="Cambria" w:hAnsi="Cambria"/>
          <w:sz w:val="24"/>
          <w:szCs w:val="24"/>
        </w:rPr>
        <w:t xml:space="preserve">year 2015 </w:t>
      </w:r>
      <w:r w:rsidR="00F147B9" w:rsidRPr="00465C4F">
        <w:rPr>
          <w:rFonts w:ascii="Cambria" w:hAnsi="Cambria"/>
          <w:sz w:val="24"/>
          <w:szCs w:val="24"/>
        </w:rPr>
        <w:t xml:space="preserve">requests for Wi-Fi services </w:t>
      </w:r>
      <w:r w:rsidR="009107F1" w:rsidRPr="00465C4F">
        <w:rPr>
          <w:rFonts w:ascii="Cambria" w:hAnsi="Cambria"/>
          <w:sz w:val="24"/>
          <w:szCs w:val="24"/>
        </w:rPr>
        <w:t xml:space="preserve">and equipment </w:t>
      </w:r>
      <w:r w:rsidR="00F147B9" w:rsidRPr="00465C4F">
        <w:rPr>
          <w:rFonts w:ascii="Cambria" w:hAnsi="Cambria"/>
          <w:sz w:val="24"/>
          <w:szCs w:val="24"/>
        </w:rPr>
        <w:t>received support</w:t>
      </w:r>
      <w:r w:rsidR="003F50CA" w:rsidRPr="00465C4F">
        <w:rPr>
          <w:rFonts w:ascii="Cambria" w:hAnsi="Cambria"/>
          <w:sz w:val="24"/>
          <w:szCs w:val="24"/>
        </w:rPr>
        <w:t>, tota</w:t>
      </w:r>
      <w:r w:rsidR="00F675C5">
        <w:rPr>
          <w:rFonts w:ascii="Cambria" w:hAnsi="Cambria"/>
          <w:sz w:val="24"/>
          <w:szCs w:val="24"/>
        </w:rPr>
        <w:t>ling over $1.</w:t>
      </w:r>
      <w:r w:rsidR="00AC5A79">
        <w:rPr>
          <w:rFonts w:ascii="Cambria" w:hAnsi="Cambria"/>
          <w:sz w:val="24"/>
          <w:szCs w:val="24"/>
        </w:rPr>
        <w:t>3</w:t>
      </w:r>
      <w:r w:rsidR="00F675C5">
        <w:rPr>
          <w:rFonts w:ascii="Cambria" w:hAnsi="Cambria"/>
          <w:sz w:val="24"/>
          <w:szCs w:val="24"/>
        </w:rPr>
        <w:t xml:space="preserve"> billion</w:t>
      </w:r>
      <w:r w:rsidR="00BB4F7B" w:rsidRPr="00465C4F">
        <w:rPr>
          <w:rFonts w:ascii="Cambria" w:hAnsi="Cambria"/>
          <w:sz w:val="24"/>
          <w:szCs w:val="24"/>
        </w:rPr>
        <w:t>. Likewise, all eligible requests for funding year 2016 are receiving commitments,</w:t>
      </w:r>
      <w:r w:rsidR="00A85E3E">
        <w:rPr>
          <w:rStyle w:val="FootnoteReference"/>
          <w:rFonts w:ascii="Cambria" w:hAnsi="Cambria"/>
          <w:sz w:val="24"/>
          <w:szCs w:val="24"/>
        </w:rPr>
        <w:footnoteReference w:id="10"/>
      </w:r>
      <w:r w:rsidR="00BB4F7B" w:rsidRPr="00465C4F">
        <w:rPr>
          <w:rFonts w:ascii="Cambria" w:hAnsi="Cambria"/>
          <w:sz w:val="24"/>
          <w:szCs w:val="24"/>
        </w:rPr>
        <w:t xml:space="preserve"> and r</w:t>
      </w:r>
      <w:r w:rsidR="00C55B2B" w:rsidRPr="00465C4F">
        <w:rPr>
          <w:rFonts w:ascii="Cambria" w:hAnsi="Cambria"/>
          <w:sz w:val="24"/>
          <w:szCs w:val="24"/>
        </w:rPr>
        <w:t>equests for Wi-Fi surpassed $1 billion for funding year 2016</w:t>
      </w:r>
      <w:r w:rsidR="00BB4F7B" w:rsidRPr="00465C4F">
        <w:rPr>
          <w:rFonts w:ascii="Cambria" w:hAnsi="Cambria"/>
          <w:sz w:val="24"/>
          <w:szCs w:val="24"/>
        </w:rPr>
        <w:t>.</w:t>
      </w:r>
    </w:p>
    <w:p w:rsidR="00C55B2B" w:rsidRPr="00465C4F" w:rsidRDefault="00C55B2B" w:rsidP="00416300">
      <w:pPr>
        <w:pStyle w:val="NoSpacing"/>
        <w:jc w:val="center"/>
        <w:rPr>
          <w:rFonts w:ascii="Cambria" w:hAnsi="Cambria"/>
          <w:b/>
          <w:sz w:val="24"/>
          <w:szCs w:val="24"/>
        </w:rPr>
      </w:pPr>
      <w:r w:rsidRPr="00465C4F">
        <w:rPr>
          <w:rFonts w:ascii="Cambria" w:hAnsi="Cambria"/>
          <w:b/>
          <w:sz w:val="24"/>
          <w:szCs w:val="24"/>
        </w:rPr>
        <w:t>Figure 1: Funds Requested and Committed for Internal Connections, 2009-2016</w:t>
      </w:r>
      <w:r w:rsidR="004C68CE" w:rsidRPr="00465C4F">
        <w:rPr>
          <w:rStyle w:val="FootnoteReference"/>
          <w:rFonts w:ascii="Cambria" w:hAnsi="Cambria"/>
          <w:b/>
          <w:bCs/>
          <w:sz w:val="24"/>
          <w:szCs w:val="24"/>
        </w:rPr>
        <w:footnoteReference w:id="11"/>
      </w:r>
    </w:p>
    <w:p w:rsidR="001D3431" w:rsidRDefault="001D3431" w:rsidP="00416300">
      <w:pPr>
        <w:pStyle w:val="NoSpacing"/>
        <w:jc w:val="center"/>
        <w:rPr>
          <w:rFonts w:ascii="Cambria" w:hAnsi="Cambria"/>
          <w:i/>
        </w:rPr>
      </w:pPr>
      <w:r w:rsidRPr="008E6EB8">
        <w:rPr>
          <w:rFonts w:ascii="Cambria" w:hAnsi="Cambria"/>
          <w:i/>
        </w:rPr>
        <w:t>*</w:t>
      </w:r>
      <w:r w:rsidR="00416300" w:rsidRPr="008E6EB8">
        <w:rPr>
          <w:rFonts w:ascii="Cambria" w:hAnsi="Cambria"/>
          <w:i/>
        </w:rPr>
        <w:t>USAC is currently reviewing FY2016 funding requests and releasing commitments</w:t>
      </w:r>
    </w:p>
    <w:p w:rsidR="009552B3" w:rsidRDefault="009552B3" w:rsidP="00416300">
      <w:pPr>
        <w:pStyle w:val="NoSpacing"/>
        <w:jc w:val="center"/>
        <w:rPr>
          <w:rFonts w:ascii="Cambria" w:hAnsi="Cambria"/>
          <w:i/>
        </w:rPr>
      </w:pPr>
    </w:p>
    <w:p w:rsidR="009552B3" w:rsidRDefault="009552B3" w:rsidP="00416300">
      <w:pPr>
        <w:pStyle w:val="NoSpacing"/>
        <w:jc w:val="center"/>
        <w:rPr>
          <w:rFonts w:ascii="Cambria" w:hAnsi="Cambria"/>
          <w:i/>
        </w:rPr>
      </w:pPr>
      <w:r>
        <w:rPr>
          <w:noProof/>
        </w:rPr>
        <w:drawing>
          <wp:inline distT="0" distB="0" distL="0" distR="0" wp14:anchorId="7A87D04E" wp14:editId="4657A0B6">
            <wp:extent cx="3733800" cy="21812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52B3" w:rsidRPr="008E6EB8" w:rsidRDefault="009552B3" w:rsidP="00416300">
      <w:pPr>
        <w:pStyle w:val="NoSpacing"/>
        <w:jc w:val="center"/>
        <w:rPr>
          <w:rFonts w:ascii="Cambria" w:hAnsi="Cambria"/>
          <w:i/>
        </w:rPr>
      </w:pPr>
    </w:p>
    <w:p w:rsidR="009107F1" w:rsidRPr="009F30F3" w:rsidRDefault="00C55B2B">
      <w:pPr>
        <w:rPr>
          <w:rFonts w:ascii="Cambria" w:hAnsi="Cambria"/>
          <w:sz w:val="24"/>
          <w:szCs w:val="24"/>
        </w:rPr>
      </w:pPr>
      <w:r w:rsidRPr="009F30F3">
        <w:rPr>
          <w:rFonts w:ascii="Cambria" w:hAnsi="Cambria"/>
          <w:sz w:val="24"/>
          <w:szCs w:val="24"/>
        </w:rPr>
        <w:t>The per-student budget approach has also resulted in a more equitable and widespread distribution of Wi-Fi funding</w:t>
      </w:r>
      <w:r w:rsidR="00713C85" w:rsidRPr="009F30F3">
        <w:rPr>
          <w:rFonts w:ascii="Cambria" w:hAnsi="Cambria"/>
          <w:sz w:val="24"/>
          <w:szCs w:val="24"/>
        </w:rPr>
        <w:t xml:space="preserve">.  </w:t>
      </w:r>
      <w:r w:rsidR="00A85E3E">
        <w:rPr>
          <w:rFonts w:ascii="Cambria" w:hAnsi="Cambria"/>
          <w:sz w:val="24"/>
          <w:szCs w:val="24"/>
        </w:rPr>
        <w:t>In previous years</w:t>
      </w:r>
      <w:r w:rsidR="00D5531F">
        <w:rPr>
          <w:rFonts w:ascii="Cambria" w:hAnsi="Cambria"/>
          <w:sz w:val="24"/>
          <w:szCs w:val="24"/>
        </w:rPr>
        <w:t>, schools</w:t>
      </w:r>
      <w:r w:rsidR="00A85E3E">
        <w:rPr>
          <w:rFonts w:ascii="Cambria" w:hAnsi="Cambria"/>
          <w:sz w:val="24"/>
          <w:szCs w:val="24"/>
        </w:rPr>
        <w:t xml:space="preserve"> and libraries had no way to know whether funding for WiFi would be available</w:t>
      </w:r>
      <w:r w:rsidR="009E4708">
        <w:rPr>
          <w:rFonts w:ascii="Cambria" w:hAnsi="Cambria"/>
          <w:sz w:val="24"/>
          <w:szCs w:val="24"/>
        </w:rPr>
        <w:t xml:space="preserve"> for any given funding year.  But, </w:t>
      </w:r>
      <w:r w:rsidR="00A85E3E">
        <w:rPr>
          <w:rFonts w:ascii="Cambria" w:hAnsi="Cambria"/>
          <w:sz w:val="24"/>
          <w:szCs w:val="24"/>
        </w:rPr>
        <w:t xml:space="preserve">they did </w:t>
      </w:r>
      <w:r w:rsidR="00A85E3E">
        <w:rPr>
          <w:rFonts w:ascii="Cambria" w:hAnsi="Cambria"/>
          <w:sz w:val="24"/>
          <w:szCs w:val="24"/>
        </w:rPr>
        <w:lastRenderedPageBreak/>
        <w:t xml:space="preserve">know that if funding was available it would be allocated first to the schools and libraries that applied with the </w:t>
      </w:r>
      <w:r w:rsidR="00CA3B58">
        <w:rPr>
          <w:rFonts w:ascii="Cambria" w:hAnsi="Cambria"/>
          <w:sz w:val="24"/>
          <w:szCs w:val="24"/>
        </w:rPr>
        <w:t>h</w:t>
      </w:r>
      <w:r w:rsidR="00A85E3E">
        <w:rPr>
          <w:rFonts w:ascii="Cambria" w:hAnsi="Cambria"/>
          <w:sz w:val="24"/>
          <w:szCs w:val="24"/>
        </w:rPr>
        <w:t xml:space="preserve">ighest discount rate.  The result was </w:t>
      </w:r>
      <w:r w:rsidR="00CA3B58">
        <w:rPr>
          <w:rFonts w:ascii="Cambria" w:hAnsi="Cambria"/>
          <w:sz w:val="24"/>
          <w:szCs w:val="24"/>
        </w:rPr>
        <w:t xml:space="preserve">to </w:t>
      </w:r>
      <w:r w:rsidR="00A85E3E">
        <w:rPr>
          <w:rFonts w:ascii="Cambria" w:hAnsi="Cambria"/>
          <w:sz w:val="24"/>
          <w:szCs w:val="24"/>
        </w:rPr>
        <w:t xml:space="preserve">retard applications </w:t>
      </w:r>
      <w:r w:rsidR="009E4708">
        <w:rPr>
          <w:rFonts w:ascii="Cambria" w:hAnsi="Cambria"/>
          <w:sz w:val="24"/>
          <w:szCs w:val="24"/>
        </w:rPr>
        <w:t xml:space="preserve">for WiFi funding </w:t>
      </w:r>
      <w:r w:rsidR="00A85E3E">
        <w:rPr>
          <w:rFonts w:ascii="Cambria" w:hAnsi="Cambria"/>
          <w:sz w:val="24"/>
          <w:szCs w:val="24"/>
        </w:rPr>
        <w:t xml:space="preserve">by </w:t>
      </w:r>
      <w:r w:rsidR="009E4708">
        <w:rPr>
          <w:rFonts w:ascii="Cambria" w:hAnsi="Cambria"/>
          <w:sz w:val="24"/>
          <w:szCs w:val="24"/>
        </w:rPr>
        <w:t xml:space="preserve">all </w:t>
      </w:r>
      <w:r w:rsidR="00CA3B58">
        <w:rPr>
          <w:rFonts w:ascii="Cambria" w:hAnsi="Cambria"/>
          <w:sz w:val="24"/>
          <w:szCs w:val="24"/>
        </w:rPr>
        <w:t>schools and libraries</w:t>
      </w:r>
      <w:r w:rsidR="009E4708">
        <w:rPr>
          <w:rFonts w:ascii="Cambria" w:hAnsi="Cambria"/>
          <w:sz w:val="24"/>
          <w:szCs w:val="24"/>
        </w:rPr>
        <w:t>, and particularly those</w:t>
      </w:r>
      <w:r w:rsidR="00CA3B58">
        <w:rPr>
          <w:rFonts w:ascii="Cambria" w:hAnsi="Cambria"/>
          <w:sz w:val="24"/>
          <w:szCs w:val="24"/>
        </w:rPr>
        <w:t xml:space="preserve"> with lower discount rates, including </w:t>
      </w:r>
      <w:r w:rsidR="00A85E3E">
        <w:rPr>
          <w:rFonts w:ascii="Cambria" w:hAnsi="Cambria"/>
          <w:sz w:val="24"/>
          <w:szCs w:val="24"/>
        </w:rPr>
        <w:t>many rural schools</w:t>
      </w:r>
      <w:r w:rsidR="009E4708">
        <w:rPr>
          <w:rFonts w:ascii="Cambria" w:hAnsi="Cambria"/>
          <w:sz w:val="24"/>
          <w:szCs w:val="24"/>
        </w:rPr>
        <w:t xml:space="preserve"> and libraries</w:t>
      </w:r>
      <w:r w:rsidR="00A85E3E">
        <w:rPr>
          <w:rFonts w:ascii="Cambria" w:hAnsi="Cambria"/>
          <w:sz w:val="24"/>
          <w:szCs w:val="24"/>
        </w:rPr>
        <w:t>.</w:t>
      </w:r>
      <w:r w:rsidR="00CA3B58">
        <w:rPr>
          <w:rStyle w:val="FootnoteReference"/>
          <w:rFonts w:ascii="Cambria" w:hAnsi="Cambria"/>
          <w:sz w:val="24"/>
          <w:szCs w:val="24"/>
        </w:rPr>
        <w:footnoteReference w:id="12"/>
      </w:r>
      <w:r w:rsidR="00A85E3E">
        <w:rPr>
          <w:rFonts w:ascii="Cambria" w:hAnsi="Cambria"/>
          <w:sz w:val="24"/>
          <w:szCs w:val="24"/>
        </w:rPr>
        <w:t xml:space="preserve"> </w:t>
      </w:r>
      <w:r w:rsidR="00CA3B58">
        <w:rPr>
          <w:rFonts w:ascii="Cambria" w:hAnsi="Cambria"/>
          <w:sz w:val="24"/>
          <w:szCs w:val="24"/>
        </w:rPr>
        <w:t xml:space="preserve"> By adopting per-student five year budgets and </w:t>
      </w:r>
      <w:r w:rsidR="00B4641C">
        <w:rPr>
          <w:rFonts w:ascii="Cambria" w:hAnsi="Cambria"/>
          <w:sz w:val="24"/>
          <w:szCs w:val="24"/>
        </w:rPr>
        <w:t xml:space="preserve">a target of making at least $1 billion available every year for WiFi services, the E-rate program has been able to provide support for Category Two service for </w:t>
      </w:r>
      <w:r w:rsidR="00B905F7">
        <w:rPr>
          <w:rFonts w:ascii="Cambria" w:hAnsi="Cambria"/>
          <w:sz w:val="24"/>
          <w:szCs w:val="24"/>
        </w:rPr>
        <w:t>s</w:t>
      </w:r>
      <w:r w:rsidR="00713C85" w:rsidRPr="009F30F3">
        <w:rPr>
          <w:rFonts w:ascii="Cambria" w:hAnsi="Cambria"/>
          <w:sz w:val="24"/>
          <w:szCs w:val="24"/>
        </w:rPr>
        <w:t>chools</w:t>
      </w:r>
      <w:r w:rsidR="00B905F7">
        <w:rPr>
          <w:rFonts w:ascii="Cambria" w:hAnsi="Cambria"/>
          <w:sz w:val="24"/>
          <w:szCs w:val="24"/>
        </w:rPr>
        <w:t xml:space="preserve"> and libraries</w:t>
      </w:r>
      <w:r w:rsidR="00713C85" w:rsidRPr="009F30F3">
        <w:rPr>
          <w:rFonts w:ascii="Cambria" w:hAnsi="Cambria"/>
          <w:sz w:val="24"/>
          <w:szCs w:val="24"/>
        </w:rPr>
        <w:t xml:space="preserve"> </w:t>
      </w:r>
      <w:r w:rsidR="00BA1882">
        <w:rPr>
          <w:rFonts w:ascii="Cambria" w:hAnsi="Cambria"/>
          <w:sz w:val="24"/>
          <w:szCs w:val="24"/>
        </w:rPr>
        <w:t xml:space="preserve">in </w:t>
      </w:r>
      <w:r w:rsidR="009E1731" w:rsidRPr="009F30F3">
        <w:rPr>
          <w:rFonts w:ascii="Cambria" w:hAnsi="Cambria"/>
          <w:sz w:val="24"/>
          <w:szCs w:val="24"/>
        </w:rPr>
        <w:t xml:space="preserve">every </w:t>
      </w:r>
      <w:r w:rsidR="00713C85" w:rsidRPr="009F30F3">
        <w:rPr>
          <w:rFonts w:ascii="Cambria" w:hAnsi="Cambria"/>
          <w:sz w:val="24"/>
          <w:szCs w:val="24"/>
        </w:rPr>
        <w:t xml:space="preserve">state and </w:t>
      </w:r>
      <w:r w:rsidR="009E1731" w:rsidRPr="009F30F3">
        <w:rPr>
          <w:rFonts w:ascii="Cambria" w:hAnsi="Cambria"/>
          <w:sz w:val="24"/>
          <w:szCs w:val="24"/>
        </w:rPr>
        <w:t xml:space="preserve">all but two </w:t>
      </w:r>
      <w:r w:rsidR="00713C85" w:rsidRPr="009F30F3">
        <w:rPr>
          <w:rFonts w:ascii="Cambria" w:hAnsi="Cambria"/>
          <w:sz w:val="24"/>
          <w:szCs w:val="24"/>
        </w:rPr>
        <w:t>territor</w:t>
      </w:r>
      <w:r w:rsidR="009E1731" w:rsidRPr="009F30F3">
        <w:rPr>
          <w:rFonts w:ascii="Cambria" w:hAnsi="Cambria"/>
          <w:sz w:val="24"/>
          <w:szCs w:val="24"/>
        </w:rPr>
        <w:t xml:space="preserve">ies, American Samoa and the Northern Marianas </w:t>
      </w:r>
      <w:r w:rsidR="00B4641C">
        <w:rPr>
          <w:rFonts w:ascii="Cambria" w:hAnsi="Cambria"/>
          <w:sz w:val="24"/>
          <w:szCs w:val="24"/>
        </w:rPr>
        <w:t xml:space="preserve">(which have not requested support) </w:t>
      </w:r>
      <w:r w:rsidR="00713C85" w:rsidRPr="009F30F3">
        <w:rPr>
          <w:rFonts w:ascii="Cambria" w:hAnsi="Cambria"/>
          <w:sz w:val="24"/>
          <w:szCs w:val="24"/>
        </w:rPr>
        <w:t xml:space="preserve">in </w:t>
      </w:r>
      <w:r w:rsidR="009E1731" w:rsidRPr="009F30F3">
        <w:rPr>
          <w:rFonts w:ascii="Cambria" w:hAnsi="Cambria"/>
          <w:sz w:val="24"/>
          <w:szCs w:val="24"/>
        </w:rPr>
        <w:t>both</w:t>
      </w:r>
      <w:r w:rsidR="00D34F07" w:rsidRPr="009F30F3">
        <w:rPr>
          <w:rFonts w:ascii="Cambria" w:hAnsi="Cambria"/>
          <w:sz w:val="24"/>
          <w:szCs w:val="24"/>
        </w:rPr>
        <w:t xml:space="preserve"> </w:t>
      </w:r>
      <w:r w:rsidR="00713C85" w:rsidRPr="009F30F3">
        <w:rPr>
          <w:rFonts w:ascii="Cambria" w:hAnsi="Cambria"/>
          <w:sz w:val="24"/>
          <w:szCs w:val="24"/>
        </w:rPr>
        <w:t xml:space="preserve">2015 </w:t>
      </w:r>
      <w:r w:rsidR="006D58C3" w:rsidRPr="009F30F3">
        <w:rPr>
          <w:rFonts w:ascii="Cambria" w:hAnsi="Cambria"/>
          <w:sz w:val="24"/>
          <w:szCs w:val="24"/>
        </w:rPr>
        <w:t xml:space="preserve">or </w:t>
      </w:r>
      <w:r w:rsidR="00713C85" w:rsidRPr="009F30F3">
        <w:rPr>
          <w:rFonts w:ascii="Cambria" w:hAnsi="Cambria"/>
          <w:sz w:val="24"/>
          <w:szCs w:val="24"/>
        </w:rPr>
        <w:t>2016.</w:t>
      </w:r>
      <w:r w:rsidR="00661637">
        <w:rPr>
          <w:rFonts w:ascii="Cambria" w:hAnsi="Cambria"/>
          <w:sz w:val="24"/>
          <w:szCs w:val="24"/>
        </w:rPr>
        <w:t xml:space="preserve">  The </w:t>
      </w:r>
      <w:r w:rsidR="00451588">
        <w:rPr>
          <w:rFonts w:ascii="Cambria" w:hAnsi="Cambria"/>
          <w:sz w:val="24"/>
          <w:szCs w:val="24"/>
        </w:rPr>
        <w:t>table</w:t>
      </w:r>
      <w:r w:rsidR="00661637">
        <w:rPr>
          <w:rFonts w:ascii="Cambria" w:hAnsi="Cambria"/>
          <w:sz w:val="24"/>
          <w:szCs w:val="24"/>
        </w:rPr>
        <w:t xml:space="preserve"> below compares the average Wi-Fi funding committed to every state and territory from 2010-2014 compared to 2015.</w:t>
      </w:r>
      <w:r w:rsidR="00EF17EF">
        <w:rPr>
          <w:rFonts w:ascii="Cambria" w:hAnsi="Cambria"/>
          <w:sz w:val="24"/>
          <w:szCs w:val="24"/>
        </w:rPr>
        <w:t xml:space="preserve">  As noted above, application review and funding commitments for funding year 2016 remain in progress.</w:t>
      </w:r>
    </w:p>
    <w:p w:rsidR="00A029B6" w:rsidRPr="00EF17EF" w:rsidRDefault="00E37F24" w:rsidP="00EF17EF">
      <w:pPr>
        <w:jc w:val="center"/>
        <w:rPr>
          <w:rFonts w:ascii="Cambria" w:hAnsi="Cambria"/>
          <w:b/>
          <w:bCs/>
          <w:sz w:val="24"/>
          <w:szCs w:val="24"/>
        </w:rPr>
      </w:pPr>
      <w:r w:rsidRPr="008E6EB8">
        <w:rPr>
          <w:rFonts w:ascii="Cambria" w:hAnsi="Cambria"/>
          <w:b/>
          <w:bCs/>
          <w:sz w:val="24"/>
          <w:szCs w:val="24"/>
        </w:rPr>
        <w:t>Figure 2: 20</w:t>
      </w:r>
      <w:r w:rsidR="00EF17EF">
        <w:rPr>
          <w:rFonts w:ascii="Cambria" w:hAnsi="Cambria"/>
          <w:b/>
          <w:bCs/>
          <w:sz w:val="24"/>
          <w:szCs w:val="24"/>
        </w:rPr>
        <w:t>10</w:t>
      </w:r>
      <w:r w:rsidRPr="008E6EB8">
        <w:rPr>
          <w:rFonts w:ascii="Cambria" w:hAnsi="Cambria"/>
          <w:b/>
          <w:bCs/>
          <w:sz w:val="24"/>
          <w:szCs w:val="24"/>
        </w:rPr>
        <w:t>-201</w:t>
      </w:r>
      <w:r w:rsidR="00EF17EF">
        <w:rPr>
          <w:rFonts w:ascii="Cambria" w:hAnsi="Cambria"/>
          <w:b/>
          <w:bCs/>
          <w:sz w:val="24"/>
          <w:szCs w:val="24"/>
        </w:rPr>
        <w:t>4 vs. 2015</w:t>
      </w:r>
      <w:r w:rsidRPr="008E6EB8">
        <w:rPr>
          <w:rFonts w:ascii="Cambria" w:hAnsi="Cambria"/>
          <w:b/>
          <w:bCs/>
          <w:sz w:val="24"/>
          <w:szCs w:val="24"/>
        </w:rPr>
        <w:t xml:space="preserve"> Category Two Funding by State</w:t>
      </w:r>
      <w:r w:rsidR="00C84290" w:rsidRPr="008E6EB8">
        <w:rPr>
          <w:rFonts w:ascii="Cambria" w:hAnsi="Cambria"/>
          <w:b/>
          <w:bCs/>
          <w:sz w:val="24"/>
          <w:szCs w:val="24"/>
        </w:rPr>
        <w:t xml:space="preserve"> and Territory</w:t>
      </w:r>
    </w:p>
    <w:tbl>
      <w:tblPr>
        <w:tblW w:w="6800" w:type="dxa"/>
        <w:jc w:val="center"/>
        <w:tblLook w:val="04A0" w:firstRow="1" w:lastRow="0" w:firstColumn="1" w:lastColumn="0" w:noHBand="0" w:noVBand="1"/>
      </w:tblPr>
      <w:tblGrid>
        <w:gridCol w:w="1700"/>
        <w:gridCol w:w="1700"/>
        <w:gridCol w:w="1700"/>
        <w:gridCol w:w="1700"/>
      </w:tblGrid>
      <w:tr w:rsidR="00AF35C0" w:rsidRPr="00AF35C0" w:rsidTr="00AF35C0">
        <w:trPr>
          <w:trHeight w:val="285"/>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b/>
                <w:bCs/>
                <w:color w:val="000000"/>
                <w:sz w:val="18"/>
                <w:szCs w:val="18"/>
              </w:rPr>
            </w:pPr>
            <w:r w:rsidRPr="00AF35C0">
              <w:rPr>
                <w:rFonts w:ascii="Cambria" w:eastAsia="Times New Roman" w:hAnsi="Cambria" w:cs="Calibri"/>
                <w:b/>
                <w:bCs/>
                <w:color w:val="000000"/>
                <w:sz w:val="18"/>
                <w:szCs w:val="18"/>
              </w:rPr>
              <w:t>State</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b/>
                <w:bCs/>
                <w:color w:val="000000"/>
                <w:sz w:val="18"/>
                <w:szCs w:val="18"/>
              </w:rPr>
            </w:pPr>
            <w:r w:rsidRPr="00AF35C0">
              <w:rPr>
                <w:rFonts w:ascii="Cambria" w:eastAsia="Times New Roman" w:hAnsi="Cambria" w:cs="Calibri"/>
                <w:b/>
                <w:bCs/>
                <w:color w:val="000000"/>
                <w:sz w:val="18"/>
                <w:szCs w:val="18"/>
              </w:rPr>
              <w:t>Average 2010-2014</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b/>
                <w:bCs/>
                <w:color w:val="000000"/>
                <w:sz w:val="18"/>
                <w:szCs w:val="18"/>
              </w:rPr>
            </w:pPr>
            <w:r w:rsidRPr="00AF35C0">
              <w:rPr>
                <w:rFonts w:ascii="Cambria" w:eastAsia="Times New Roman" w:hAnsi="Cambria" w:cs="Calibri"/>
                <w:b/>
                <w:bCs/>
                <w:color w:val="000000"/>
                <w:sz w:val="18"/>
                <w:szCs w:val="18"/>
              </w:rPr>
              <w:t>2015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b/>
                <w:bCs/>
                <w:color w:val="000000"/>
                <w:sz w:val="18"/>
                <w:szCs w:val="18"/>
              </w:rPr>
            </w:pPr>
            <w:r w:rsidRPr="00AF35C0">
              <w:rPr>
                <w:rFonts w:ascii="Cambria" w:eastAsia="Times New Roman" w:hAnsi="Cambria" w:cs="Calibri"/>
                <w:b/>
                <w:bCs/>
                <w:color w:val="000000"/>
                <w:sz w:val="18"/>
                <w:szCs w:val="18"/>
              </w:rPr>
              <w:t>% increase</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Alaska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$1,246,205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$3,115,114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150%</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Alabama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$9,640,061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$28,488,146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196%</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Arkansas</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$2,504,897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$14,351,987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473%</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American Samoa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$4,991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-100%</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Arizona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$19,828,508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$33,808,436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71%</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California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$110,209,540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$174,119,063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58%</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Colorado</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$5,418,842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$9,158,527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69%</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Connecticut</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$3,380,878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$11,741,360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247%</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District of Columbia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$2,030,465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$2,631,893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30%</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Delaware</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$76,216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$1,955,842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2466%</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Florida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$18,403,203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$89,298,913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385%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Georgia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$19,686,087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$64,050,309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225%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Guam</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$73,330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$2,325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-97%</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Hawaii</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$2,247,731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$9,337,225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315%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Iowa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$865,783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$8,910,710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929%</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Idaho</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$758,130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$3,858,172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409%</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Illinois</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$27,705,145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$65,518,789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136%</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Indiana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$3,568,180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$22,452,772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529%</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Kansas</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$790,025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$7,089,952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797%</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Kentucky</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$9,196,461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$26,398,513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187%</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Louisiana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$10,255,811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$44,628,594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335%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Massachusetts</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$5,379,831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$20,725,355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285%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Maryland</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$3,252,784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$6,346,630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95%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Maine</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$631,525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$2,569,625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307%</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lastRenderedPageBreak/>
              <w:t>Michigan</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$8,966,040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$29,734,035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232%</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Minnesota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$4,409,006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$18,619,022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322%</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Missouri</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$5,467,813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$25,382,605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364%</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 Mariana Islands</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$24,884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$700,136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2714%</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Mississippi</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$4,902,493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$21,782,687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344%</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Montana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$480,267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$2,287,958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376%</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North Carolina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$14,594,295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$52,027,261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256%</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North Dakota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$221,188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$1,773,674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702%</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Nebraska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$253,827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$6,572,626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2489%</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New Hampshire</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$138,586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$2,058,192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1385%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New Jersey</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$12,974,733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$30,365,785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134%</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New Mexico</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$9,531,373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$7,109,252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Nevada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$2,645,411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$4,500,062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70%</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New York</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$36,752,091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$47,238,998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29%</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Ohio</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$11,227,778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$30,813,176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174%</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Oklahoma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$10,996,025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$30,232,304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175%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Oregon</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$2,267,677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$10,538,891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365%</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Pennsylvania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$14,295,850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$34,275,616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140%</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Puerto Rico</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$15,512,043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$12,028,336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-22%</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Rhode Island</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$1,677,498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$2,348,270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40%</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South Carolina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$8,765,692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$25,927,803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196%</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South Dakota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$903,784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$1,728,498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91%</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Tennessee</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$6,254,553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$20,156,831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222%</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Texas</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$103,133,203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$167,503,727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62%</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Utah</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$1,083,158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$5,670,216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423%</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Virginia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$3,549,004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$21,866,656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516%</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Virgin Islands</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$2,620,271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$1,210,570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-54%</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Vermont</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$63,448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$1,054,945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1563%</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Washington</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$8,045,509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$21,953,727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173%</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Wisconsin</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$1,962,185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$17,304,308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782%</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West Virginia</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$2,382,036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$6,691,395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181%</w:t>
            </w:r>
          </w:p>
        </w:tc>
      </w:tr>
      <w:tr w:rsidR="00AF35C0" w:rsidRPr="00AF35C0" w:rsidTr="00AF35C0">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Wyoming</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$713,956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 xml:space="preserve">$868,752 </w:t>
            </w:r>
          </w:p>
        </w:tc>
        <w:tc>
          <w:tcPr>
            <w:tcW w:w="1700" w:type="dxa"/>
            <w:tcBorders>
              <w:top w:val="nil"/>
              <w:left w:val="nil"/>
              <w:bottom w:val="single" w:sz="4" w:space="0" w:color="auto"/>
              <w:right w:val="single" w:sz="4" w:space="0" w:color="auto"/>
            </w:tcBorders>
            <w:shd w:val="clear" w:color="auto" w:fill="auto"/>
            <w:noWrap/>
            <w:vAlign w:val="center"/>
            <w:hideMark/>
          </w:tcPr>
          <w:p w:rsidR="00AF35C0" w:rsidRPr="00AF35C0" w:rsidRDefault="00AF35C0" w:rsidP="00AF35C0">
            <w:pPr>
              <w:spacing w:after="0" w:line="240" w:lineRule="auto"/>
              <w:rPr>
                <w:rFonts w:ascii="Cambria" w:eastAsia="Times New Roman" w:hAnsi="Cambria" w:cs="Calibri"/>
                <w:color w:val="000000"/>
                <w:sz w:val="18"/>
                <w:szCs w:val="18"/>
              </w:rPr>
            </w:pPr>
            <w:r w:rsidRPr="00AF35C0">
              <w:rPr>
                <w:rFonts w:ascii="Cambria" w:eastAsia="Times New Roman" w:hAnsi="Cambria" w:cs="Calibri"/>
                <w:color w:val="000000"/>
                <w:sz w:val="18"/>
                <w:szCs w:val="18"/>
              </w:rPr>
              <w:t>22%</w:t>
            </w:r>
          </w:p>
        </w:tc>
      </w:tr>
    </w:tbl>
    <w:p w:rsidR="00554C6C" w:rsidRPr="009F30F3" w:rsidRDefault="00554C6C">
      <w:pPr>
        <w:rPr>
          <w:rFonts w:ascii="Cambria" w:hAnsi="Cambria"/>
          <w:sz w:val="24"/>
          <w:szCs w:val="24"/>
        </w:rPr>
      </w:pPr>
      <w:r w:rsidRPr="009F30F3">
        <w:rPr>
          <w:rFonts w:ascii="Cambria" w:hAnsi="Cambria"/>
          <w:sz w:val="24"/>
          <w:szCs w:val="24"/>
        </w:rPr>
        <w:t xml:space="preserve">The increase </w:t>
      </w:r>
      <w:r w:rsidR="00715CFB" w:rsidRPr="009F30F3">
        <w:rPr>
          <w:rFonts w:ascii="Cambria" w:hAnsi="Cambria"/>
          <w:sz w:val="24"/>
          <w:szCs w:val="24"/>
        </w:rPr>
        <w:t xml:space="preserve">in </w:t>
      </w:r>
      <w:r w:rsidRPr="009F30F3">
        <w:rPr>
          <w:rFonts w:ascii="Cambria" w:hAnsi="Cambria"/>
          <w:sz w:val="24"/>
          <w:szCs w:val="24"/>
        </w:rPr>
        <w:t xml:space="preserve">and more equitable distribution of </w:t>
      </w:r>
      <w:r w:rsidR="00715CFB" w:rsidRPr="009F30F3">
        <w:rPr>
          <w:rFonts w:ascii="Cambria" w:hAnsi="Cambria"/>
          <w:sz w:val="24"/>
          <w:szCs w:val="24"/>
        </w:rPr>
        <w:t xml:space="preserve">Wi-Fi </w:t>
      </w:r>
      <w:r w:rsidRPr="009F30F3">
        <w:rPr>
          <w:rFonts w:ascii="Cambria" w:hAnsi="Cambria"/>
          <w:sz w:val="24"/>
          <w:szCs w:val="24"/>
        </w:rPr>
        <w:t>funding has had a</w:t>
      </w:r>
      <w:r w:rsidR="00E16627" w:rsidRPr="009F30F3">
        <w:rPr>
          <w:rFonts w:ascii="Cambria" w:hAnsi="Cambria"/>
          <w:sz w:val="24"/>
          <w:szCs w:val="24"/>
        </w:rPr>
        <w:t xml:space="preserve"> significant</w:t>
      </w:r>
      <w:r w:rsidR="00C84290" w:rsidRPr="009F30F3">
        <w:rPr>
          <w:rFonts w:ascii="Cambria" w:hAnsi="Cambria"/>
          <w:sz w:val="24"/>
          <w:szCs w:val="24"/>
        </w:rPr>
        <w:t xml:space="preserve"> </w:t>
      </w:r>
      <w:r w:rsidRPr="009F30F3">
        <w:rPr>
          <w:rFonts w:ascii="Cambria" w:hAnsi="Cambria"/>
          <w:sz w:val="24"/>
          <w:szCs w:val="24"/>
        </w:rPr>
        <w:t>impact</w:t>
      </w:r>
      <w:r w:rsidR="00E16627" w:rsidRPr="009F30F3">
        <w:rPr>
          <w:rFonts w:ascii="Cambria" w:hAnsi="Cambria"/>
          <w:sz w:val="24"/>
          <w:szCs w:val="24"/>
        </w:rPr>
        <w:t xml:space="preserve">.  </w:t>
      </w:r>
      <w:r w:rsidR="00190BE5">
        <w:rPr>
          <w:rFonts w:ascii="Cambria" w:hAnsi="Cambria"/>
          <w:sz w:val="24"/>
          <w:szCs w:val="24"/>
        </w:rPr>
        <w:t>L</w:t>
      </w:r>
      <w:r w:rsidR="00E16627" w:rsidRPr="009F30F3">
        <w:rPr>
          <w:rFonts w:ascii="Cambria" w:hAnsi="Cambria"/>
          <w:sz w:val="24"/>
          <w:szCs w:val="24"/>
        </w:rPr>
        <w:t>ocal school leaders report high and growing levels confidence that E-rate will be able to support long-term needs for Wi-Fi connectivity</w:t>
      </w:r>
      <w:r w:rsidRPr="009F30F3">
        <w:rPr>
          <w:rFonts w:ascii="Cambria" w:hAnsi="Cambria"/>
          <w:sz w:val="24"/>
          <w:szCs w:val="24"/>
        </w:rPr>
        <w:t xml:space="preserve">.  According to </w:t>
      </w:r>
      <w:r w:rsidR="003A3002" w:rsidRPr="009F30F3">
        <w:rPr>
          <w:rFonts w:ascii="Cambria" w:hAnsi="Cambria"/>
          <w:sz w:val="24"/>
          <w:szCs w:val="24"/>
        </w:rPr>
        <w:t xml:space="preserve">the Consortium for School Networking’s (CoSN) </w:t>
      </w:r>
      <w:r w:rsidRPr="009F30F3">
        <w:rPr>
          <w:rFonts w:ascii="Cambria" w:hAnsi="Cambria"/>
          <w:sz w:val="24"/>
          <w:szCs w:val="24"/>
        </w:rPr>
        <w:t>annual survey of superintendents, chief technology officers, and other s</w:t>
      </w:r>
      <w:r w:rsidR="003A3002" w:rsidRPr="009F30F3">
        <w:rPr>
          <w:rFonts w:ascii="Cambria" w:hAnsi="Cambria"/>
          <w:sz w:val="24"/>
          <w:szCs w:val="24"/>
        </w:rPr>
        <w:t>chool district leaders</w:t>
      </w:r>
      <w:r w:rsidR="00880524" w:rsidRPr="009F30F3">
        <w:rPr>
          <w:rFonts w:ascii="Cambria" w:hAnsi="Cambria"/>
          <w:sz w:val="24"/>
          <w:szCs w:val="24"/>
        </w:rPr>
        <w:t xml:space="preserve">, </w:t>
      </w:r>
      <w:r w:rsidR="003A3002" w:rsidRPr="009F30F3">
        <w:rPr>
          <w:rFonts w:ascii="Cambria" w:hAnsi="Cambria"/>
          <w:sz w:val="24"/>
          <w:szCs w:val="24"/>
        </w:rPr>
        <w:t>81</w:t>
      </w:r>
      <w:r w:rsidR="00880524" w:rsidRPr="009F30F3">
        <w:rPr>
          <w:rFonts w:ascii="Cambria" w:hAnsi="Cambria"/>
          <w:sz w:val="24"/>
          <w:szCs w:val="24"/>
        </w:rPr>
        <w:t xml:space="preserve"> per</w:t>
      </w:r>
      <w:r w:rsidR="003A3002" w:rsidRPr="009F30F3">
        <w:rPr>
          <w:rFonts w:ascii="Cambria" w:hAnsi="Cambria"/>
          <w:sz w:val="24"/>
          <w:szCs w:val="24"/>
        </w:rPr>
        <w:t>cent of respondents in 2016 were confident their district’s Wi-Fi could support one wireless device per student.</w:t>
      </w:r>
      <w:r w:rsidR="003A3002" w:rsidRPr="009F30F3">
        <w:rPr>
          <w:rStyle w:val="FootnoteReference"/>
          <w:rFonts w:ascii="Cambria" w:hAnsi="Cambria"/>
          <w:sz w:val="24"/>
          <w:szCs w:val="24"/>
        </w:rPr>
        <w:footnoteReference w:id="13"/>
      </w:r>
      <w:r w:rsidR="003A3002" w:rsidRPr="009F30F3">
        <w:rPr>
          <w:rFonts w:ascii="Cambria" w:hAnsi="Cambria"/>
          <w:sz w:val="24"/>
          <w:szCs w:val="24"/>
        </w:rPr>
        <w:t xml:space="preserve">  That response is a significant improvement over 2015 (64% confident) and 2014 (54% confident). </w:t>
      </w:r>
    </w:p>
    <w:p w:rsidR="00A40C17" w:rsidRPr="009F30F3" w:rsidRDefault="00A40C17">
      <w:pPr>
        <w:rPr>
          <w:rFonts w:ascii="Cambria" w:hAnsi="Cambria"/>
          <w:b/>
          <w:bCs/>
          <w:sz w:val="24"/>
          <w:szCs w:val="24"/>
        </w:rPr>
      </w:pPr>
      <w:r w:rsidRPr="009F30F3">
        <w:rPr>
          <w:rFonts w:ascii="Cambria" w:hAnsi="Cambria"/>
          <w:b/>
          <w:bCs/>
          <w:i/>
          <w:iCs/>
          <w:sz w:val="24"/>
          <w:szCs w:val="24"/>
        </w:rPr>
        <w:lastRenderedPageBreak/>
        <w:t>Next Steps</w:t>
      </w:r>
      <w:r w:rsidR="00F8367C" w:rsidRPr="009F30F3">
        <w:rPr>
          <w:rFonts w:ascii="Cambria" w:hAnsi="Cambria"/>
          <w:b/>
          <w:bCs/>
          <w:i/>
          <w:iCs/>
          <w:sz w:val="24"/>
          <w:szCs w:val="24"/>
        </w:rPr>
        <w:t>: Examining and Extending the Per-Student Budget</w:t>
      </w:r>
    </w:p>
    <w:p w:rsidR="00CB6732" w:rsidRPr="009F30F3" w:rsidRDefault="00A40C17">
      <w:pPr>
        <w:rPr>
          <w:rFonts w:ascii="Cambria" w:hAnsi="Cambria"/>
          <w:sz w:val="24"/>
          <w:szCs w:val="24"/>
        </w:rPr>
      </w:pPr>
      <w:r w:rsidRPr="009F30F3">
        <w:rPr>
          <w:rFonts w:ascii="Cambria" w:hAnsi="Cambria"/>
          <w:sz w:val="24"/>
          <w:szCs w:val="24"/>
        </w:rPr>
        <w:t>The five-year</w:t>
      </w:r>
      <w:r w:rsidR="00E02A83">
        <w:rPr>
          <w:rFonts w:ascii="Cambria" w:hAnsi="Cambria"/>
          <w:sz w:val="24"/>
          <w:szCs w:val="24"/>
        </w:rPr>
        <w:t xml:space="preserve"> Category Two</w:t>
      </w:r>
      <w:r w:rsidRPr="009F30F3">
        <w:rPr>
          <w:rFonts w:ascii="Cambria" w:hAnsi="Cambria"/>
          <w:sz w:val="24"/>
          <w:szCs w:val="24"/>
        </w:rPr>
        <w:t xml:space="preserve"> budget </w:t>
      </w:r>
      <w:r w:rsidR="003F50CA" w:rsidRPr="009F30F3">
        <w:rPr>
          <w:rFonts w:ascii="Cambria" w:hAnsi="Cambria"/>
          <w:sz w:val="24"/>
          <w:szCs w:val="24"/>
        </w:rPr>
        <w:t>will begin</w:t>
      </w:r>
      <w:r w:rsidRPr="009F30F3">
        <w:rPr>
          <w:rFonts w:ascii="Cambria" w:hAnsi="Cambria"/>
          <w:sz w:val="24"/>
          <w:szCs w:val="24"/>
        </w:rPr>
        <w:t xml:space="preserve"> to expire after funding year 2019.  </w:t>
      </w:r>
      <w:r w:rsidR="000D4E82" w:rsidRPr="009F30F3">
        <w:rPr>
          <w:rFonts w:ascii="Cambria" w:hAnsi="Cambria"/>
          <w:sz w:val="24"/>
          <w:szCs w:val="24"/>
        </w:rPr>
        <w:t xml:space="preserve">The Commission will need to </w:t>
      </w:r>
      <w:r w:rsidR="004C68CE" w:rsidRPr="009F30F3">
        <w:rPr>
          <w:rFonts w:ascii="Cambria" w:hAnsi="Cambria"/>
          <w:sz w:val="24"/>
          <w:szCs w:val="24"/>
        </w:rPr>
        <w:t xml:space="preserve">revisit </w:t>
      </w:r>
      <w:r w:rsidR="000D4E82" w:rsidRPr="009F30F3">
        <w:rPr>
          <w:rFonts w:ascii="Cambria" w:hAnsi="Cambria"/>
          <w:sz w:val="24"/>
          <w:szCs w:val="24"/>
        </w:rPr>
        <w:t xml:space="preserve">the per-student budget framework </w:t>
      </w:r>
      <w:r w:rsidR="004C68CE" w:rsidRPr="009F30F3">
        <w:rPr>
          <w:rFonts w:ascii="Cambria" w:hAnsi="Cambria"/>
          <w:sz w:val="24"/>
          <w:szCs w:val="24"/>
        </w:rPr>
        <w:t xml:space="preserve">in the near future </w:t>
      </w:r>
      <w:r w:rsidR="00E02A83">
        <w:rPr>
          <w:rFonts w:ascii="Cambria" w:hAnsi="Cambria"/>
          <w:sz w:val="24"/>
          <w:szCs w:val="24"/>
        </w:rPr>
        <w:t>so that schools that purchase</w:t>
      </w:r>
      <w:r w:rsidR="000D4E82" w:rsidRPr="009F30F3">
        <w:rPr>
          <w:rFonts w:ascii="Cambria" w:hAnsi="Cambria"/>
          <w:sz w:val="24"/>
          <w:szCs w:val="24"/>
        </w:rPr>
        <w:t xml:space="preserve"> </w:t>
      </w:r>
      <w:r w:rsidR="00035A60">
        <w:rPr>
          <w:rFonts w:ascii="Cambria" w:hAnsi="Cambria"/>
          <w:sz w:val="24"/>
          <w:szCs w:val="24"/>
        </w:rPr>
        <w:t xml:space="preserve">new Wi-Fi networks during the </w:t>
      </w:r>
      <w:r w:rsidR="000D4E82" w:rsidRPr="009F30F3">
        <w:rPr>
          <w:rFonts w:ascii="Cambria" w:hAnsi="Cambria"/>
          <w:sz w:val="24"/>
          <w:szCs w:val="24"/>
        </w:rPr>
        <w:t xml:space="preserve">2015-2019 budget cycle </w:t>
      </w:r>
      <w:r w:rsidR="002E6AEE" w:rsidRPr="009F30F3">
        <w:rPr>
          <w:rFonts w:ascii="Cambria" w:hAnsi="Cambria"/>
          <w:sz w:val="24"/>
          <w:szCs w:val="24"/>
        </w:rPr>
        <w:t xml:space="preserve">can </w:t>
      </w:r>
      <w:r w:rsidR="00035A60">
        <w:rPr>
          <w:rFonts w:ascii="Cambria" w:hAnsi="Cambria"/>
          <w:sz w:val="24"/>
          <w:szCs w:val="24"/>
        </w:rPr>
        <w:t>plan to</w:t>
      </w:r>
      <w:r w:rsidR="002E6AEE" w:rsidRPr="009F30F3">
        <w:rPr>
          <w:rFonts w:ascii="Cambria" w:hAnsi="Cambria"/>
          <w:sz w:val="24"/>
          <w:szCs w:val="24"/>
        </w:rPr>
        <w:t xml:space="preserve"> replac</w:t>
      </w:r>
      <w:r w:rsidR="00035A60">
        <w:rPr>
          <w:rFonts w:ascii="Cambria" w:hAnsi="Cambria"/>
          <w:sz w:val="24"/>
          <w:szCs w:val="24"/>
        </w:rPr>
        <w:t>e</w:t>
      </w:r>
      <w:r w:rsidR="000D4E82" w:rsidRPr="009F30F3">
        <w:rPr>
          <w:rFonts w:ascii="Cambria" w:hAnsi="Cambria"/>
          <w:sz w:val="24"/>
          <w:szCs w:val="24"/>
        </w:rPr>
        <w:t xml:space="preserve"> aging equipment.  </w:t>
      </w:r>
      <w:r w:rsidR="00C84290" w:rsidRPr="009F30F3">
        <w:rPr>
          <w:rFonts w:ascii="Cambria" w:hAnsi="Cambria"/>
          <w:sz w:val="24"/>
          <w:szCs w:val="24"/>
        </w:rPr>
        <w:t xml:space="preserve">If the Commission does not act, E-rate will return to the pre-modernization Category Two rules under which only the highest discount applicants typically received funding and commitments were not subject to a per-student budget.  </w:t>
      </w:r>
      <w:r w:rsidR="004871E6" w:rsidRPr="009F30F3">
        <w:rPr>
          <w:rFonts w:ascii="Cambria" w:hAnsi="Cambria"/>
          <w:sz w:val="24"/>
          <w:szCs w:val="24"/>
        </w:rPr>
        <w:t>The Commission instructed the Wireline Competition Bureau</w:t>
      </w:r>
      <w:r w:rsidR="00D34F07" w:rsidRPr="009F30F3">
        <w:rPr>
          <w:rFonts w:ascii="Cambria" w:hAnsi="Cambria"/>
          <w:sz w:val="24"/>
          <w:szCs w:val="24"/>
        </w:rPr>
        <w:t xml:space="preserve"> (Bureau)</w:t>
      </w:r>
      <w:r w:rsidR="00F80EF1" w:rsidRPr="009F30F3">
        <w:rPr>
          <w:rFonts w:ascii="Cambria" w:hAnsi="Cambria"/>
          <w:sz w:val="24"/>
          <w:szCs w:val="24"/>
        </w:rPr>
        <w:t xml:space="preserve">, in coordination with USAC and </w:t>
      </w:r>
      <w:r w:rsidR="00D34F07" w:rsidRPr="009F30F3">
        <w:rPr>
          <w:rFonts w:ascii="Cambria" w:hAnsi="Cambria"/>
          <w:sz w:val="24"/>
          <w:szCs w:val="24"/>
        </w:rPr>
        <w:t>the Office of the Managing Director</w:t>
      </w:r>
      <w:r w:rsidR="00F80EF1" w:rsidRPr="009F30F3">
        <w:rPr>
          <w:rFonts w:ascii="Cambria" w:hAnsi="Cambria"/>
          <w:sz w:val="24"/>
          <w:szCs w:val="24"/>
        </w:rPr>
        <w:t>,</w:t>
      </w:r>
      <w:r w:rsidR="004871E6" w:rsidRPr="009F30F3">
        <w:rPr>
          <w:rFonts w:ascii="Cambria" w:hAnsi="Cambria"/>
          <w:sz w:val="24"/>
          <w:szCs w:val="24"/>
        </w:rPr>
        <w:t xml:space="preserve"> to monitor the applicant budgets and provide a report on their sufficiency before the openi</w:t>
      </w:r>
      <w:r w:rsidR="00CB6732" w:rsidRPr="009F30F3">
        <w:rPr>
          <w:rFonts w:ascii="Cambria" w:hAnsi="Cambria"/>
          <w:sz w:val="24"/>
          <w:szCs w:val="24"/>
        </w:rPr>
        <w:t>ng of the funding window for funding year 2019.</w:t>
      </w:r>
      <w:r w:rsidR="00CB6732" w:rsidRPr="009F30F3">
        <w:rPr>
          <w:rStyle w:val="FootnoteReference"/>
          <w:rFonts w:ascii="Cambria" w:hAnsi="Cambria"/>
          <w:sz w:val="24"/>
          <w:szCs w:val="24"/>
        </w:rPr>
        <w:footnoteReference w:id="14"/>
      </w:r>
      <w:r w:rsidR="00CB6732" w:rsidRPr="009F30F3">
        <w:rPr>
          <w:rFonts w:ascii="Cambria" w:hAnsi="Cambria"/>
          <w:sz w:val="24"/>
          <w:szCs w:val="24"/>
        </w:rPr>
        <w:t xml:space="preserve">  </w:t>
      </w:r>
    </w:p>
    <w:p w:rsidR="003B093D" w:rsidRPr="009F30F3" w:rsidRDefault="003B093D" w:rsidP="003B093D">
      <w:pPr>
        <w:rPr>
          <w:rFonts w:ascii="Cambria" w:hAnsi="Cambria"/>
          <w:sz w:val="24"/>
          <w:szCs w:val="24"/>
        </w:rPr>
      </w:pPr>
      <w:r w:rsidRPr="009F30F3">
        <w:rPr>
          <w:rFonts w:ascii="Cambria" w:hAnsi="Cambria"/>
          <w:sz w:val="24"/>
          <w:szCs w:val="24"/>
        </w:rPr>
        <w:t xml:space="preserve">When it </w:t>
      </w:r>
      <w:r w:rsidR="00E83535">
        <w:rPr>
          <w:rFonts w:ascii="Cambria" w:hAnsi="Cambria"/>
          <w:sz w:val="24"/>
          <w:szCs w:val="24"/>
        </w:rPr>
        <w:t>takes up the issue,</w:t>
      </w:r>
      <w:r w:rsidRPr="009F30F3">
        <w:rPr>
          <w:rFonts w:ascii="Cambria" w:hAnsi="Cambria"/>
          <w:sz w:val="24"/>
          <w:szCs w:val="24"/>
        </w:rPr>
        <w:t xml:space="preserve"> the Commission will </w:t>
      </w:r>
      <w:r w:rsidR="00273BEC">
        <w:rPr>
          <w:rFonts w:ascii="Cambria" w:hAnsi="Cambria"/>
          <w:sz w:val="24"/>
          <w:szCs w:val="24"/>
        </w:rPr>
        <w:t>need to consider</w:t>
      </w:r>
      <w:r w:rsidR="00101660" w:rsidRPr="009F30F3">
        <w:rPr>
          <w:rFonts w:ascii="Cambria" w:hAnsi="Cambria"/>
          <w:sz w:val="24"/>
          <w:szCs w:val="24"/>
        </w:rPr>
        <w:t xml:space="preserve"> whether to keep the </w:t>
      </w:r>
      <w:r w:rsidR="00626203">
        <w:rPr>
          <w:rFonts w:ascii="Cambria" w:hAnsi="Cambria"/>
          <w:sz w:val="24"/>
          <w:szCs w:val="24"/>
        </w:rPr>
        <w:t xml:space="preserve">per-student </w:t>
      </w:r>
      <w:r w:rsidR="00101660" w:rsidRPr="009F30F3">
        <w:rPr>
          <w:rFonts w:ascii="Cambria" w:hAnsi="Cambria"/>
          <w:sz w:val="24"/>
          <w:szCs w:val="24"/>
        </w:rPr>
        <w:t xml:space="preserve">budget-based approach to Category Two, whether to adjust the amount of the budget, and </w:t>
      </w:r>
      <w:r w:rsidR="00626203">
        <w:rPr>
          <w:rFonts w:ascii="Cambria" w:hAnsi="Cambria"/>
          <w:sz w:val="24"/>
          <w:szCs w:val="24"/>
        </w:rPr>
        <w:t>which</w:t>
      </w:r>
      <w:r w:rsidRPr="009F30F3">
        <w:rPr>
          <w:rFonts w:ascii="Cambria" w:hAnsi="Cambria"/>
          <w:sz w:val="24"/>
          <w:szCs w:val="24"/>
        </w:rPr>
        <w:t xml:space="preserve"> services </w:t>
      </w:r>
      <w:r w:rsidR="00626203">
        <w:rPr>
          <w:rFonts w:ascii="Cambria" w:hAnsi="Cambria"/>
          <w:sz w:val="24"/>
          <w:szCs w:val="24"/>
        </w:rPr>
        <w:t xml:space="preserve">should be </w:t>
      </w:r>
      <w:r w:rsidRPr="009F30F3">
        <w:rPr>
          <w:rFonts w:ascii="Cambria" w:hAnsi="Cambria"/>
          <w:sz w:val="24"/>
          <w:szCs w:val="24"/>
        </w:rPr>
        <w:t xml:space="preserve">eligible for </w:t>
      </w:r>
      <w:r w:rsidR="00101660" w:rsidRPr="009F30F3">
        <w:rPr>
          <w:rFonts w:ascii="Cambria" w:hAnsi="Cambria"/>
          <w:sz w:val="24"/>
          <w:szCs w:val="24"/>
        </w:rPr>
        <w:t>Category Two support.  In particular, b</w:t>
      </w:r>
      <w:r w:rsidRPr="009F30F3">
        <w:rPr>
          <w:rFonts w:ascii="Cambria" w:hAnsi="Cambria"/>
          <w:sz w:val="24"/>
          <w:szCs w:val="24"/>
        </w:rPr>
        <w:t xml:space="preserve">ecause the applicant budgets naturally limit wasteful spending, the Commission allowed basic maintenance, managed Wi-Fi, and caching to be eligible for support, but their eligibility sunsets with the budgets after funding year 2019 and </w:t>
      </w:r>
      <w:r w:rsidR="009E1731" w:rsidRPr="009F30F3">
        <w:rPr>
          <w:rFonts w:ascii="Cambria" w:hAnsi="Cambria"/>
          <w:sz w:val="24"/>
          <w:szCs w:val="24"/>
        </w:rPr>
        <w:t>the Commission will need to consider whether to continue to provide E-rate support for those services.</w:t>
      </w:r>
      <w:r w:rsidRPr="009F30F3">
        <w:rPr>
          <w:rStyle w:val="FootnoteReference"/>
          <w:rFonts w:ascii="Cambria" w:hAnsi="Cambria"/>
          <w:sz w:val="24"/>
          <w:szCs w:val="24"/>
        </w:rPr>
        <w:footnoteReference w:id="15"/>
      </w:r>
      <w:r w:rsidRPr="009F30F3">
        <w:rPr>
          <w:rFonts w:ascii="Cambria" w:hAnsi="Cambria"/>
          <w:sz w:val="24"/>
          <w:szCs w:val="24"/>
        </w:rPr>
        <w:t xml:space="preserve">  </w:t>
      </w:r>
    </w:p>
    <w:p w:rsidR="00C86AC2" w:rsidRPr="009F30F3" w:rsidRDefault="00C61356">
      <w:pPr>
        <w:jc w:val="center"/>
        <w:rPr>
          <w:rFonts w:ascii="Cambria" w:hAnsi="Cambria"/>
          <w:b/>
          <w:bCs/>
          <w:sz w:val="24"/>
          <w:szCs w:val="24"/>
        </w:rPr>
      </w:pPr>
      <w:r w:rsidRPr="009F30F3">
        <w:rPr>
          <w:rFonts w:ascii="Cambria" w:hAnsi="Cambria"/>
          <w:b/>
          <w:bCs/>
          <w:sz w:val="24"/>
          <w:szCs w:val="24"/>
        </w:rPr>
        <w:t>II.</w:t>
      </w:r>
      <w:r w:rsidRPr="009F30F3">
        <w:rPr>
          <w:rFonts w:ascii="Cambria" w:hAnsi="Cambria"/>
          <w:b/>
          <w:sz w:val="24"/>
          <w:szCs w:val="24"/>
        </w:rPr>
        <w:tab/>
      </w:r>
      <w:r w:rsidR="00C20B34" w:rsidRPr="009F30F3">
        <w:rPr>
          <w:rFonts w:ascii="Cambria" w:hAnsi="Cambria"/>
          <w:b/>
          <w:bCs/>
          <w:sz w:val="24"/>
          <w:szCs w:val="24"/>
        </w:rPr>
        <w:t xml:space="preserve">Connecting All Schools </w:t>
      </w:r>
      <w:r w:rsidR="005232CD" w:rsidRPr="009F30F3">
        <w:rPr>
          <w:rFonts w:ascii="Cambria" w:hAnsi="Cambria"/>
          <w:b/>
          <w:bCs/>
          <w:sz w:val="24"/>
          <w:szCs w:val="24"/>
        </w:rPr>
        <w:t xml:space="preserve">and Libraries </w:t>
      </w:r>
      <w:r w:rsidR="00C20B34" w:rsidRPr="009F30F3">
        <w:rPr>
          <w:rFonts w:ascii="Cambria" w:hAnsi="Cambria"/>
          <w:b/>
          <w:bCs/>
          <w:sz w:val="24"/>
          <w:szCs w:val="24"/>
        </w:rPr>
        <w:t xml:space="preserve">to </w:t>
      </w:r>
      <w:r w:rsidR="005232CD" w:rsidRPr="009F30F3">
        <w:rPr>
          <w:rFonts w:ascii="Cambria" w:hAnsi="Cambria"/>
          <w:b/>
          <w:bCs/>
          <w:sz w:val="24"/>
          <w:szCs w:val="24"/>
        </w:rPr>
        <w:t>High</w:t>
      </w:r>
      <w:r w:rsidR="00C71F0B" w:rsidRPr="009F30F3">
        <w:rPr>
          <w:rFonts w:ascii="Cambria" w:hAnsi="Cambria"/>
          <w:b/>
          <w:bCs/>
          <w:sz w:val="24"/>
          <w:szCs w:val="24"/>
        </w:rPr>
        <w:t>-</w:t>
      </w:r>
      <w:r w:rsidR="005232CD" w:rsidRPr="009F30F3">
        <w:rPr>
          <w:rFonts w:ascii="Cambria" w:hAnsi="Cambria"/>
          <w:b/>
          <w:bCs/>
          <w:sz w:val="24"/>
          <w:szCs w:val="24"/>
        </w:rPr>
        <w:t>Speed Broadband</w:t>
      </w:r>
    </w:p>
    <w:p w:rsidR="003D2F7B" w:rsidRPr="003D2F7B" w:rsidRDefault="0094066E">
      <w:pPr>
        <w:rPr>
          <w:rFonts w:ascii="Cambria" w:hAnsi="Cambria"/>
          <w:sz w:val="24"/>
          <w:szCs w:val="24"/>
        </w:rPr>
      </w:pPr>
      <w:r>
        <w:rPr>
          <w:rFonts w:ascii="Cambria" w:hAnsi="Cambria"/>
          <w:sz w:val="24"/>
          <w:szCs w:val="24"/>
        </w:rPr>
        <w:t>T</w:t>
      </w:r>
      <w:r w:rsidR="006E486F" w:rsidRPr="009F30F3">
        <w:rPr>
          <w:rFonts w:ascii="Cambria" w:hAnsi="Cambria"/>
          <w:sz w:val="24"/>
          <w:szCs w:val="24"/>
        </w:rPr>
        <w:t xml:space="preserve">he </w:t>
      </w:r>
      <w:r w:rsidR="007E48C6">
        <w:rPr>
          <w:rFonts w:ascii="Cambria" w:hAnsi="Cambria"/>
          <w:i/>
          <w:sz w:val="24"/>
          <w:szCs w:val="24"/>
        </w:rPr>
        <w:t xml:space="preserve">Second </w:t>
      </w:r>
      <w:r w:rsidR="006E486F" w:rsidRPr="009F30F3">
        <w:rPr>
          <w:rFonts w:ascii="Cambria" w:hAnsi="Cambria"/>
          <w:i/>
          <w:iCs/>
          <w:sz w:val="24"/>
          <w:szCs w:val="24"/>
        </w:rPr>
        <w:t xml:space="preserve">E-rate Modernization Orders </w:t>
      </w:r>
      <w:r>
        <w:rPr>
          <w:rFonts w:ascii="Cambria" w:hAnsi="Cambria"/>
          <w:sz w:val="24"/>
          <w:szCs w:val="24"/>
        </w:rPr>
        <w:t>aimed</w:t>
      </w:r>
      <w:r w:rsidR="006E486F" w:rsidRPr="009F30F3">
        <w:rPr>
          <w:rFonts w:ascii="Cambria" w:hAnsi="Cambria"/>
          <w:sz w:val="24"/>
          <w:szCs w:val="24"/>
        </w:rPr>
        <w:t xml:space="preserve"> to ensure that all E-rate applicants had access to, and affordable options for purchasing, high-speed broadband</w:t>
      </w:r>
      <w:r w:rsidR="005232CD" w:rsidRPr="009F30F3">
        <w:rPr>
          <w:rFonts w:ascii="Cambria" w:hAnsi="Cambria"/>
          <w:sz w:val="24"/>
          <w:szCs w:val="24"/>
        </w:rPr>
        <w:t xml:space="preserve"> connectivity</w:t>
      </w:r>
      <w:r w:rsidR="006E486F" w:rsidRPr="009F30F3">
        <w:rPr>
          <w:rFonts w:ascii="Cambria" w:hAnsi="Cambria"/>
          <w:sz w:val="24"/>
          <w:szCs w:val="24"/>
        </w:rPr>
        <w:t xml:space="preserve">.  </w:t>
      </w:r>
      <w:r w:rsidR="007509EA" w:rsidRPr="009F30F3">
        <w:rPr>
          <w:rFonts w:ascii="Cambria" w:hAnsi="Cambria"/>
          <w:sz w:val="24"/>
          <w:szCs w:val="24"/>
        </w:rPr>
        <w:t>For almost all school districts</w:t>
      </w:r>
      <w:r w:rsidR="005232CD" w:rsidRPr="009F30F3">
        <w:rPr>
          <w:rFonts w:ascii="Cambria" w:hAnsi="Cambria"/>
          <w:sz w:val="24"/>
          <w:szCs w:val="24"/>
        </w:rPr>
        <w:t xml:space="preserve"> and library systems</w:t>
      </w:r>
      <w:r w:rsidR="007509EA" w:rsidRPr="009F30F3">
        <w:rPr>
          <w:rFonts w:ascii="Cambria" w:hAnsi="Cambria"/>
          <w:sz w:val="24"/>
          <w:szCs w:val="24"/>
        </w:rPr>
        <w:t xml:space="preserve">, this means connecting </w:t>
      </w:r>
      <w:r w:rsidR="00D34F07" w:rsidRPr="009F30F3">
        <w:rPr>
          <w:rFonts w:ascii="Cambria" w:hAnsi="Cambria"/>
          <w:sz w:val="24"/>
          <w:szCs w:val="24"/>
        </w:rPr>
        <w:t>every</w:t>
      </w:r>
      <w:r w:rsidR="007509EA" w:rsidRPr="009F30F3">
        <w:rPr>
          <w:rFonts w:ascii="Cambria" w:hAnsi="Cambria"/>
          <w:sz w:val="24"/>
          <w:szCs w:val="24"/>
        </w:rPr>
        <w:t xml:space="preserve"> school</w:t>
      </w:r>
      <w:r w:rsidR="005232CD" w:rsidRPr="009F30F3">
        <w:rPr>
          <w:rFonts w:ascii="Cambria" w:hAnsi="Cambria"/>
          <w:sz w:val="24"/>
          <w:szCs w:val="24"/>
        </w:rPr>
        <w:t xml:space="preserve"> and library</w:t>
      </w:r>
      <w:r w:rsidR="007509EA" w:rsidRPr="009F30F3">
        <w:rPr>
          <w:rFonts w:ascii="Cambria" w:hAnsi="Cambria"/>
          <w:sz w:val="24"/>
          <w:szCs w:val="24"/>
        </w:rPr>
        <w:t xml:space="preserve"> to fiber.  </w:t>
      </w:r>
      <w:r w:rsidR="00343ADC" w:rsidRPr="009F30F3">
        <w:rPr>
          <w:rFonts w:ascii="Cambria" w:hAnsi="Cambria"/>
          <w:sz w:val="24"/>
          <w:szCs w:val="24"/>
        </w:rPr>
        <w:t xml:space="preserve">The Commission </w:t>
      </w:r>
      <w:r w:rsidR="00D34F07" w:rsidRPr="009F30F3">
        <w:rPr>
          <w:rFonts w:ascii="Cambria" w:hAnsi="Cambria"/>
          <w:sz w:val="24"/>
          <w:szCs w:val="24"/>
        </w:rPr>
        <w:t xml:space="preserve">adopted several </w:t>
      </w:r>
      <w:r w:rsidR="0079780F" w:rsidRPr="009F30F3">
        <w:rPr>
          <w:rFonts w:ascii="Cambria" w:hAnsi="Cambria"/>
          <w:sz w:val="24"/>
          <w:szCs w:val="24"/>
        </w:rPr>
        <w:t xml:space="preserve">reforms </w:t>
      </w:r>
      <w:r w:rsidR="00AE5025" w:rsidRPr="009F30F3">
        <w:rPr>
          <w:rFonts w:ascii="Cambria" w:hAnsi="Cambria"/>
          <w:sz w:val="24"/>
          <w:szCs w:val="24"/>
        </w:rPr>
        <w:t>focused o</w:t>
      </w:r>
      <w:r w:rsidR="009154B8" w:rsidRPr="009F30F3">
        <w:rPr>
          <w:rFonts w:ascii="Cambria" w:hAnsi="Cambria"/>
          <w:sz w:val="24"/>
          <w:szCs w:val="24"/>
        </w:rPr>
        <w:t xml:space="preserve">n </w:t>
      </w:r>
      <w:r w:rsidR="00F8367C" w:rsidRPr="009F30F3">
        <w:rPr>
          <w:rFonts w:ascii="Cambria" w:hAnsi="Cambria"/>
          <w:sz w:val="24"/>
          <w:szCs w:val="24"/>
        </w:rPr>
        <w:t>upgrading connectivity, improving cost effectiveness, and encouraging competition</w:t>
      </w:r>
      <w:r w:rsidR="009154B8" w:rsidRPr="009F30F3">
        <w:rPr>
          <w:rFonts w:ascii="Cambria" w:hAnsi="Cambria"/>
          <w:sz w:val="24"/>
          <w:szCs w:val="24"/>
        </w:rPr>
        <w:t xml:space="preserve"> </w:t>
      </w:r>
      <w:r w:rsidR="00CA7412" w:rsidRPr="009F30F3">
        <w:rPr>
          <w:rFonts w:ascii="Cambria" w:hAnsi="Cambria"/>
          <w:sz w:val="24"/>
          <w:szCs w:val="24"/>
        </w:rPr>
        <w:t xml:space="preserve">so that all E-rate applicants could </w:t>
      </w:r>
      <w:r w:rsidR="00343ADC" w:rsidRPr="009F30F3">
        <w:rPr>
          <w:rFonts w:ascii="Cambria" w:hAnsi="Cambria"/>
          <w:sz w:val="24"/>
          <w:szCs w:val="24"/>
        </w:rPr>
        <w:t xml:space="preserve">keep pace with rapidly growing </w:t>
      </w:r>
      <w:r w:rsidR="00D34F07" w:rsidRPr="009F30F3">
        <w:rPr>
          <w:rFonts w:ascii="Cambria" w:hAnsi="Cambria"/>
          <w:sz w:val="24"/>
          <w:szCs w:val="24"/>
        </w:rPr>
        <w:t>bandwidth demand</w:t>
      </w:r>
      <w:r w:rsidR="00343ADC" w:rsidRPr="009F30F3">
        <w:rPr>
          <w:rFonts w:ascii="Cambria" w:hAnsi="Cambria"/>
          <w:sz w:val="24"/>
          <w:szCs w:val="24"/>
        </w:rPr>
        <w:t>.</w:t>
      </w:r>
      <w:r w:rsidR="00F836F9" w:rsidRPr="009F30F3">
        <w:rPr>
          <w:rFonts w:ascii="Cambria" w:hAnsi="Cambria"/>
          <w:sz w:val="24"/>
          <w:szCs w:val="24"/>
        </w:rPr>
        <w:t xml:space="preserve">  </w:t>
      </w:r>
      <w:r w:rsidR="00626203">
        <w:rPr>
          <w:rFonts w:ascii="Cambria" w:hAnsi="Cambria"/>
          <w:sz w:val="24"/>
          <w:szCs w:val="24"/>
        </w:rPr>
        <w:t>As explained below, a</w:t>
      </w:r>
      <w:r w:rsidR="0056515E" w:rsidRPr="009F30F3">
        <w:rPr>
          <w:rFonts w:ascii="Cambria" w:hAnsi="Cambria"/>
          <w:sz w:val="24"/>
          <w:szCs w:val="24"/>
        </w:rPr>
        <w:t>nalysis of data available through two funding years demonstrates significant progress toward closing the fiber gap.</w:t>
      </w:r>
    </w:p>
    <w:p w:rsidR="00C61356" w:rsidRPr="009F30F3" w:rsidRDefault="00C61356" w:rsidP="00C61356">
      <w:pPr>
        <w:rPr>
          <w:rFonts w:ascii="Cambria" w:hAnsi="Cambria"/>
          <w:sz w:val="24"/>
          <w:szCs w:val="24"/>
        </w:rPr>
      </w:pPr>
      <w:r w:rsidRPr="009F30F3">
        <w:rPr>
          <w:rFonts w:ascii="Cambria" w:hAnsi="Cambria"/>
          <w:sz w:val="24"/>
          <w:szCs w:val="24"/>
        </w:rPr>
        <w:t xml:space="preserve">The </w:t>
      </w:r>
      <w:r w:rsidRPr="009F30F3">
        <w:rPr>
          <w:rFonts w:ascii="Cambria" w:hAnsi="Cambria"/>
          <w:i/>
          <w:iCs/>
          <w:sz w:val="24"/>
          <w:szCs w:val="24"/>
        </w:rPr>
        <w:t xml:space="preserve">Second E-rate Modernization Order </w:t>
      </w:r>
      <w:r w:rsidRPr="009F30F3">
        <w:rPr>
          <w:rFonts w:ascii="Cambria" w:hAnsi="Cambria"/>
          <w:sz w:val="24"/>
          <w:szCs w:val="24"/>
        </w:rPr>
        <w:t>provid</w:t>
      </w:r>
      <w:r w:rsidR="00EC4E3E" w:rsidRPr="009F30F3">
        <w:rPr>
          <w:rFonts w:ascii="Cambria" w:hAnsi="Cambria"/>
          <w:sz w:val="24"/>
          <w:szCs w:val="24"/>
        </w:rPr>
        <w:t>e</w:t>
      </w:r>
      <w:r w:rsidR="00622333">
        <w:rPr>
          <w:rFonts w:ascii="Cambria" w:hAnsi="Cambria"/>
          <w:sz w:val="24"/>
          <w:szCs w:val="24"/>
        </w:rPr>
        <w:t>d</w:t>
      </w:r>
      <w:r w:rsidRPr="009F30F3">
        <w:rPr>
          <w:rFonts w:ascii="Cambria" w:hAnsi="Cambria"/>
          <w:sz w:val="24"/>
          <w:szCs w:val="24"/>
        </w:rPr>
        <w:t xml:space="preserve"> additional tools and competitive options for purchasing </w:t>
      </w:r>
      <w:r w:rsidR="00626203">
        <w:rPr>
          <w:rFonts w:ascii="Cambria" w:hAnsi="Cambria"/>
          <w:sz w:val="24"/>
          <w:szCs w:val="24"/>
        </w:rPr>
        <w:t xml:space="preserve">fiber </w:t>
      </w:r>
      <w:r w:rsidRPr="009F30F3">
        <w:rPr>
          <w:rFonts w:ascii="Cambria" w:hAnsi="Cambria"/>
          <w:sz w:val="24"/>
          <w:szCs w:val="24"/>
        </w:rPr>
        <w:t xml:space="preserve">broadband </w:t>
      </w:r>
      <w:r w:rsidR="00626203">
        <w:rPr>
          <w:rFonts w:ascii="Cambria" w:hAnsi="Cambria"/>
          <w:sz w:val="24"/>
          <w:szCs w:val="24"/>
        </w:rPr>
        <w:t xml:space="preserve">connectivity, </w:t>
      </w:r>
      <w:r w:rsidRPr="009F30F3">
        <w:rPr>
          <w:rFonts w:ascii="Cambria" w:hAnsi="Cambria"/>
          <w:sz w:val="24"/>
          <w:szCs w:val="24"/>
        </w:rPr>
        <w:t xml:space="preserve">with the dual </w:t>
      </w:r>
      <w:r w:rsidR="00622333">
        <w:rPr>
          <w:rFonts w:ascii="Cambria" w:hAnsi="Cambria"/>
          <w:sz w:val="24"/>
          <w:szCs w:val="24"/>
        </w:rPr>
        <w:t>goals</w:t>
      </w:r>
      <w:r w:rsidR="00FC7444" w:rsidRPr="009F30F3">
        <w:rPr>
          <w:rFonts w:ascii="Cambria" w:hAnsi="Cambria"/>
          <w:sz w:val="24"/>
          <w:szCs w:val="24"/>
        </w:rPr>
        <w:t xml:space="preserve"> </w:t>
      </w:r>
      <w:r w:rsidRPr="009F30F3">
        <w:rPr>
          <w:rFonts w:ascii="Cambria" w:hAnsi="Cambria"/>
          <w:sz w:val="24"/>
          <w:szCs w:val="24"/>
        </w:rPr>
        <w:t xml:space="preserve">of closing the rural connectivity gap and increasing </w:t>
      </w:r>
      <w:r w:rsidR="0056515E" w:rsidRPr="009F30F3">
        <w:rPr>
          <w:rFonts w:ascii="Cambria" w:hAnsi="Cambria"/>
          <w:sz w:val="24"/>
          <w:szCs w:val="24"/>
        </w:rPr>
        <w:t>cost effectiveness</w:t>
      </w:r>
      <w:r w:rsidRPr="009F30F3">
        <w:rPr>
          <w:rFonts w:ascii="Cambria" w:hAnsi="Cambria"/>
          <w:sz w:val="24"/>
          <w:szCs w:val="24"/>
        </w:rPr>
        <w:t xml:space="preserve"> for all E-rate applicants.  To help schools and libraries overcome barriers</w:t>
      </w:r>
      <w:r w:rsidR="007F4278" w:rsidRPr="009F30F3">
        <w:rPr>
          <w:rFonts w:ascii="Cambria" w:hAnsi="Cambria"/>
          <w:sz w:val="24"/>
          <w:szCs w:val="24"/>
        </w:rPr>
        <w:t xml:space="preserve"> to access and affordability</w:t>
      </w:r>
      <w:r w:rsidRPr="009F30F3">
        <w:rPr>
          <w:rFonts w:ascii="Cambria" w:hAnsi="Cambria"/>
          <w:sz w:val="24"/>
          <w:szCs w:val="24"/>
        </w:rPr>
        <w:t xml:space="preserve">, the </w:t>
      </w:r>
      <w:r w:rsidR="007F4278" w:rsidRPr="009F30F3">
        <w:rPr>
          <w:rFonts w:ascii="Cambria" w:hAnsi="Cambria"/>
          <w:sz w:val="24"/>
          <w:szCs w:val="24"/>
        </w:rPr>
        <w:t>Commission</w:t>
      </w:r>
      <w:r w:rsidRPr="009F30F3">
        <w:rPr>
          <w:rFonts w:ascii="Cambria" w:hAnsi="Cambria"/>
          <w:sz w:val="24"/>
          <w:szCs w:val="24"/>
        </w:rPr>
        <w:t xml:space="preserve"> adopted four major reforms.</w:t>
      </w:r>
    </w:p>
    <w:p w:rsidR="00C61356" w:rsidRPr="009F30F3" w:rsidRDefault="00C61356" w:rsidP="00C61356">
      <w:pPr>
        <w:pStyle w:val="ListParagraph"/>
        <w:numPr>
          <w:ilvl w:val="0"/>
          <w:numId w:val="2"/>
        </w:numPr>
        <w:rPr>
          <w:rFonts w:ascii="Cambria" w:hAnsi="Cambria"/>
          <w:sz w:val="24"/>
          <w:szCs w:val="24"/>
        </w:rPr>
      </w:pPr>
      <w:r w:rsidRPr="009F30F3">
        <w:rPr>
          <w:rFonts w:ascii="Cambria" w:hAnsi="Cambria"/>
          <w:sz w:val="24"/>
          <w:szCs w:val="24"/>
          <w:u w:val="single"/>
        </w:rPr>
        <w:t>Flexible payment options</w:t>
      </w:r>
      <w:r w:rsidRPr="009F30F3">
        <w:rPr>
          <w:rFonts w:ascii="Cambria" w:hAnsi="Cambria"/>
          <w:sz w:val="24"/>
          <w:szCs w:val="24"/>
        </w:rPr>
        <w:t>. To reduce financing challenges for applicants and incent more vendors to bid on fiber builds, the FCC directed USAC to suspend its requirement that special construction charges in excess of $500,000 be amortized and also permitted applicants to pay their non-discounted share of special construction costs in installments over up to four years.</w:t>
      </w:r>
    </w:p>
    <w:p w:rsidR="00C61356" w:rsidRPr="009F30F3" w:rsidRDefault="00C61356" w:rsidP="00C61356">
      <w:pPr>
        <w:pStyle w:val="ListParagraph"/>
        <w:numPr>
          <w:ilvl w:val="0"/>
          <w:numId w:val="2"/>
        </w:numPr>
        <w:rPr>
          <w:rFonts w:ascii="Cambria" w:hAnsi="Cambria"/>
          <w:sz w:val="24"/>
          <w:szCs w:val="24"/>
        </w:rPr>
      </w:pPr>
      <w:r w:rsidRPr="009F30F3">
        <w:rPr>
          <w:rFonts w:ascii="Cambria" w:hAnsi="Cambria"/>
          <w:sz w:val="24"/>
          <w:szCs w:val="24"/>
          <w:u w:val="single"/>
        </w:rPr>
        <w:lastRenderedPageBreak/>
        <w:t>Equalizing</w:t>
      </w:r>
      <w:r w:rsidR="00D21B9A" w:rsidRPr="009F30F3">
        <w:rPr>
          <w:rFonts w:ascii="Cambria" w:hAnsi="Cambria"/>
          <w:sz w:val="24"/>
          <w:szCs w:val="24"/>
          <w:u w:val="single"/>
        </w:rPr>
        <w:t xml:space="preserve"> leased</w:t>
      </w:r>
      <w:r w:rsidRPr="009F30F3">
        <w:rPr>
          <w:rFonts w:ascii="Cambria" w:hAnsi="Cambria"/>
          <w:sz w:val="24"/>
          <w:szCs w:val="24"/>
          <w:u w:val="single"/>
        </w:rPr>
        <w:t xml:space="preserve"> lit</w:t>
      </w:r>
      <w:r w:rsidR="00D21B9A" w:rsidRPr="009F30F3">
        <w:rPr>
          <w:rFonts w:ascii="Cambria" w:hAnsi="Cambria"/>
          <w:sz w:val="24"/>
          <w:szCs w:val="24"/>
          <w:u w:val="single"/>
        </w:rPr>
        <w:t xml:space="preserve"> fiber</w:t>
      </w:r>
      <w:r w:rsidRPr="009F30F3">
        <w:rPr>
          <w:rFonts w:ascii="Cambria" w:hAnsi="Cambria"/>
          <w:sz w:val="24"/>
          <w:szCs w:val="24"/>
          <w:u w:val="single"/>
        </w:rPr>
        <w:t xml:space="preserve"> and </w:t>
      </w:r>
      <w:r w:rsidR="00D21B9A" w:rsidRPr="009F30F3">
        <w:rPr>
          <w:rFonts w:ascii="Cambria" w:hAnsi="Cambria"/>
          <w:sz w:val="24"/>
          <w:szCs w:val="24"/>
          <w:u w:val="single"/>
        </w:rPr>
        <w:t xml:space="preserve">leased </w:t>
      </w:r>
      <w:r w:rsidRPr="009F30F3">
        <w:rPr>
          <w:rFonts w:ascii="Cambria" w:hAnsi="Cambria"/>
          <w:sz w:val="24"/>
          <w:szCs w:val="24"/>
          <w:u w:val="single"/>
        </w:rPr>
        <w:t>dark fiber</w:t>
      </w:r>
      <w:r w:rsidRPr="009F30F3">
        <w:rPr>
          <w:rFonts w:ascii="Cambria" w:hAnsi="Cambria"/>
          <w:sz w:val="24"/>
          <w:szCs w:val="24"/>
        </w:rPr>
        <w:t xml:space="preserve">.  Prior to funding year 2016, applicants that pursued a leased dark fiber solution could not receive E-rate funding for special construction beyond the applicant property line or for the purchase of modulating electronics to light the dark fiber.  The Commission made all special construction and modulating electronics </w:t>
      </w:r>
      <w:r w:rsidR="007F4278" w:rsidRPr="009F30F3">
        <w:rPr>
          <w:rFonts w:ascii="Cambria" w:hAnsi="Cambria"/>
          <w:sz w:val="24"/>
          <w:szCs w:val="24"/>
        </w:rPr>
        <w:t xml:space="preserve">for leased dark fiber </w:t>
      </w:r>
      <w:r w:rsidRPr="009F30F3">
        <w:rPr>
          <w:rFonts w:ascii="Cambria" w:hAnsi="Cambria"/>
          <w:sz w:val="24"/>
          <w:szCs w:val="24"/>
        </w:rPr>
        <w:t xml:space="preserve">E-rate eligible, “equalizing” </w:t>
      </w:r>
      <w:r w:rsidR="00D21B9A" w:rsidRPr="009F30F3">
        <w:rPr>
          <w:rFonts w:ascii="Cambria" w:hAnsi="Cambria"/>
          <w:sz w:val="24"/>
          <w:szCs w:val="24"/>
        </w:rPr>
        <w:t xml:space="preserve">leased </w:t>
      </w:r>
      <w:r w:rsidRPr="009F30F3">
        <w:rPr>
          <w:rFonts w:ascii="Cambria" w:hAnsi="Cambria"/>
          <w:sz w:val="24"/>
          <w:szCs w:val="24"/>
        </w:rPr>
        <w:t xml:space="preserve">dark </w:t>
      </w:r>
      <w:r w:rsidR="00D21B9A" w:rsidRPr="009F30F3">
        <w:rPr>
          <w:rFonts w:ascii="Cambria" w:hAnsi="Cambria"/>
          <w:sz w:val="24"/>
          <w:szCs w:val="24"/>
        </w:rPr>
        <w:t xml:space="preserve">fiber </w:t>
      </w:r>
      <w:r w:rsidRPr="009F30F3">
        <w:rPr>
          <w:rFonts w:ascii="Cambria" w:hAnsi="Cambria"/>
          <w:sz w:val="24"/>
          <w:szCs w:val="24"/>
        </w:rPr>
        <w:t>and</w:t>
      </w:r>
      <w:r w:rsidR="00D21B9A" w:rsidRPr="009F30F3">
        <w:rPr>
          <w:rFonts w:ascii="Cambria" w:hAnsi="Cambria"/>
          <w:sz w:val="24"/>
          <w:szCs w:val="24"/>
        </w:rPr>
        <w:t xml:space="preserve"> leased</w:t>
      </w:r>
      <w:r w:rsidRPr="009F30F3">
        <w:rPr>
          <w:rFonts w:ascii="Cambria" w:hAnsi="Cambria"/>
          <w:sz w:val="24"/>
          <w:szCs w:val="24"/>
        </w:rPr>
        <w:t xml:space="preserve"> lit fiber because those costs were already an element of the recurring rates charged by leased lit fiber providers. </w:t>
      </w:r>
    </w:p>
    <w:p w:rsidR="00C61356" w:rsidRPr="009F30F3" w:rsidRDefault="00C61356" w:rsidP="00C61356">
      <w:pPr>
        <w:pStyle w:val="ListParagraph"/>
        <w:numPr>
          <w:ilvl w:val="0"/>
          <w:numId w:val="2"/>
        </w:numPr>
        <w:rPr>
          <w:rFonts w:ascii="Cambria" w:hAnsi="Cambria"/>
          <w:sz w:val="24"/>
          <w:szCs w:val="24"/>
        </w:rPr>
      </w:pPr>
      <w:r w:rsidRPr="009F30F3">
        <w:rPr>
          <w:rFonts w:ascii="Cambria" w:hAnsi="Cambria"/>
          <w:sz w:val="24"/>
          <w:szCs w:val="24"/>
          <w:u w:val="single"/>
        </w:rPr>
        <w:t>Self-provisioned networks</w:t>
      </w:r>
      <w:r w:rsidRPr="009F30F3">
        <w:rPr>
          <w:rFonts w:ascii="Cambria" w:hAnsi="Cambria"/>
          <w:sz w:val="24"/>
          <w:szCs w:val="24"/>
        </w:rPr>
        <w:t xml:space="preserve">.  </w:t>
      </w:r>
      <w:r w:rsidR="00EC27C5">
        <w:rPr>
          <w:rFonts w:ascii="Cambria" w:hAnsi="Cambria"/>
          <w:sz w:val="24"/>
          <w:szCs w:val="24"/>
        </w:rPr>
        <w:t>E-rate will now support</w:t>
      </w:r>
      <w:r w:rsidRPr="009F30F3">
        <w:rPr>
          <w:rFonts w:ascii="Cambria" w:hAnsi="Cambria"/>
          <w:sz w:val="24"/>
          <w:szCs w:val="24"/>
        </w:rPr>
        <w:t xml:space="preserve"> construction and operation of applicant-owned self-provisioned high-speed networks.  Applicants that seek support for self-provisioning are required to</w:t>
      </w:r>
      <w:r w:rsidR="006E656F">
        <w:rPr>
          <w:rFonts w:ascii="Cambria" w:hAnsi="Cambria"/>
          <w:sz w:val="24"/>
          <w:szCs w:val="24"/>
        </w:rPr>
        <w:t xml:space="preserve"> </w:t>
      </w:r>
      <w:r w:rsidRPr="009F30F3">
        <w:rPr>
          <w:rFonts w:ascii="Cambria" w:hAnsi="Cambria"/>
          <w:sz w:val="24"/>
          <w:szCs w:val="24"/>
        </w:rPr>
        <w:t xml:space="preserve">seek bids for </w:t>
      </w:r>
      <w:r w:rsidR="004818A3" w:rsidRPr="009F30F3">
        <w:rPr>
          <w:rFonts w:ascii="Cambria" w:hAnsi="Cambria"/>
          <w:sz w:val="24"/>
          <w:szCs w:val="24"/>
        </w:rPr>
        <w:t xml:space="preserve">services provided over third party networks </w:t>
      </w:r>
      <w:r w:rsidRPr="009F30F3">
        <w:rPr>
          <w:rFonts w:ascii="Cambria" w:hAnsi="Cambria"/>
          <w:sz w:val="24"/>
          <w:szCs w:val="24"/>
        </w:rPr>
        <w:t>and demonstrate that self-provisioning is more cost effective.</w:t>
      </w:r>
    </w:p>
    <w:p w:rsidR="00C61356" w:rsidRPr="009F30F3" w:rsidRDefault="00C61356" w:rsidP="00C61356">
      <w:pPr>
        <w:pStyle w:val="ListParagraph"/>
        <w:numPr>
          <w:ilvl w:val="0"/>
          <w:numId w:val="2"/>
        </w:numPr>
        <w:rPr>
          <w:rFonts w:ascii="Cambria" w:hAnsi="Cambria"/>
          <w:sz w:val="24"/>
          <w:szCs w:val="24"/>
        </w:rPr>
      </w:pPr>
      <w:r w:rsidRPr="009F30F3">
        <w:rPr>
          <w:rFonts w:ascii="Cambria" w:hAnsi="Cambria"/>
          <w:sz w:val="24"/>
          <w:szCs w:val="24"/>
          <w:u w:val="single"/>
        </w:rPr>
        <w:t>State match</w:t>
      </w:r>
      <w:r w:rsidRPr="009F30F3">
        <w:rPr>
          <w:rFonts w:ascii="Cambria" w:hAnsi="Cambria"/>
          <w:sz w:val="24"/>
          <w:szCs w:val="24"/>
        </w:rPr>
        <w:t>.  To incentivize state funding for school and library broadband infrastructure, E-rate now provide</w:t>
      </w:r>
      <w:r w:rsidR="007F4278" w:rsidRPr="009F30F3">
        <w:rPr>
          <w:rFonts w:ascii="Cambria" w:hAnsi="Cambria"/>
          <w:sz w:val="24"/>
          <w:szCs w:val="24"/>
        </w:rPr>
        <w:t>s</w:t>
      </w:r>
      <w:r w:rsidRPr="009F30F3">
        <w:rPr>
          <w:rFonts w:ascii="Cambria" w:hAnsi="Cambria"/>
          <w:sz w:val="24"/>
          <w:szCs w:val="24"/>
        </w:rPr>
        <w:t xml:space="preserve"> additional Category One funding of up to ten percent</w:t>
      </w:r>
      <w:r w:rsidR="00994E82" w:rsidRPr="009F30F3">
        <w:rPr>
          <w:rFonts w:ascii="Cambria" w:hAnsi="Cambria"/>
          <w:sz w:val="24"/>
          <w:szCs w:val="24"/>
        </w:rPr>
        <w:t xml:space="preserve"> of costs</w:t>
      </w:r>
      <w:r w:rsidRPr="009F30F3">
        <w:rPr>
          <w:rFonts w:ascii="Cambria" w:hAnsi="Cambria"/>
          <w:sz w:val="24"/>
          <w:szCs w:val="24"/>
        </w:rPr>
        <w:t xml:space="preserve"> to match state dollars for special construction of high-speed broadband</w:t>
      </w:r>
      <w:r w:rsidR="00B86CCA" w:rsidRPr="009F30F3">
        <w:rPr>
          <w:rFonts w:ascii="Cambria" w:hAnsi="Cambria"/>
          <w:sz w:val="24"/>
          <w:szCs w:val="24"/>
        </w:rPr>
        <w:t xml:space="preserve"> connections that meet the </w:t>
      </w:r>
      <w:r w:rsidR="006E656F">
        <w:rPr>
          <w:rFonts w:ascii="Cambria" w:hAnsi="Cambria"/>
          <w:sz w:val="24"/>
          <w:szCs w:val="24"/>
        </w:rPr>
        <w:t xml:space="preserve">Commission’s </w:t>
      </w:r>
      <w:r w:rsidR="00B86CCA" w:rsidRPr="009F30F3">
        <w:rPr>
          <w:rFonts w:ascii="Cambria" w:hAnsi="Cambria"/>
          <w:sz w:val="24"/>
          <w:szCs w:val="24"/>
        </w:rPr>
        <w:t>capacity go</w:t>
      </w:r>
      <w:r w:rsidR="006E656F">
        <w:rPr>
          <w:rFonts w:ascii="Cambria" w:hAnsi="Cambria"/>
          <w:sz w:val="24"/>
          <w:szCs w:val="24"/>
        </w:rPr>
        <w:t>als and measures</w:t>
      </w:r>
      <w:r w:rsidRPr="009F30F3">
        <w:rPr>
          <w:rFonts w:ascii="Cambria" w:hAnsi="Cambria"/>
          <w:sz w:val="24"/>
          <w:szCs w:val="24"/>
        </w:rPr>
        <w:t xml:space="preserve">.  E-rate will also match Tribal and federal agency support for special construction to connect Tribal schools and libraries. </w:t>
      </w:r>
    </w:p>
    <w:p w:rsidR="0093700A" w:rsidRPr="009F30F3" w:rsidRDefault="004E747C">
      <w:pPr>
        <w:rPr>
          <w:rFonts w:ascii="Cambria" w:hAnsi="Cambria"/>
          <w:bCs/>
          <w:iCs/>
          <w:sz w:val="24"/>
          <w:szCs w:val="24"/>
        </w:rPr>
      </w:pPr>
      <w:r w:rsidRPr="009F30F3">
        <w:rPr>
          <w:rFonts w:ascii="Cambria" w:hAnsi="Cambria"/>
          <w:bCs/>
          <w:iCs/>
          <w:sz w:val="24"/>
          <w:szCs w:val="24"/>
        </w:rPr>
        <w:t>T</w:t>
      </w:r>
      <w:r w:rsidR="00921AF9" w:rsidRPr="009F30F3">
        <w:rPr>
          <w:rFonts w:ascii="Cambria" w:hAnsi="Cambria"/>
          <w:bCs/>
          <w:iCs/>
          <w:sz w:val="24"/>
          <w:szCs w:val="24"/>
        </w:rPr>
        <w:t xml:space="preserve">he benefits of </w:t>
      </w:r>
      <w:r w:rsidR="0093700A" w:rsidRPr="009F30F3">
        <w:rPr>
          <w:rFonts w:ascii="Cambria" w:hAnsi="Cambria"/>
          <w:bCs/>
          <w:iCs/>
          <w:sz w:val="24"/>
          <w:szCs w:val="24"/>
        </w:rPr>
        <w:t xml:space="preserve">these reforms </w:t>
      </w:r>
      <w:r w:rsidR="00E573D7" w:rsidRPr="009F30F3">
        <w:rPr>
          <w:rFonts w:ascii="Cambria" w:hAnsi="Cambria"/>
          <w:bCs/>
          <w:iCs/>
          <w:sz w:val="24"/>
          <w:szCs w:val="24"/>
        </w:rPr>
        <w:t>extend beyond new high</w:t>
      </w:r>
      <w:r w:rsidR="00C457F9">
        <w:rPr>
          <w:rFonts w:ascii="Cambria" w:hAnsi="Cambria"/>
          <w:bCs/>
          <w:iCs/>
          <w:sz w:val="24"/>
          <w:szCs w:val="24"/>
        </w:rPr>
        <w:t xml:space="preserve">-speed broadband connections </w:t>
      </w:r>
      <w:r w:rsidR="00133A4D">
        <w:rPr>
          <w:rFonts w:ascii="Cambria" w:hAnsi="Cambria"/>
          <w:bCs/>
          <w:iCs/>
          <w:sz w:val="24"/>
          <w:szCs w:val="24"/>
        </w:rPr>
        <w:t xml:space="preserve">for applicants that </w:t>
      </w:r>
      <w:r w:rsidR="009021E2">
        <w:rPr>
          <w:rFonts w:ascii="Cambria" w:hAnsi="Cambria"/>
          <w:bCs/>
          <w:iCs/>
          <w:sz w:val="24"/>
          <w:szCs w:val="24"/>
        </w:rPr>
        <w:t>lease dark fiber or self-provision their own network</w:t>
      </w:r>
      <w:r w:rsidR="00152D78" w:rsidRPr="009F30F3">
        <w:rPr>
          <w:rFonts w:ascii="Cambria" w:hAnsi="Cambria"/>
          <w:bCs/>
          <w:iCs/>
          <w:sz w:val="24"/>
          <w:szCs w:val="24"/>
        </w:rPr>
        <w:t xml:space="preserve">.  </w:t>
      </w:r>
      <w:r w:rsidR="009021E2" w:rsidRPr="009F30F3">
        <w:rPr>
          <w:rFonts w:ascii="Cambria" w:hAnsi="Cambria"/>
          <w:bCs/>
          <w:iCs/>
          <w:sz w:val="24"/>
          <w:szCs w:val="24"/>
        </w:rPr>
        <w:t>Competitive fiber options have the potential to improve cost effective purchasing for all E-rate applicants, including those that ultimately select a leased lit service.</w:t>
      </w:r>
      <w:r w:rsidR="009021E2">
        <w:rPr>
          <w:rFonts w:ascii="Cambria" w:hAnsi="Cambria"/>
          <w:bCs/>
          <w:iCs/>
          <w:sz w:val="24"/>
          <w:szCs w:val="24"/>
        </w:rPr>
        <w:t xml:space="preserve">  </w:t>
      </w:r>
      <w:r w:rsidRPr="009F30F3">
        <w:rPr>
          <w:rFonts w:ascii="Cambria" w:hAnsi="Cambria"/>
          <w:bCs/>
          <w:iCs/>
          <w:sz w:val="24"/>
          <w:szCs w:val="24"/>
        </w:rPr>
        <w:t xml:space="preserve">The Commission recognized that </w:t>
      </w:r>
      <w:r w:rsidR="00FC1A8B" w:rsidRPr="009F30F3">
        <w:rPr>
          <w:rFonts w:ascii="Cambria" w:hAnsi="Cambria"/>
          <w:bCs/>
          <w:iCs/>
          <w:sz w:val="24"/>
          <w:szCs w:val="24"/>
        </w:rPr>
        <w:t>i</w:t>
      </w:r>
      <w:r w:rsidR="00152D78" w:rsidRPr="009F30F3">
        <w:rPr>
          <w:rFonts w:ascii="Cambria" w:hAnsi="Cambria"/>
          <w:bCs/>
          <w:iCs/>
          <w:sz w:val="24"/>
          <w:szCs w:val="24"/>
        </w:rPr>
        <w:t xml:space="preserve">ncreasing </w:t>
      </w:r>
      <w:r w:rsidR="00E573D7" w:rsidRPr="009F30F3">
        <w:rPr>
          <w:rFonts w:ascii="Cambria" w:hAnsi="Cambria"/>
          <w:bCs/>
          <w:iCs/>
          <w:sz w:val="24"/>
          <w:szCs w:val="24"/>
        </w:rPr>
        <w:t>flexibility and supporting more options for broadband connectivity</w:t>
      </w:r>
      <w:r w:rsidR="00D83DF9" w:rsidRPr="009F30F3">
        <w:rPr>
          <w:rFonts w:ascii="Cambria" w:hAnsi="Cambria"/>
          <w:bCs/>
          <w:iCs/>
          <w:sz w:val="24"/>
          <w:szCs w:val="24"/>
        </w:rPr>
        <w:t xml:space="preserve"> </w:t>
      </w:r>
      <w:r w:rsidR="00FC1A8B" w:rsidRPr="009F30F3">
        <w:rPr>
          <w:rFonts w:ascii="Cambria" w:hAnsi="Cambria"/>
          <w:bCs/>
          <w:iCs/>
          <w:sz w:val="24"/>
          <w:szCs w:val="24"/>
        </w:rPr>
        <w:t>are consistent with the direction in section 254 of the Act to “enhance, to the extent technically feasible and economically reasonable, access to advanced telecommunic</w:t>
      </w:r>
      <w:r w:rsidR="007B1895" w:rsidRPr="009F30F3">
        <w:rPr>
          <w:rFonts w:ascii="Cambria" w:hAnsi="Cambria"/>
          <w:bCs/>
          <w:iCs/>
          <w:sz w:val="24"/>
          <w:szCs w:val="24"/>
        </w:rPr>
        <w:t>ations and information services</w:t>
      </w:r>
      <w:r w:rsidR="00FC1A8B" w:rsidRPr="009F30F3">
        <w:rPr>
          <w:rFonts w:ascii="Cambria" w:hAnsi="Cambria"/>
          <w:bCs/>
          <w:iCs/>
          <w:sz w:val="24"/>
          <w:szCs w:val="24"/>
        </w:rPr>
        <w:t>”</w:t>
      </w:r>
      <w:r w:rsidR="007B1895" w:rsidRPr="009F30F3">
        <w:rPr>
          <w:rFonts w:ascii="Cambria" w:hAnsi="Cambria"/>
          <w:bCs/>
          <w:iCs/>
          <w:sz w:val="24"/>
          <w:szCs w:val="24"/>
        </w:rPr>
        <w:t xml:space="preserve"> for schools and libraries.</w:t>
      </w:r>
      <w:r w:rsidR="007B1895" w:rsidRPr="009F30F3">
        <w:rPr>
          <w:rStyle w:val="FootnoteReference"/>
          <w:rFonts w:ascii="Cambria" w:hAnsi="Cambria"/>
          <w:bCs/>
          <w:iCs/>
          <w:sz w:val="24"/>
          <w:szCs w:val="24"/>
        </w:rPr>
        <w:footnoteReference w:id="16"/>
      </w:r>
      <w:r w:rsidR="00FC1A8B" w:rsidRPr="009F30F3">
        <w:rPr>
          <w:rFonts w:ascii="Cambria" w:hAnsi="Cambria"/>
          <w:bCs/>
          <w:iCs/>
          <w:sz w:val="24"/>
          <w:szCs w:val="24"/>
        </w:rPr>
        <w:t xml:space="preserve">  </w:t>
      </w:r>
    </w:p>
    <w:p w:rsidR="00C61356" w:rsidRPr="009F30F3" w:rsidRDefault="00C61356">
      <w:pPr>
        <w:rPr>
          <w:rFonts w:ascii="Cambria" w:hAnsi="Cambria"/>
          <w:b/>
          <w:bCs/>
          <w:i/>
          <w:iCs/>
          <w:sz w:val="24"/>
          <w:szCs w:val="24"/>
        </w:rPr>
      </w:pPr>
      <w:r w:rsidRPr="009F30F3">
        <w:rPr>
          <w:rFonts w:ascii="Cambria" w:hAnsi="Cambria"/>
          <w:b/>
          <w:bCs/>
          <w:i/>
          <w:iCs/>
          <w:sz w:val="24"/>
          <w:szCs w:val="24"/>
        </w:rPr>
        <w:t>Progress</w:t>
      </w:r>
      <w:r w:rsidR="001D3985" w:rsidRPr="009F30F3">
        <w:rPr>
          <w:rFonts w:ascii="Cambria" w:hAnsi="Cambria"/>
          <w:b/>
          <w:bCs/>
          <w:i/>
          <w:iCs/>
          <w:sz w:val="24"/>
          <w:szCs w:val="24"/>
        </w:rPr>
        <w:t>: More Fiber Connections and More Competitive Options</w:t>
      </w:r>
    </w:p>
    <w:p w:rsidR="00164F1E" w:rsidRDefault="00C23D61" w:rsidP="00BD7474">
      <w:pPr>
        <w:rPr>
          <w:rFonts w:ascii="Cambria" w:hAnsi="Cambria"/>
          <w:sz w:val="24"/>
          <w:szCs w:val="24"/>
        </w:rPr>
      </w:pPr>
      <w:r>
        <w:rPr>
          <w:rFonts w:ascii="Cambria" w:hAnsi="Cambria"/>
          <w:sz w:val="24"/>
          <w:szCs w:val="24"/>
        </w:rPr>
        <w:t>T</w:t>
      </w:r>
      <w:r w:rsidR="00F8367C" w:rsidRPr="009F30F3">
        <w:rPr>
          <w:rFonts w:ascii="Cambria" w:hAnsi="Cambria"/>
          <w:sz w:val="24"/>
          <w:szCs w:val="24"/>
        </w:rPr>
        <w:t>he past two years</w:t>
      </w:r>
      <w:r>
        <w:rPr>
          <w:rFonts w:ascii="Cambria" w:hAnsi="Cambria"/>
          <w:sz w:val="24"/>
          <w:szCs w:val="24"/>
        </w:rPr>
        <w:t xml:space="preserve"> have seen</w:t>
      </w:r>
      <w:r w:rsidR="00F8367C" w:rsidRPr="009F30F3">
        <w:rPr>
          <w:rFonts w:ascii="Cambria" w:hAnsi="Cambria"/>
          <w:sz w:val="24"/>
          <w:szCs w:val="24"/>
        </w:rPr>
        <w:t xml:space="preserve"> both increased access to high-speed broadband and reduced per-megabit costs for school districts. </w:t>
      </w:r>
      <w:r w:rsidR="006E486F" w:rsidRPr="009F30F3">
        <w:rPr>
          <w:rFonts w:ascii="Cambria" w:hAnsi="Cambria"/>
          <w:sz w:val="24"/>
          <w:szCs w:val="24"/>
        </w:rPr>
        <w:t xml:space="preserve"> </w:t>
      </w:r>
    </w:p>
    <w:p w:rsidR="00BD7474" w:rsidRPr="00164F1E" w:rsidRDefault="006E486F" w:rsidP="00164F1E">
      <w:pPr>
        <w:pStyle w:val="ListParagraph"/>
        <w:numPr>
          <w:ilvl w:val="0"/>
          <w:numId w:val="15"/>
        </w:numPr>
        <w:rPr>
          <w:rFonts w:ascii="Cambria" w:hAnsi="Cambria"/>
          <w:sz w:val="24"/>
          <w:szCs w:val="24"/>
        </w:rPr>
      </w:pPr>
      <w:r w:rsidRPr="00164F1E">
        <w:rPr>
          <w:rFonts w:ascii="Cambria" w:hAnsi="Cambria"/>
          <w:sz w:val="24"/>
          <w:szCs w:val="24"/>
        </w:rPr>
        <w:t>Comprehensive</w:t>
      </w:r>
      <w:r w:rsidR="006D59AB" w:rsidRPr="00164F1E">
        <w:rPr>
          <w:rFonts w:ascii="Cambria" w:hAnsi="Cambria"/>
          <w:sz w:val="24"/>
          <w:szCs w:val="24"/>
        </w:rPr>
        <w:t xml:space="preserve"> </w:t>
      </w:r>
      <w:r w:rsidRPr="00164F1E">
        <w:rPr>
          <w:rFonts w:ascii="Cambria" w:hAnsi="Cambria"/>
          <w:sz w:val="24"/>
          <w:szCs w:val="24"/>
        </w:rPr>
        <w:t xml:space="preserve">analysis recently </w:t>
      </w:r>
      <w:r w:rsidR="00B61530" w:rsidRPr="00164F1E">
        <w:rPr>
          <w:rFonts w:ascii="Cambria" w:hAnsi="Cambria"/>
          <w:sz w:val="24"/>
          <w:szCs w:val="24"/>
        </w:rPr>
        <w:t xml:space="preserve">released </w:t>
      </w:r>
      <w:r w:rsidRPr="00164F1E">
        <w:rPr>
          <w:rFonts w:ascii="Cambria" w:hAnsi="Cambria"/>
          <w:sz w:val="24"/>
          <w:szCs w:val="24"/>
        </w:rPr>
        <w:t>by</w:t>
      </w:r>
      <w:r w:rsidR="00D34F07" w:rsidRPr="00164F1E">
        <w:rPr>
          <w:rFonts w:ascii="Cambria" w:hAnsi="Cambria"/>
          <w:sz w:val="24"/>
          <w:szCs w:val="24"/>
        </w:rPr>
        <w:t xml:space="preserve"> EducationSuperHighway</w:t>
      </w:r>
      <w:r w:rsidRPr="00164F1E">
        <w:rPr>
          <w:rFonts w:ascii="Cambria" w:hAnsi="Cambria"/>
          <w:sz w:val="24"/>
          <w:szCs w:val="24"/>
        </w:rPr>
        <w:t xml:space="preserve"> </w:t>
      </w:r>
      <w:r w:rsidR="00D34F07" w:rsidRPr="00164F1E">
        <w:rPr>
          <w:rFonts w:ascii="Cambria" w:hAnsi="Cambria"/>
          <w:sz w:val="24"/>
          <w:szCs w:val="24"/>
        </w:rPr>
        <w:t>(</w:t>
      </w:r>
      <w:r w:rsidRPr="00164F1E">
        <w:rPr>
          <w:rFonts w:ascii="Cambria" w:hAnsi="Cambria"/>
          <w:sz w:val="24"/>
          <w:szCs w:val="24"/>
        </w:rPr>
        <w:t>ESH</w:t>
      </w:r>
      <w:r w:rsidR="00D34F07" w:rsidRPr="00164F1E">
        <w:rPr>
          <w:rFonts w:ascii="Cambria" w:hAnsi="Cambria"/>
          <w:sz w:val="24"/>
          <w:szCs w:val="24"/>
        </w:rPr>
        <w:t>)</w:t>
      </w:r>
      <w:r w:rsidRPr="00164F1E">
        <w:rPr>
          <w:rFonts w:ascii="Cambria" w:hAnsi="Cambria"/>
          <w:sz w:val="24"/>
          <w:szCs w:val="24"/>
        </w:rPr>
        <w:t xml:space="preserve"> determined </w:t>
      </w:r>
      <w:r w:rsidR="00BD7474" w:rsidRPr="00164F1E">
        <w:rPr>
          <w:rFonts w:ascii="Cambria" w:hAnsi="Cambria"/>
          <w:sz w:val="24"/>
          <w:szCs w:val="24"/>
        </w:rPr>
        <w:t xml:space="preserve">that the number of </w:t>
      </w:r>
      <w:r w:rsidR="00412969" w:rsidRPr="00164F1E">
        <w:rPr>
          <w:rFonts w:ascii="Cambria" w:hAnsi="Cambria"/>
          <w:sz w:val="24"/>
          <w:szCs w:val="24"/>
        </w:rPr>
        <w:t xml:space="preserve">schools </w:t>
      </w:r>
      <w:r w:rsidR="00BD7474" w:rsidRPr="00164F1E">
        <w:rPr>
          <w:rFonts w:ascii="Cambria" w:hAnsi="Cambria"/>
          <w:sz w:val="24"/>
          <w:szCs w:val="24"/>
        </w:rPr>
        <w:t xml:space="preserve">without fiber connectivity declined by </w:t>
      </w:r>
      <w:r w:rsidR="00412969" w:rsidRPr="00164F1E">
        <w:rPr>
          <w:rFonts w:ascii="Cambria" w:hAnsi="Cambria"/>
          <w:sz w:val="24"/>
          <w:szCs w:val="24"/>
        </w:rPr>
        <w:t>61</w:t>
      </w:r>
      <w:r w:rsidR="00BD7474" w:rsidRPr="00164F1E">
        <w:rPr>
          <w:rFonts w:ascii="Cambria" w:hAnsi="Cambria"/>
          <w:sz w:val="24"/>
          <w:szCs w:val="24"/>
        </w:rPr>
        <w:t xml:space="preserve"> percent from 2015 to 2016.</w:t>
      </w:r>
      <w:r w:rsidRPr="009F30F3">
        <w:rPr>
          <w:rStyle w:val="FootnoteReference"/>
          <w:rFonts w:ascii="Cambria" w:hAnsi="Cambria"/>
          <w:sz w:val="24"/>
          <w:szCs w:val="24"/>
        </w:rPr>
        <w:footnoteReference w:id="17"/>
      </w:r>
      <w:r w:rsidR="00EC4E3E" w:rsidRPr="00164F1E">
        <w:rPr>
          <w:rFonts w:ascii="Cambria" w:hAnsi="Cambria"/>
          <w:sz w:val="24"/>
          <w:szCs w:val="24"/>
        </w:rPr>
        <w:t xml:space="preserve">  </w:t>
      </w:r>
    </w:p>
    <w:p w:rsidR="009552B3" w:rsidRDefault="009552B3">
      <w:pPr>
        <w:jc w:val="center"/>
        <w:rPr>
          <w:rFonts w:ascii="Cambria" w:hAnsi="Cambria"/>
          <w:b/>
          <w:bCs/>
          <w:sz w:val="24"/>
          <w:szCs w:val="24"/>
        </w:rPr>
      </w:pPr>
    </w:p>
    <w:p w:rsidR="009552B3" w:rsidRDefault="009552B3">
      <w:pPr>
        <w:jc w:val="center"/>
        <w:rPr>
          <w:rFonts w:ascii="Cambria" w:hAnsi="Cambria"/>
          <w:b/>
          <w:bCs/>
          <w:sz w:val="24"/>
          <w:szCs w:val="24"/>
        </w:rPr>
      </w:pPr>
    </w:p>
    <w:p w:rsidR="006D59AB" w:rsidRPr="00AF35C0" w:rsidRDefault="006E486F">
      <w:pPr>
        <w:jc w:val="center"/>
        <w:rPr>
          <w:rFonts w:ascii="Cambria" w:hAnsi="Cambria"/>
          <w:b/>
          <w:bCs/>
          <w:sz w:val="24"/>
          <w:szCs w:val="24"/>
        </w:rPr>
      </w:pPr>
      <w:r w:rsidRPr="00AF35C0">
        <w:rPr>
          <w:rFonts w:ascii="Cambria" w:hAnsi="Cambria"/>
          <w:b/>
          <w:bCs/>
          <w:sz w:val="24"/>
          <w:szCs w:val="24"/>
        </w:rPr>
        <w:lastRenderedPageBreak/>
        <w:t xml:space="preserve">Figure 3: </w:t>
      </w:r>
      <w:r w:rsidR="00412969" w:rsidRPr="00AF35C0">
        <w:rPr>
          <w:rFonts w:ascii="Cambria" w:hAnsi="Cambria"/>
          <w:b/>
          <w:bCs/>
          <w:sz w:val="24"/>
          <w:szCs w:val="24"/>
        </w:rPr>
        <w:t xml:space="preserve">Schools </w:t>
      </w:r>
      <w:r w:rsidR="00C61EBA" w:rsidRPr="00AF35C0">
        <w:rPr>
          <w:rFonts w:ascii="Cambria" w:hAnsi="Cambria"/>
          <w:b/>
          <w:bCs/>
          <w:sz w:val="24"/>
          <w:szCs w:val="24"/>
        </w:rPr>
        <w:t xml:space="preserve">Not </w:t>
      </w:r>
      <w:r w:rsidRPr="00AF35C0">
        <w:rPr>
          <w:rFonts w:ascii="Cambria" w:hAnsi="Cambria"/>
          <w:b/>
          <w:bCs/>
          <w:sz w:val="24"/>
          <w:szCs w:val="24"/>
        </w:rPr>
        <w:t>Connected to Fiber</w:t>
      </w:r>
      <w:r w:rsidR="00412969" w:rsidRPr="00AF35C0">
        <w:rPr>
          <w:rStyle w:val="FootnoteReference"/>
          <w:rFonts w:ascii="Cambria" w:hAnsi="Cambria"/>
          <w:sz w:val="24"/>
          <w:szCs w:val="24"/>
        </w:rPr>
        <w:footnoteReference w:id="18"/>
      </w:r>
    </w:p>
    <w:p w:rsidR="00C61EBA" w:rsidRPr="00CB4EA3" w:rsidRDefault="00C61EBA">
      <w:pPr>
        <w:jc w:val="center"/>
        <w:rPr>
          <w:rFonts w:ascii="Cambria" w:hAnsi="Cambria"/>
          <w:b/>
          <w:bCs/>
        </w:rPr>
      </w:pPr>
      <w:r w:rsidRPr="00CB4EA3">
        <w:rPr>
          <w:rFonts w:ascii="Cambria" w:hAnsi="Cambria"/>
          <w:b/>
          <w:bCs/>
          <w:noProof/>
        </w:rPr>
        <w:drawing>
          <wp:inline distT="0" distB="0" distL="0" distR="0" wp14:anchorId="20B2371B" wp14:editId="467CDFE0">
            <wp:extent cx="2990850" cy="1866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4F1E" w:rsidRDefault="00860D32" w:rsidP="00E2248E">
      <w:pPr>
        <w:pStyle w:val="ListParagraph"/>
        <w:numPr>
          <w:ilvl w:val="0"/>
          <w:numId w:val="5"/>
        </w:numPr>
        <w:rPr>
          <w:rFonts w:ascii="Cambria" w:hAnsi="Cambria"/>
          <w:sz w:val="24"/>
          <w:szCs w:val="24"/>
        </w:rPr>
      </w:pPr>
      <w:r w:rsidRPr="00164F1E">
        <w:rPr>
          <w:rFonts w:ascii="Cambria" w:hAnsi="Cambria"/>
          <w:sz w:val="24"/>
          <w:szCs w:val="24"/>
        </w:rPr>
        <w:t xml:space="preserve">Even more schools will gain access to fiber in 2017 and beyond due to the competitive fiber options adopted in the </w:t>
      </w:r>
      <w:r w:rsidRPr="00164F1E">
        <w:rPr>
          <w:rFonts w:ascii="Cambria" w:hAnsi="Cambria"/>
          <w:i/>
          <w:sz w:val="24"/>
          <w:szCs w:val="24"/>
        </w:rPr>
        <w:t>Second E-rate Modernization Order</w:t>
      </w:r>
      <w:r w:rsidRPr="00164F1E">
        <w:rPr>
          <w:rFonts w:ascii="Cambria" w:hAnsi="Cambria"/>
          <w:sz w:val="24"/>
          <w:szCs w:val="24"/>
        </w:rPr>
        <w:t xml:space="preserve">. </w:t>
      </w:r>
      <w:r w:rsidRPr="00164F1E">
        <w:rPr>
          <w:rFonts w:ascii="Cambria" w:hAnsi="Cambria"/>
          <w:i/>
          <w:sz w:val="24"/>
          <w:szCs w:val="24"/>
        </w:rPr>
        <w:t xml:space="preserve"> </w:t>
      </w:r>
      <w:r w:rsidR="002E4948" w:rsidRPr="00164F1E">
        <w:rPr>
          <w:rFonts w:ascii="Cambria" w:hAnsi="Cambria"/>
          <w:sz w:val="24"/>
          <w:szCs w:val="24"/>
        </w:rPr>
        <w:t xml:space="preserve">Funding year 2016 data from USAC </w:t>
      </w:r>
      <w:r w:rsidR="00A5591B" w:rsidRPr="00164F1E">
        <w:rPr>
          <w:rFonts w:ascii="Cambria" w:hAnsi="Cambria"/>
          <w:sz w:val="24"/>
          <w:szCs w:val="24"/>
        </w:rPr>
        <w:t>shows a</w:t>
      </w:r>
      <w:r w:rsidR="00A71AC7" w:rsidRPr="00164F1E">
        <w:rPr>
          <w:rFonts w:ascii="Cambria" w:hAnsi="Cambria"/>
          <w:sz w:val="24"/>
          <w:szCs w:val="24"/>
        </w:rPr>
        <w:t xml:space="preserve"> </w:t>
      </w:r>
      <w:r w:rsidR="00176CF2" w:rsidRPr="00164F1E">
        <w:rPr>
          <w:rFonts w:ascii="Cambria" w:hAnsi="Cambria"/>
          <w:sz w:val="24"/>
          <w:szCs w:val="24"/>
        </w:rPr>
        <w:t>significant</w:t>
      </w:r>
      <w:r w:rsidR="00A71AC7" w:rsidRPr="00164F1E">
        <w:rPr>
          <w:rFonts w:ascii="Cambria" w:hAnsi="Cambria"/>
          <w:sz w:val="24"/>
          <w:szCs w:val="24"/>
        </w:rPr>
        <w:t xml:space="preserve"> number of applicants pursuing competitive fiber options.</w:t>
      </w:r>
      <w:r w:rsidR="00176CF2" w:rsidRPr="009F30F3">
        <w:rPr>
          <w:rStyle w:val="FootnoteReference"/>
          <w:rFonts w:ascii="Cambria" w:hAnsi="Cambria"/>
          <w:sz w:val="24"/>
          <w:szCs w:val="24"/>
        </w:rPr>
        <w:footnoteReference w:id="19"/>
      </w:r>
      <w:r w:rsidR="00A71AC7" w:rsidRPr="00164F1E">
        <w:rPr>
          <w:rFonts w:ascii="Cambria" w:hAnsi="Cambria"/>
          <w:sz w:val="24"/>
          <w:szCs w:val="24"/>
        </w:rPr>
        <w:t xml:space="preserve">  </w:t>
      </w:r>
    </w:p>
    <w:p w:rsidR="00164F1E" w:rsidRDefault="00DF6BCE" w:rsidP="00E2248E">
      <w:pPr>
        <w:pStyle w:val="ListParagraph"/>
        <w:numPr>
          <w:ilvl w:val="1"/>
          <w:numId w:val="5"/>
        </w:numPr>
        <w:rPr>
          <w:rFonts w:ascii="Cambria" w:hAnsi="Cambria"/>
          <w:sz w:val="24"/>
          <w:szCs w:val="24"/>
        </w:rPr>
      </w:pPr>
      <w:r>
        <w:rPr>
          <w:rFonts w:ascii="Cambria" w:hAnsi="Cambria"/>
          <w:sz w:val="24"/>
          <w:szCs w:val="24"/>
        </w:rPr>
        <w:t>1</w:t>
      </w:r>
      <w:r w:rsidR="00D34F07" w:rsidRPr="00164F1E">
        <w:rPr>
          <w:rFonts w:ascii="Cambria" w:hAnsi="Cambria"/>
          <w:sz w:val="24"/>
          <w:szCs w:val="24"/>
        </w:rPr>
        <w:t>1</w:t>
      </w:r>
      <w:r w:rsidR="63B8270A" w:rsidRPr="00164F1E">
        <w:rPr>
          <w:rFonts w:ascii="Cambria" w:hAnsi="Cambria"/>
          <w:sz w:val="24"/>
          <w:szCs w:val="24"/>
        </w:rPr>
        <w:t>3</w:t>
      </w:r>
      <w:r w:rsidR="00D34F07" w:rsidRPr="00164F1E">
        <w:rPr>
          <w:rFonts w:ascii="Cambria" w:hAnsi="Cambria"/>
          <w:sz w:val="24"/>
          <w:szCs w:val="24"/>
        </w:rPr>
        <w:t xml:space="preserve"> </w:t>
      </w:r>
      <w:r w:rsidR="00A5591B" w:rsidRPr="00164F1E">
        <w:rPr>
          <w:rFonts w:ascii="Cambria" w:hAnsi="Cambria"/>
          <w:sz w:val="24"/>
          <w:szCs w:val="24"/>
        </w:rPr>
        <w:t>applicants requested funding for special construction of leased lit fiber</w:t>
      </w:r>
      <w:r w:rsidR="00176CF2" w:rsidRPr="00164F1E">
        <w:rPr>
          <w:rFonts w:ascii="Cambria" w:hAnsi="Cambria"/>
          <w:sz w:val="24"/>
          <w:szCs w:val="24"/>
        </w:rPr>
        <w:t>.</w:t>
      </w:r>
    </w:p>
    <w:p w:rsidR="00164F1E" w:rsidRDefault="0096470D" w:rsidP="00164F1E">
      <w:pPr>
        <w:pStyle w:val="ListParagraph"/>
        <w:numPr>
          <w:ilvl w:val="2"/>
          <w:numId w:val="5"/>
        </w:numPr>
        <w:rPr>
          <w:rFonts w:ascii="Cambria" w:hAnsi="Cambria"/>
          <w:sz w:val="24"/>
          <w:szCs w:val="24"/>
        </w:rPr>
      </w:pPr>
      <w:r w:rsidRPr="00164F1E">
        <w:rPr>
          <w:rFonts w:ascii="Cambria" w:hAnsi="Cambria"/>
          <w:sz w:val="24"/>
          <w:szCs w:val="24"/>
        </w:rPr>
        <w:t xml:space="preserve">Of those, </w:t>
      </w:r>
      <w:r w:rsidR="074103B2" w:rsidRPr="00164F1E">
        <w:rPr>
          <w:rFonts w:ascii="Cambria" w:hAnsi="Cambria"/>
          <w:sz w:val="24"/>
          <w:szCs w:val="24"/>
        </w:rPr>
        <w:t>58</w:t>
      </w:r>
      <w:r w:rsidRPr="00164F1E">
        <w:rPr>
          <w:rFonts w:ascii="Cambria" w:hAnsi="Cambria"/>
          <w:sz w:val="24"/>
          <w:szCs w:val="24"/>
        </w:rPr>
        <w:t xml:space="preserve"> applications took advantage of the reformed amortization and installment payment rules.</w:t>
      </w:r>
    </w:p>
    <w:p w:rsidR="00A71AC7" w:rsidRPr="00164F1E" w:rsidRDefault="00D34F07" w:rsidP="00164F1E">
      <w:pPr>
        <w:pStyle w:val="ListParagraph"/>
        <w:numPr>
          <w:ilvl w:val="1"/>
          <w:numId w:val="5"/>
        </w:numPr>
        <w:rPr>
          <w:rFonts w:ascii="Cambria" w:hAnsi="Cambria"/>
          <w:sz w:val="24"/>
          <w:szCs w:val="24"/>
        </w:rPr>
      </w:pPr>
      <w:r w:rsidRPr="00164F1E">
        <w:rPr>
          <w:rFonts w:ascii="Cambria" w:hAnsi="Cambria"/>
          <w:sz w:val="24"/>
          <w:szCs w:val="24"/>
        </w:rPr>
        <w:t>34</w:t>
      </w:r>
      <w:r w:rsidR="63B8270A" w:rsidRPr="00164F1E">
        <w:rPr>
          <w:rFonts w:ascii="Cambria" w:hAnsi="Cambria"/>
          <w:sz w:val="24"/>
          <w:szCs w:val="24"/>
        </w:rPr>
        <w:t>2</w:t>
      </w:r>
      <w:r w:rsidRPr="00164F1E">
        <w:rPr>
          <w:rFonts w:ascii="Cambria" w:hAnsi="Cambria"/>
          <w:sz w:val="24"/>
          <w:szCs w:val="24"/>
        </w:rPr>
        <w:t xml:space="preserve"> </w:t>
      </w:r>
      <w:r w:rsidR="00323BCB" w:rsidRPr="00164F1E">
        <w:rPr>
          <w:rFonts w:ascii="Cambria" w:hAnsi="Cambria"/>
          <w:sz w:val="24"/>
          <w:szCs w:val="24"/>
        </w:rPr>
        <w:t>applicants requested funding for leased dark fiber.</w:t>
      </w:r>
    </w:p>
    <w:p w:rsidR="00323BCB" w:rsidRPr="009F30F3" w:rsidRDefault="00D34F07" w:rsidP="00AA2BED">
      <w:pPr>
        <w:pStyle w:val="ListParagraph"/>
        <w:numPr>
          <w:ilvl w:val="2"/>
          <w:numId w:val="5"/>
        </w:numPr>
        <w:rPr>
          <w:rFonts w:ascii="Cambria" w:hAnsi="Cambria"/>
          <w:sz w:val="24"/>
          <w:szCs w:val="24"/>
        </w:rPr>
      </w:pPr>
      <w:r w:rsidRPr="009F30F3">
        <w:rPr>
          <w:rFonts w:ascii="Cambria" w:hAnsi="Cambria"/>
          <w:sz w:val="24"/>
          <w:szCs w:val="24"/>
        </w:rPr>
        <w:t>99</w:t>
      </w:r>
      <w:r w:rsidR="00323BCB" w:rsidRPr="009F30F3">
        <w:rPr>
          <w:rFonts w:ascii="Cambria" w:hAnsi="Cambria"/>
          <w:sz w:val="24"/>
          <w:szCs w:val="24"/>
        </w:rPr>
        <w:t xml:space="preserve"> applicants requested funding for special construction or modulating electronics for a leased dark fiber network.</w:t>
      </w:r>
    </w:p>
    <w:p w:rsidR="00323BCB" w:rsidRPr="009F30F3" w:rsidRDefault="00D34F07" w:rsidP="00AA2BED">
      <w:pPr>
        <w:pStyle w:val="ListParagraph"/>
        <w:numPr>
          <w:ilvl w:val="1"/>
          <w:numId w:val="5"/>
        </w:numPr>
        <w:rPr>
          <w:rFonts w:ascii="Cambria" w:hAnsi="Cambria"/>
          <w:sz w:val="24"/>
          <w:szCs w:val="24"/>
        </w:rPr>
      </w:pPr>
      <w:r w:rsidRPr="009F30F3">
        <w:rPr>
          <w:rFonts w:ascii="Cambria" w:hAnsi="Cambria"/>
          <w:sz w:val="24"/>
          <w:szCs w:val="24"/>
        </w:rPr>
        <w:t>23</w:t>
      </w:r>
      <w:r w:rsidR="63B8270A" w:rsidRPr="009F30F3">
        <w:rPr>
          <w:rFonts w:ascii="Cambria" w:hAnsi="Cambria"/>
          <w:sz w:val="24"/>
          <w:szCs w:val="24"/>
        </w:rPr>
        <w:t>6</w:t>
      </w:r>
      <w:r w:rsidR="00323BCB" w:rsidRPr="009F30F3">
        <w:rPr>
          <w:rFonts w:ascii="Cambria" w:hAnsi="Cambria"/>
          <w:sz w:val="24"/>
          <w:szCs w:val="24"/>
        </w:rPr>
        <w:t xml:space="preserve"> applicants requested funding for a self-provisioned fiber network</w:t>
      </w:r>
      <w:r w:rsidR="00176CF2" w:rsidRPr="009F30F3">
        <w:rPr>
          <w:rFonts w:ascii="Cambria" w:hAnsi="Cambria"/>
          <w:sz w:val="24"/>
          <w:szCs w:val="24"/>
        </w:rPr>
        <w:t>.</w:t>
      </w:r>
    </w:p>
    <w:p w:rsidR="0096470D" w:rsidRPr="009F30F3" w:rsidRDefault="00D34F07" w:rsidP="00AA2BED">
      <w:pPr>
        <w:pStyle w:val="ListParagraph"/>
        <w:numPr>
          <w:ilvl w:val="1"/>
          <w:numId w:val="5"/>
        </w:numPr>
        <w:rPr>
          <w:rFonts w:ascii="Cambria" w:hAnsi="Cambria"/>
          <w:sz w:val="24"/>
          <w:szCs w:val="24"/>
        </w:rPr>
      </w:pPr>
      <w:r w:rsidRPr="009F30F3">
        <w:rPr>
          <w:rFonts w:ascii="Cambria" w:hAnsi="Cambria"/>
          <w:sz w:val="24"/>
          <w:szCs w:val="24"/>
        </w:rPr>
        <w:t>8</w:t>
      </w:r>
      <w:r w:rsidR="64E364BB" w:rsidRPr="009F30F3">
        <w:rPr>
          <w:rFonts w:ascii="Cambria" w:hAnsi="Cambria"/>
          <w:sz w:val="24"/>
          <w:szCs w:val="24"/>
        </w:rPr>
        <w:t>7</w:t>
      </w:r>
      <w:r w:rsidR="0096470D" w:rsidRPr="009F30F3">
        <w:rPr>
          <w:rFonts w:ascii="Cambria" w:hAnsi="Cambria"/>
          <w:sz w:val="24"/>
          <w:szCs w:val="24"/>
        </w:rPr>
        <w:t xml:space="preserve"> applicants requested state matching funds</w:t>
      </w:r>
      <w:r w:rsidR="003934C6" w:rsidRPr="009F30F3">
        <w:rPr>
          <w:rFonts w:ascii="Cambria" w:hAnsi="Cambria"/>
          <w:sz w:val="24"/>
          <w:szCs w:val="24"/>
        </w:rPr>
        <w:t>.</w:t>
      </w:r>
    </w:p>
    <w:p w:rsidR="00BD7474" w:rsidRPr="009F30F3" w:rsidRDefault="00BD7474">
      <w:pPr>
        <w:rPr>
          <w:rFonts w:ascii="Cambria" w:hAnsi="Cambria"/>
          <w:b/>
          <w:bCs/>
          <w:i/>
          <w:iCs/>
          <w:sz w:val="24"/>
          <w:szCs w:val="24"/>
        </w:rPr>
      </w:pPr>
      <w:r w:rsidRPr="009F30F3">
        <w:rPr>
          <w:rFonts w:ascii="Cambria" w:hAnsi="Cambria"/>
          <w:b/>
          <w:bCs/>
          <w:i/>
          <w:iCs/>
          <w:sz w:val="24"/>
          <w:szCs w:val="24"/>
        </w:rPr>
        <w:t xml:space="preserve">Next Steps: </w:t>
      </w:r>
      <w:r w:rsidR="00412969" w:rsidRPr="009F30F3">
        <w:rPr>
          <w:rFonts w:ascii="Cambria" w:hAnsi="Cambria"/>
          <w:b/>
          <w:bCs/>
          <w:i/>
          <w:iCs/>
          <w:sz w:val="24"/>
          <w:szCs w:val="24"/>
        </w:rPr>
        <w:t xml:space="preserve">Connecting </w:t>
      </w:r>
      <w:r w:rsidR="00CB4EA3" w:rsidRPr="009F30F3">
        <w:rPr>
          <w:rFonts w:ascii="Cambria" w:hAnsi="Cambria"/>
          <w:b/>
          <w:bCs/>
          <w:i/>
          <w:iCs/>
          <w:sz w:val="24"/>
          <w:szCs w:val="24"/>
        </w:rPr>
        <w:t>Remaining</w:t>
      </w:r>
      <w:r w:rsidR="00904BBA">
        <w:rPr>
          <w:rFonts w:ascii="Cambria" w:hAnsi="Cambria"/>
          <w:b/>
          <w:bCs/>
          <w:i/>
          <w:iCs/>
          <w:sz w:val="24"/>
          <w:szCs w:val="24"/>
        </w:rPr>
        <w:t xml:space="preserve"> Schools</w:t>
      </w:r>
      <w:r w:rsidR="00412969" w:rsidRPr="009F30F3">
        <w:rPr>
          <w:rFonts w:ascii="Cambria" w:hAnsi="Cambria"/>
          <w:b/>
          <w:bCs/>
          <w:i/>
          <w:iCs/>
          <w:sz w:val="24"/>
          <w:szCs w:val="24"/>
        </w:rPr>
        <w:t xml:space="preserve"> to Fiber</w:t>
      </w:r>
    </w:p>
    <w:p w:rsidR="00860D32" w:rsidRPr="009F30F3" w:rsidRDefault="00BD7474" w:rsidP="00BD7474">
      <w:pPr>
        <w:rPr>
          <w:rFonts w:ascii="Cambria" w:hAnsi="Cambria"/>
          <w:sz w:val="24"/>
          <w:szCs w:val="24"/>
        </w:rPr>
      </w:pPr>
      <w:r w:rsidRPr="009F30F3">
        <w:rPr>
          <w:rFonts w:ascii="Cambria" w:hAnsi="Cambria"/>
          <w:sz w:val="24"/>
          <w:szCs w:val="24"/>
        </w:rPr>
        <w:t xml:space="preserve">Despite </w:t>
      </w:r>
      <w:r w:rsidR="008B2F5E">
        <w:rPr>
          <w:rFonts w:ascii="Cambria" w:hAnsi="Cambria"/>
          <w:sz w:val="24"/>
          <w:szCs w:val="24"/>
        </w:rPr>
        <w:t>this recent success</w:t>
      </w:r>
      <w:r w:rsidR="006D59AB" w:rsidRPr="009F30F3">
        <w:rPr>
          <w:rFonts w:ascii="Cambria" w:hAnsi="Cambria"/>
          <w:sz w:val="24"/>
          <w:szCs w:val="24"/>
        </w:rPr>
        <w:t xml:space="preserve">, many </w:t>
      </w:r>
      <w:r w:rsidRPr="009F30F3">
        <w:rPr>
          <w:rFonts w:ascii="Cambria" w:hAnsi="Cambria"/>
          <w:sz w:val="24"/>
          <w:szCs w:val="24"/>
        </w:rPr>
        <w:t xml:space="preserve">schools </w:t>
      </w:r>
      <w:r w:rsidR="00101660" w:rsidRPr="009F30F3">
        <w:rPr>
          <w:rFonts w:ascii="Cambria" w:hAnsi="Cambria"/>
          <w:sz w:val="24"/>
          <w:szCs w:val="24"/>
        </w:rPr>
        <w:t xml:space="preserve">and libraries </w:t>
      </w:r>
      <w:r w:rsidRPr="009F30F3">
        <w:rPr>
          <w:rFonts w:ascii="Cambria" w:hAnsi="Cambria"/>
          <w:sz w:val="24"/>
          <w:szCs w:val="24"/>
        </w:rPr>
        <w:t>are not yet connected to fiber</w:t>
      </w:r>
      <w:r w:rsidR="00101660" w:rsidRPr="009F30F3">
        <w:rPr>
          <w:rFonts w:ascii="Cambria" w:hAnsi="Cambria"/>
          <w:sz w:val="24"/>
          <w:szCs w:val="24"/>
        </w:rPr>
        <w:t xml:space="preserve"> or other high-speed broadband services sufficient to meet the Commission’s targets</w:t>
      </w:r>
      <w:r w:rsidRPr="009F30F3">
        <w:rPr>
          <w:rFonts w:ascii="Cambria" w:hAnsi="Cambria"/>
          <w:sz w:val="24"/>
          <w:szCs w:val="24"/>
        </w:rPr>
        <w:t xml:space="preserve">.  For </w:t>
      </w:r>
      <w:r w:rsidR="00101660" w:rsidRPr="009F30F3">
        <w:rPr>
          <w:rFonts w:ascii="Cambria" w:hAnsi="Cambria"/>
          <w:sz w:val="24"/>
          <w:szCs w:val="24"/>
        </w:rPr>
        <w:t>applicants</w:t>
      </w:r>
      <w:r w:rsidRPr="009F30F3">
        <w:rPr>
          <w:rFonts w:ascii="Cambria" w:hAnsi="Cambria"/>
          <w:sz w:val="24"/>
          <w:szCs w:val="24"/>
        </w:rPr>
        <w:t xml:space="preserve"> with E-rate discount</w:t>
      </w:r>
      <w:r w:rsidR="00FE4C50" w:rsidRPr="009F30F3">
        <w:rPr>
          <w:rFonts w:ascii="Cambria" w:hAnsi="Cambria"/>
          <w:sz w:val="24"/>
          <w:szCs w:val="24"/>
        </w:rPr>
        <w:t>s</w:t>
      </w:r>
      <w:r w:rsidRPr="009F30F3">
        <w:rPr>
          <w:rFonts w:ascii="Cambria" w:hAnsi="Cambria"/>
          <w:sz w:val="24"/>
          <w:szCs w:val="24"/>
        </w:rPr>
        <w:t xml:space="preserve"> of 80 percent or greater, the </w:t>
      </w:r>
      <w:r w:rsidRPr="009F30F3">
        <w:rPr>
          <w:rFonts w:ascii="Cambria" w:hAnsi="Cambria"/>
          <w:i/>
          <w:iCs/>
          <w:sz w:val="24"/>
          <w:szCs w:val="24"/>
        </w:rPr>
        <w:t xml:space="preserve">Second E-rate Modernization Order </w:t>
      </w:r>
      <w:r w:rsidRPr="009F30F3">
        <w:rPr>
          <w:rFonts w:ascii="Cambria" w:hAnsi="Cambria"/>
          <w:sz w:val="24"/>
          <w:szCs w:val="24"/>
        </w:rPr>
        <w:t>offered</w:t>
      </w:r>
      <w:r w:rsidR="00FE4C50" w:rsidRPr="009F30F3">
        <w:rPr>
          <w:rFonts w:ascii="Cambria" w:hAnsi="Cambria"/>
          <w:sz w:val="24"/>
          <w:szCs w:val="24"/>
        </w:rPr>
        <w:t xml:space="preserve"> a </w:t>
      </w:r>
      <w:r w:rsidR="006D59AB" w:rsidRPr="009F30F3">
        <w:rPr>
          <w:rFonts w:ascii="Cambria" w:hAnsi="Cambria"/>
          <w:sz w:val="24"/>
          <w:szCs w:val="24"/>
        </w:rPr>
        <w:t>solution</w:t>
      </w:r>
      <w:r w:rsidRPr="009F30F3">
        <w:rPr>
          <w:rFonts w:ascii="Cambria" w:hAnsi="Cambria"/>
          <w:sz w:val="24"/>
          <w:szCs w:val="24"/>
        </w:rPr>
        <w:t>: E-rate will</w:t>
      </w:r>
      <w:r w:rsidR="00994CF3" w:rsidRPr="009F30F3">
        <w:rPr>
          <w:rFonts w:ascii="Cambria" w:hAnsi="Cambria"/>
          <w:sz w:val="24"/>
          <w:szCs w:val="24"/>
        </w:rPr>
        <w:t xml:space="preserve"> now</w:t>
      </w:r>
      <w:r w:rsidRPr="009F30F3">
        <w:rPr>
          <w:rFonts w:ascii="Cambria" w:hAnsi="Cambria"/>
          <w:sz w:val="24"/>
          <w:szCs w:val="24"/>
        </w:rPr>
        <w:t xml:space="preserve"> match state funding to eliminate all out-of-pocket special construction costs</w:t>
      </w:r>
      <w:r w:rsidR="00994CF3" w:rsidRPr="009F30F3">
        <w:rPr>
          <w:rFonts w:ascii="Cambria" w:hAnsi="Cambria"/>
          <w:sz w:val="24"/>
          <w:szCs w:val="24"/>
        </w:rPr>
        <w:t xml:space="preserve"> for </w:t>
      </w:r>
      <w:r w:rsidR="00101660" w:rsidRPr="009F30F3">
        <w:rPr>
          <w:rFonts w:ascii="Cambria" w:hAnsi="Cambria"/>
          <w:sz w:val="24"/>
          <w:szCs w:val="24"/>
        </w:rPr>
        <w:t>applicant</w:t>
      </w:r>
      <w:r w:rsidR="00994CF3" w:rsidRPr="009F30F3">
        <w:rPr>
          <w:rFonts w:ascii="Cambria" w:hAnsi="Cambria"/>
          <w:sz w:val="24"/>
          <w:szCs w:val="24"/>
        </w:rPr>
        <w:t>s</w:t>
      </w:r>
      <w:r w:rsidRPr="009F30F3">
        <w:rPr>
          <w:rFonts w:ascii="Cambria" w:hAnsi="Cambria"/>
          <w:sz w:val="24"/>
          <w:szCs w:val="24"/>
        </w:rPr>
        <w:t xml:space="preserve">.  However, there </w:t>
      </w:r>
      <w:r w:rsidR="009F712C">
        <w:rPr>
          <w:rFonts w:ascii="Cambria" w:hAnsi="Cambria"/>
          <w:sz w:val="24"/>
          <w:szCs w:val="24"/>
        </w:rPr>
        <w:t>are districts with</w:t>
      </w:r>
      <w:r w:rsidRPr="009F30F3">
        <w:rPr>
          <w:rFonts w:ascii="Cambria" w:hAnsi="Cambria"/>
          <w:sz w:val="24"/>
          <w:szCs w:val="24"/>
        </w:rPr>
        <w:t xml:space="preserve"> discount</w:t>
      </w:r>
      <w:r w:rsidR="00994CF3" w:rsidRPr="009F30F3">
        <w:rPr>
          <w:rFonts w:ascii="Cambria" w:hAnsi="Cambria"/>
          <w:sz w:val="24"/>
          <w:szCs w:val="24"/>
        </w:rPr>
        <w:t>s</w:t>
      </w:r>
      <w:r w:rsidRPr="009F30F3">
        <w:rPr>
          <w:rFonts w:ascii="Cambria" w:hAnsi="Cambria"/>
          <w:sz w:val="24"/>
          <w:szCs w:val="24"/>
        </w:rPr>
        <w:t xml:space="preserve"> below 80 percent </w:t>
      </w:r>
      <w:r w:rsidR="00994CF3" w:rsidRPr="009F30F3">
        <w:rPr>
          <w:rFonts w:ascii="Cambria" w:hAnsi="Cambria"/>
          <w:sz w:val="24"/>
          <w:szCs w:val="24"/>
        </w:rPr>
        <w:t>that cannot afford the</w:t>
      </w:r>
      <w:r w:rsidR="006D59AB" w:rsidRPr="009F30F3">
        <w:rPr>
          <w:rFonts w:ascii="Cambria" w:hAnsi="Cambria"/>
          <w:sz w:val="24"/>
          <w:szCs w:val="24"/>
        </w:rPr>
        <w:t xml:space="preserve"> </w:t>
      </w:r>
      <w:r w:rsidR="00994CF3" w:rsidRPr="009F30F3">
        <w:rPr>
          <w:rFonts w:ascii="Cambria" w:hAnsi="Cambria"/>
          <w:sz w:val="24"/>
          <w:szCs w:val="24"/>
        </w:rPr>
        <w:t xml:space="preserve">non-discount share of </w:t>
      </w:r>
      <w:r w:rsidRPr="009F30F3">
        <w:rPr>
          <w:rFonts w:ascii="Cambria" w:hAnsi="Cambria"/>
          <w:sz w:val="24"/>
          <w:szCs w:val="24"/>
        </w:rPr>
        <w:t>special construction</w:t>
      </w:r>
      <w:r w:rsidR="00994CF3" w:rsidRPr="009F30F3">
        <w:rPr>
          <w:rFonts w:ascii="Cambria" w:hAnsi="Cambria"/>
          <w:sz w:val="24"/>
          <w:szCs w:val="24"/>
        </w:rPr>
        <w:t xml:space="preserve"> costs</w:t>
      </w:r>
      <w:r w:rsidR="003934C6" w:rsidRPr="009F30F3">
        <w:rPr>
          <w:rFonts w:ascii="Cambria" w:hAnsi="Cambria"/>
          <w:sz w:val="24"/>
          <w:szCs w:val="24"/>
        </w:rPr>
        <w:t>.</w:t>
      </w:r>
      <w:r w:rsidR="00994E82" w:rsidRPr="009F30F3">
        <w:rPr>
          <w:rFonts w:ascii="Cambria" w:hAnsi="Cambria"/>
          <w:sz w:val="24"/>
          <w:szCs w:val="24"/>
        </w:rPr>
        <w:t xml:space="preserve"> </w:t>
      </w:r>
    </w:p>
    <w:p w:rsidR="00BD7474" w:rsidRPr="009F30F3" w:rsidRDefault="00994E82" w:rsidP="00BD7474">
      <w:pPr>
        <w:rPr>
          <w:rFonts w:ascii="Cambria" w:hAnsi="Cambria"/>
          <w:sz w:val="24"/>
          <w:szCs w:val="24"/>
        </w:rPr>
      </w:pPr>
      <w:r w:rsidRPr="009F30F3">
        <w:rPr>
          <w:rFonts w:ascii="Cambria" w:hAnsi="Cambria"/>
          <w:sz w:val="24"/>
          <w:szCs w:val="24"/>
        </w:rPr>
        <w:t>The table below illustrates out-of-pocket cost for school districts of different discount levels for a $1 million special construction project</w:t>
      </w:r>
      <w:r w:rsidR="00860D32" w:rsidRPr="009F30F3">
        <w:rPr>
          <w:rFonts w:ascii="Cambria" w:hAnsi="Cambria"/>
          <w:sz w:val="24"/>
          <w:szCs w:val="24"/>
        </w:rPr>
        <w:t>, presuming a state match is available</w:t>
      </w:r>
      <w:r w:rsidRPr="009F30F3">
        <w:rPr>
          <w:rFonts w:ascii="Cambria" w:hAnsi="Cambria"/>
          <w:sz w:val="24"/>
          <w:szCs w:val="24"/>
        </w:rPr>
        <w:t>.</w:t>
      </w:r>
      <w:r w:rsidR="00860D32" w:rsidRPr="009F30F3">
        <w:rPr>
          <w:rFonts w:ascii="Cambria" w:hAnsi="Cambria"/>
          <w:sz w:val="24"/>
          <w:szCs w:val="24"/>
        </w:rPr>
        <w:t xml:space="preserve">  As demonstrated by this example, the one-time special construction costs can be prohibitive for lower discount districts.</w:t>
      </w:r>
    </w:p>
    <w:p w:rsidR="00412969" w:rsidRPr="00904BBA" w:rsidRDefault="0014311D" w:rsidP="00904BBA">
      <w:pPr>
        <w:jc w:val="center"/>
        <w:rPr>
          <w:rFonts w:ascii="Cambria" w:hAnsi="Cambria"/>
          <w:b/>
          <w:sz w:val="24"/>
          <w:szCs w:val="24"/>
        </w:rPr>
      </w:pPr>
      <w:r>
        <w:rPr>
          <w:rFonts w:ascii="Cambria" w:hAnsi="Cambria"/>
          <w:b/>
          <w:sz w:val="24"/>
          <w:szCs w:val="24"/>
        </w:rPr>
        <w:lastRenderedPageBreak/>
        <w:t>Figure 4</w:t>
      </w:r>
      <w:r w:rsidR="00412969" w:rsidRPr="009F30F3">
        <w:rPr>
          <w:rFonts w:ascii="Cambria" w:hAnsi="Cambria"/>
          <w:b/>
          <w:sz w:val="24"/>
          <w:szCs w:val="24"/>
        </w:rPr>
        <w:t>: Cost Distribution for a $1 million Special Construction Project</w:t>
      </w:r>
    </w:p>
    <w:tbl>
      <w:tblPr>
        <w:tblStyle w:val="GridTable5Dark-Accent1"/>
        <w:tblW w:w="0" w:type="auto"/>
        <w:tblInd w:w="175" w:type="dxa"/>
        <w:tblLook w:val="04A0" w:firstRow="1" w:lastRow="0" w:firstColumn="1" w:lastColumn="0" w:noHBand="0" w:noVBand="1"/>
      </w:tblPr>
      <w:tblGrid>
        <w:gridCol w:w="1695"/>
        <w:gridCol w:w="1745"/>
        <w:gridCol w:w="1745"/>
        <w:gridCol w:w="1745"/>
        <w:gridCol w:w="2070"/>
      </w:tblGrid>
      <w:tr w:rsidR="00994E82" w:rsidRPr="009F30F3" w:rsidTr="0090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rsidR="00994E82" w:rsidRPr="009F30F3" w:rsidRDefault="00412969" w:rsidP="00994E82">
            <w:pPr>
              <w:rPr>
                <w:rFonts w:ascii="Cambria" w:hAnsi="Cambria"/>
                <w:sz w:val="24"/>
                <w:szCs w:val="24"/>
              </w:rPr>
            </w:pPr>
            <w:r w:rsidRPr="009F30F3">
              <w:rPr>
                <w:rFonts w:ascii="Cambria" w:hAnsi="Cambria"/>
                <w:sz w:val="24"/>
                <w:szCs w:val="24"/>
              </w:rPr>
              <w:t>E-rate</w:t>
            </w:r>
            <w:r w:rsidR="00994E82" w:rsidRPr="009F30F3">
              <w:rPr>
                <w:rFonts w:ascii="Cambria" w:hAnsi="Cambria"/>
                <w:sz w:val="24"/>
                <w:szCs w:val="24"/>
              </w:rPr>
              <w:t xml:space="preserve"> Discount</w:t>
            </w:r>
          </w:p>
        </w:tc>
        <w:tc>
          <w:tcPr>
            <w:tcW w:w="1745" w:type="dxa"/>
          </w:tcPr>
          <w:p w:rsidR="00994E82" w:rsidRPr="009F30F3" w:rsidRDefault="00994E82" w:rsidP="00412969">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 xml:space="preserve">E-rate </w:t>
            </w:r>
            <w:r w:rsidR="00412969" w:rsidRPr="009F30F3">
              <w:rPr>
                <w:rFonts w:ascii="Cambria" w:hAnsi="Cambria"/>
                <w:sz w:val="24"/>
                <w:szCs w:val="24"/>
              </w:rPr>
              <w:t>Funding</w:t>
            </w:r>
          </w:p>
        </w:tc>
        <w:tc>
          <w:tcPr>
            <w:tcW w:w="1745" w:type="dxa"/>
          </w:tcPr>
          <w:p w:rsidR="00994E82" w:rsidRPr="009F30F3" w:rsidRDefault="00994E82" w:rsidP="00994E82">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State Funding</w:t>
            </w:r>
          </w:p>
        </w:tc>
        <w:tc>
          <w:tcPr>
            <w:tcW w:w="1745" w:type="dxa"/>
          </w:tcPr>
          <w:p w:rsidR="00994E82" w:rsidRPr="009F30F3" w:rsidRDefault="00994E82" w:rsidP="00BD7474">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E-rate Match</w:t>
            </w:r>
          </w:p>
        </w:tc>
        <w:tc>
          <w:tcPr>
            <w:tcW w:w="2070" w:type="dxa"/>
          </w:tcPr>
          <w:p w:rsidR="00994E82" w:rsidRPr="009F30F3" w:rsidRDefault="00297513" w:rsidP="00BD7474">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 xml:space="preserve">Applicant </w:t>
            </w:r>
            <w:r w:rsidR="00994E82" w:rsidRPr="009F30F3">
              <w:rPr>
                <w:rFonts w:ascii="Cambria" w:hAnsi="Cambria"/>
                <w:sz w:val="24"/>
                <w:szCs w:val="24"/>
              </w:rPr>
              <w:t>Cost</w:t>
            </w:r>
          </w:p>
        </w:tc>
      </w:tr>
      <w:tr w:rsidR="00994E82" w:rsidRPr="009F30F3" w:rsidTr="00904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rsidR="00994E82" w:rsidRPr="009F30F3" w:rsidRDefault="00994E82" w:rsidP="00BD7474">
            <w:pPr>
              <w:rPr>
                <w:rFonts w:ascii="Cambria" w:hAnsi="Cambria"/>
                <w:sz w:val="24"/>
                <w:szCs w:val="24"/>
              </w:rPr>
            </w:pPr>
            <w:r w:rsidRPr="009F30F3">
              <w:rPr>
                <w:rFonts w:ascii="Cambria" w:hAnsi="Cambria"/>
                <w:sz w:val="24"/>
                <w:szCs w:val="24"/>
              </w:rPr>
              <w:t>90%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$900,000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$50,000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$50,000</w:t>
            </w:r>
          </w:p>
        </w:tc>
        <w:tc>
          <w:tcPr>
            <w:tcW w:w="2070"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$0</w:t>
            </w:r>
          </w:p>
        </w:tc>
      </w:tr>
      <w:tr w:rsidR="00994E82" w:rsidRPr="009F30F3" w:rsidTr="00904BBA">
        <w:tc>
          <w:tcPr>
            <w:cnfStyle w:val="001000000000" w:firstRow="0" w:lastRow="0" w:firstColumn="1" w:lastColumn="0" w:oddVBand="0" w:evenVBand="0" w:oddHBand="0" w:evenHBand="0" w:firstRowFirstColumn="0" w:firstRowLastColumn="0" w:lastRowFirstColumn="0" w:lastRowLastColumn="0"/>
            <w:tcW w:w="1695" w:type="dxa"/>
          </w:tcPr>
          <w:p w:rsidR="00994E82" w:rsidRPr="009F30F3" w:rsidRDefault="00994E82" w:rsidP="00BD7474">
            <w:pPr>
              <w:rPr>
                <w:rFonts w:ascii="Cambria" w:hAnsi="Cambria"/>
                <w:sz w:val="24"/>
                <w:szCs w:val="24"/>
              </w:rPr>
            </w:pPr>
            <w:r w:rsidRPr="009F30F3">
              <w:rPr>
                <w:rFonts w:ascii="Cambria" w:hAnsi="Cambria"/>
                <w:sz w:val="24"/>
                <w:szCs w:val="24"/>
              </w:rPr>
              <w:t>80%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$800,000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2070"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$0</w:t>
            </w:r>
          </w:p>
        </w:tc>
      </w:tr>
      <w:tr w:rsidR="00994E82" w:rsidRPr="009F30F3" w:rsidTr="00904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rsidR="00994E82" w:rsidRPr="009F30F3" w:rsidRDefault="00994E82" w:rsidP="00BD7474">
            <w:pPr>
              <w:rPr>
                <w:rFonts w:ascii="Cambria" w:hAnsi="Cambria"/>
                <w:sz w:val="24"/>
                <w:szCs w:val="24"/>
              </w:rPr>
            </w:pPr>
            <w:r w:rsidRPr="009F30F3">
              <w:rPr>
                <w:rFonts w:ascii="Cambria" w:hAnsi="Cambria"/>
                <w:sz w:val="24"/>
                <w:szCs w:val="24"/>
              </w:rPr>
              <w:t>70%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$700,000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2070"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r>
      <w:tr w:rsidR="00994E82" w:rsidRPr="009F30F3" w:rsidTr="00904BBA">
        <w:tc>
          <w:tcPr>
            <w:cnfStyle w:val="001000000000" w:firstRow="0" w:lastRow="0" w:firstColumn="1" w:lastColumn="0" w:oddVBand="0" w:evenVBand="0" w:oddHBand="0" w:evenHBand="0" w:firstRowFirstColumn="0" w:firstRowLastColumn="0" w:lastRowFirstColumn="0" w:lastRowLastColumn="0"/>
            <w:tcW w:w="1695" w:type="dxa"/>
          </w:tcPr>
          <w:p w:rsidR="00994E82" w:rsidRPr="009F30F3" w:rsidRDefault="00994E82" w:rsidP="00BD7474">
            <w:pPr>
              <w:rPr>
                <w:rFonts w:ascii="Cambria" w:hAnsi="Cambria"/>
                <w:sz w:val="24"/>
                <w:szCs w:val="24"/>
              </w:rPr>
            </w:pPr>
            <w:r w:rsidRPr="009F30F3">
              <w:rPr>
                <w:rFonts w:ascii="Cambria" w:hAnsi="Cambria"/>
                <w:sz w:val="24"/>
                <w:szCs w:val="24"/>
              </w:rPr>
              <w:t>60%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$600,000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2070"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$200,000</w:t>
            </w:r>
          </w:p>
        </w:tc>
      </w:tr>
      <w:tr w:rsidR="00994E82" w:rsidRPr="009F30F3" w:rsidTr="00904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rsidR="00994E82" w:rsidRPr="009F30F3" w:rsidRDefault="00994E82" w:rsidP="00BD7474">
            <w:pPr>
              <w:rPr>
                <w:rFonts w:ascii="Cambria" w:hAnsi="Cambria"/>
                <w:sz w:val="24"/>
                <w:szCs w:val="24"/>
              </w:rPr>
            </w:pPr>
            <w:r w:rsidRPr="009F30F3">
              <w:rPr>
                <w:rFonts w:ascii="Cambria" w:hAnsi="Cambria"/>
                <w:sz w:val="24"/>
                <w:szCs w:val="24"/>
              </w:rPr>
              <w:t>50%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$500,000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1745"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2070" w:type="dxa"/>
          </w:tcPr>
          <w:p w:rsidR="00994E82" w:rsidRPr="009F30F3" w:rsidRDefault="00994E82" w:rsidP="00BD747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F30F3">
              <w:rPr>
                <w:rFonts w:ascii="Cambria" w:hAnsi="Cambria"/>
                <w:sz w:val="24"/>
                <w:szCs w:val="24"/>
              </w:rPr>
              <w:t>$300,000</w:t>
            </w:r>
          </w:p>
        </w:tc>
      </w:tr>
      <w:tr w:rsidR="00994E82" w:rsidRPr="009F30F3" w:rsidTr="00904BBA">
        <w:tc>
          <w:tcPr>
            <w:cnfStyle w:val="001000000000" w:firstRow="0" w:lastRow="0" w:firstColumn="1" w:lastColumn="0" w:oddVBand="0" w:evenVBand="0" w:oddHBand="0" w:evenHBand="0" w:firstRowFirstColumn="0" w:firstRowLastColumn="0" w:lastRowFirstColumn="0" w:lastRowLastColumn="0"/>
            <w:tcW w:w="1695" w:type="dxa"/>
          </w:tcPr>
          <w:p w:rsidR="00994E82" w:rsidRPr="009F30F3" w:rsidRDefault="00994E82" w:rsidP="00BD7474">
            <w:pPr>
              <w:rPr>
                <w:rFonts w:ascii="Cambria" w:hAnsi="Cambria"/>
                <w:sz w:val="24"/>
                <w:szCs w:val="24"/>
              </w:rPr>
            </w:pPr>
            <w:r w:rsidRPr="009F30F3">
              <w:rPr>
                <w:rFonts w:ascii="Cambria" w:hAnsi="Cambria"/>
                <w:sz w:val="24"/>
                <w:szCs w:val="24"/>
              </w:rPr>
              <w:t>40%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$400,000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1745"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$100,000</w:t>
            </w:r>
          </w:p>
        </w:tc>
        <w:tc>
          <w:tcPr>
            <w:tcW w:w="2070" w:type="dxa"/>
          </w:tcPr>
          <w:p w:rsidR="00994E82" w:rsidRPr="009F30F3" w:rsidRDefault="00994E82" w:rsidP="00BD747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F30F3">
              <w:rPr>
                <w:rFonts w:ascii="Cambria" w:hAnsi="Cambria"/>
                <w:sz w:val="24"/>
                <w:szCs w:val="24"/>
              </w:rPr>
              <w:t>$400,000</w:t>
            </w:r>
          </w:p>
        </w:tc>
      </w:tr>
    </w:tbl>
    <w:p w:rsidR="00F555DF" w:rsidRDefault="00F555DF" w:rsidP="00BD7474">
      <w:pPr>
        <w:rPr>
          <w:rFonts w:ascii="Cambria" w:hAnsi="Cambria"/>
          <w:sz w:val="24"/>
          <w:szCs w:val="24"/>
        </w:rPr>
      </w:pPr>
    </w:p>
    <w:p w:rsidR="00D04BE9" w:rsidRPr="009F30F3" w:rsidRDefault="00BD7474" w:rsidP="00BD7474">
      <w:pPr>
        <w:rPr>
          <w:rFonts w:ascii="Cambria" w:hAnsi="Cambria"/>
          <w:sz w:val="24"/>
          <w:szCs w:val="24"/>
        </w:rPr>
      </w:pPr>
      <w:r w:rsidRPr="009F30F3">
        <w:rPr>
          <w:rFonts w:ascii="Cambria" w:hAnsi="Cambria"/>
          <w:sz w:val="24"/>
          <w:szCs w:val="24"/>
        </w:rPr>
        <w:t xml:space="preserve">Recent </w:t>
      </w:r>
      <w:r w:rsidR="003934C6" w:rsidRPr="009F30F3">
        <w:rPr>
          <w:rFonts w:ascii="Cambria" w:hAnsi="Cambria"/>
          <w:sz w:val="24"/>
          <w:szCs w:val="24"/>
        </w:rPr>
        <w:t xml:space="preserve">ESH </w:t>
      </w:r>
      <w:r w:rsidRPr="009F30F3">
        <w:rPr>
          <w:rFonts w:ascii="Cambria" w:hAnsi="Cambria"/>
          <w:sz w:val="24"/>
          <w:szCs w:val="24"/>
        </w:rPr>
        <w:t xml:space="preserve">analysis </w:t>
      </w:r>
      <w:r w:rsidR="00860D32" w:rsidRPr="009F30F3">
        <w:rPr>
          <w:rFonts w:ascii="Cambria" w:hAnsi="Cambria"/>
          <w:sz w:val="24"/>
          <w:szCs w:val="24"/>
        </w:rPr>
        <w:t xml:space="preserve">concluded that approximately half of the schools </w:t>
      </w:r>
      <w:r w:rsidR="00FF35EC">
        <w:rPr>
          <w:rFonts w:ascii="Cambria" w:hAnsi="Cambria"/>
          <w:sz w:val="24"/>
          <w:szCs w:val="24"/>
        </w:rPr>
        <w:t>that</w:t>
      </w:r>
      <w:r w:rsidRPr="009F30F3">
        <w:rPr>
          <w:rFonts w:ascii="Cambria" w:hAnsi="Cambria"/>
          <w:sz w:val="24"/>
          <w:szCs w:val="24"/>
        </w:rPr>
        <w:t xml:space="preserve"> lack fiber connections are part of districts with an E-rate discount of </w:t>
      </w:r>
      <w:r w:rsidR="006E52B4">
        <w:rPr>
          <w:rFonts w:ascii="Cambria" w:hAnsi="Cambria"/>
          <w:sz w:val="24"/>
          <w:szCs w:val="24"/>
        </w:rPr>
        <w:t xml:space="preserve">less than </w:t>
      </w:r>
      <w:r w:rsidRPr="009F30F3">
        <w:rPr>
          <w:rFonts w:ascii="Cambria" w:hAnsi="Cambria"/>
          <w:sz w:val="24"/>
          <w:szCs w:val="24"/>
        </w:rPr>
        <w:t xml:space="preserve">80 percent </w:t>
      </w:r>
      <w:r w:rsidR="009F712C">
        <w:rPr>
          <w:rFonts w:ascii="Cambria" w:hAnsi="Cambria"/>
          <w:sz w:val="24"/>
          <w:szCs w:val="24"/>
        </w:rPr>
        <w:t xml:space="preserve">and therefore </w:t>
      </w:r>
      <w:r w:rsidR="006E52B4">
        <w:rPr>
          <w:rFonts w:ascii="Cambria" w:hAnsi="Cambria"/>
          <w:sz w:val="24"/>
          <w:szCs w:val="24"/>
        </w:rPr>
        <w:t xml:space="preserve">cannot eliminate </w:t>
      </w:r>
      <w:r w:rsidR="00176CF2" w:rsidRPr="009F30F3">
        <w:rPr>
          <w:rFonts w:ascii="Cambria" w:hAnsi="Cambria"/>
          <w:sz w:val="24"/>
          <w:szCs w:val="24"/>
        </w:rPr>
        <w:t xml:space="preserve">out-of-pocket </w:t>
      </w:r>
      <w:r w:rsidR="006D59AB" w:rsidRPr="009F30F3">
        <w:rPr>
          <w:rFonts w:ascii="Cambria" w:hAnsi="Cambria"/>
          <w:sz w:val="24"/>
          <w:szCs w:val="24"/>
        </w:rPr>
        <w:t xml:space="preserve">special construction costs </w:t>
      </w:r>
      <w:r w:rsidR="006E52B4">
        <w:rPr>
          <w:rFonts w:ascii="Cambria" w:hAnsi="Cambria"/>
          <w:sz w:val="24"/>
          <w:szCs w:val="24"/>
        </w:rPr>
        <w:t>even with</w:t>
      </w:r>
      <w:r w:rsidR="006D59AB" w:rsidRPr="009F30F3">
        <w:rPr>
          <w:rFonts w:ascii="Cambria" w:hAnsi="Cambria"/>
          <w:sz w:val="24"/>
          <w:szCs w:val="24"/>
        </w:rPr>
        <w:t xml:space="preserve"> a state match</w:t>
      </w:r>
      <w:r w:rsidRPr="009F30F3">
        <w:rPr>
          <w:rFonts w:ascii="Cambria" w:hAnsi="Cambria"/>
          <w:sz w:val="24"/>
          <w:szCs w:val="24"/>
        </w:rPr>
        <w:t>.</w:t>
      </w:r>
      <w:r w:rsidR="00E2793A">
        <w:rPr>
          <w:rStyle w:val="FootnoteReference"/>
          <w:rFonts w:ascii="Cambria" w:hAnsi="Cambria"/>
          <w:sz w:val="24"/>
          <w:szCs w:val="24"/>
        </w:rPr>
        <w:footnoteReference w:id="20"/>
      </w:r>
      <w:r w:rsidR="00D04BE9" w:rsidRPr="009F30F3">
        <w:rPr>
          <w:rFonts w:ascii="Cambria" w:hAnsi="Cambria"/>
          <w:sz w:val="24"/>
          <w:szCs w:val="24"/>
        </w:rPr>
        <w:t xml:space="preserve">  </w:t>
      </w:r>
      <w:r w:rsidR="006E52B4">
        <w:rPr>
          <w:rFonts w:ascii="Cambria" w:hAnsi="Cambria"/>
          <w:sz w:val="24"/>
          <w:szCs w:val="24"/>
        </w:rPr>
        <w:t xml:space="preserve">Further </w:t>
      </w:r>
      <w:r w:rsidRPr="009F30F3">
        <w:rPr>
          <w:rFonts w:ascii="Cambria" w:hAnsi="Cambria"/>
          <w:sz w:val="24"/>
          <w:szCs w:val="24"/>
        </w:rPr>
        <w:t xml:space="preserve">reforms </w:t>
      </w:r>
      <w:r w:rsidR="00D04BE9" w:rsidRPr="009F30F3">
        <w:rPr>
          <w:rFonts w:ascii="Cambria" w:hAnsi="Cambria"/>
          <w:sz w:val="24"/>
          <w:szCs w:val="24"/>
        </w:rPr>
        <w:t xml:space="preserve">may be necessary </w:t>
      </w:r>
      <w:r w:rsidRPr="009F30F3">
        <w:rPr>
          <w:rFonts w:ascii="Cambria" w:hAnsi="Cambria"/>
          <w:sz w:val="24"/>
          <w:szCs w:val="24"/>
        </w:rPr>
        <w:t xml:space="preserve">to connect </w:t>
      </w:r>
      <w:r w:rsidR="00497D5B" w:rsidRPr="009F30F3">
        <w:rPr>
          <w:rFonts w:ascii="Cambria" w:hAnsi="Cambria"/>
          <w:sz w:val="24"/>
          <w:szCs w:val="24"/>
        </w:rPr>
        <w:t xml:space="preserve">these </w:t>
      </w:r>
      <w:r w:rsidR="00D04BE9" w:rsidRPr="009F30F3">
        <w:rPr>
          <w:rFonts w:ascii="Cambria" w:hAnsi="Cambria"/>
          <w:sz w:val="24"/>
          <w:szCs w:val="24"/>
        </w:rPr>
        <w:t>remaining</w:t>
      </w:r>
      <w:r w:rsidR="00497D5B" w:rsidRPr="009F30F3">
        <w:rPr>
          <w:rFonts w:ascii="Cambria" w:hAnsi="Cambria"/>
          <w:sz w:val="24"/>
          <w:szCs w:val="24"/>
        </w:rPr>
        <w:t xml:space="preserve"> </w:t>
      </w:r>
      <w:r w:rsidR="00FF35EC">
        <w:rPr>
          <w:rFonts w:ascii="Cambria" w:hAnsi="Cambria"/>
          <w:sz w:val="24"/>
          <w:szCs w:val="24"/>
        </w:rPr>
        <w:t>school</w:t>
      </w:r>
      <w:r w:rsidR="00A96359">
        <w:rPr>
          <w:rFonts w:ascii="Cambria" w:hAnsi="Cambria"/>
          <w:sz w:val="24"/>
          <w:szCs w:val="24"/>
        </w:rPr>
        <w:t>s</w:t>
      </w:r>
      <w:r w:rsidR="006D59AB" w:rsidRPr="009F30F3">
        <w:rPr>
          <w:rFonts w:ascii="Cambria" w:hAnsi="Cambria"/>
          <w:sz w:val="24"/>
          <w:szCs w:val="24"/>
        </w:rPr>
        <w:t xml:space="preserve"> </w:t>
      </w:r>
      <w:r w:rsidR="00497D5B" w:rsidRPr="009F30F3">
        <w:rPr>
          <w:rFonts w:ascii="Cambria" w:hAnsi="Cambria"/>
          <w:sz w:val="24"/>
          <w:szCs w:val="24"/>
        </w:rPr>
        <w:t>to</w:t>
      </w:r>
      <w:r w:rsidRPr="009F30F3">
        <w:rPr>
          <w:rFonts w:ascii="Cambria" w:hAnsi="Cambria"/>
          <w:sz w:val="24"/>
          <w:szCs w:val="24"/>
        </w:rPr>
        <w:t xml:space="preserve"> fiber.  </w:t>
      </w:r>
    </w:p>
    <w:p w:rsidR="00BD7474" w:rsidRPr="009F30F3" w:rsidRDefault="00BD7474" w:rsidP="00BD7474">
      <w:pPr>
        <w:rPr>
          <w:rFonts w:ascii="Cambria" w:hAnsi="Cambria"/>
          <w:sz w:val="24"/>
          <w:szCs w:val="24"/>
        </w:rPr>
      </w:pPr>
      <w:r w:rsidRPr="009F30F3">
        <w:rPr>
          <w:rFonts w:ascii="Cambria" w:hAnsi="Cambria"/>
          <w:sz w:val="24"/>
          <w:szCs w:val="24"/>
        </w:rPr>
        <w:t xml:space="preserve">ESH </w:t>
      </w:r>
      <w:r w:rsidR="00E25847">
        <w:rPr>
          <w:rFonts w:ascii="Cambria" w:hAnsi="Cambria"/>
          <w:sz w:val="24"/>
          <w:szCs w:val="24"/>
        </w:rPr>
        <w:t xml:space="preserve">and a bipartisan group of governors have </w:t>
      </w:r>
      <w:r w:rsidRPr="009F30F3">
        <w:rPr>
          <w:rFonts w:ascii="Cambria" w:hAnsi="Cambria"/>
          <w:sz w:val="24"/>
          <w:szCs w:val="24"/>
        </w:rPr>
        <w:t>recommend</w:t>
      </w:r>
      <w:r w:rsidR="00E25847">
        <w:rPr>
          <w:rFonts w:ascii="Cambria" w:hAnsi="Cambria"/>
          <w:sz w:val="24"/>
          <w:szCs w:val="24"/>
        </w:rPr>
        <w:t>ed</w:t>
      </w:r>
      <w:r w:rsidRPr="009F30F3">
        <w:rPr>
          <w:rFonts w:ascii="Cambria" w:hAnsi="Cambria"/>
          <w:sz w:val="24"/>
          <w:szCs w:val="24"/>
        </w:rPr>
        <w:t xml:space="preserve"> that the Commission provide a 90 percent E-rate discount for special construction costs to all schools that currently lack </w:t>
      </w:r>
      <w:r w:rsidR="00497D5B" w:rsidRPr="009F30F3">
        <w:rPr>
          <w:rFonts w:ascii="Cambria" w:hAnsi="Cambria"/>
          <w:sz w:val="24"/>
          <w:szCs w:val="24"/>
        </w:rPr>
        <w:t>fiber</w:t>
      </w:r>
      <w:r w:rsidRPr="009F30F3">
        <w:rPr>
          <w:rFonts w:ascii="Cambria" w:hAnsi="Cambria"/>
          <w:sz w:val="24"/>
          <w:szCs w:val="24"/>
        </w:rPr>
        <w:t xml:space="preserve"> connections when the state provides </w:t>
      </w:r>
      <w:r w:rsidR="00497D5B" w:rsidRPr="009F30F3">
        <w:rPr>
          <w:rFonts w:ascii="Cambria" w:hAnsi="Cambria"/>
          <w:sz w:val="24"/>
          <w:szCs w:val="24"/>
        </w:rPr>
        <w:t xml:space="preserve">a </w:t>
      </w:r>
      <w:r w:rsidRPr="009F30F3">
        <w:rPr>
          <w:rFonts w:ascii="Cambria" w:hAnsi="Cambria"/>
          <w:sz w:val="24"/>
          <w:szCs w:val="24"/>
        </w:rPr>
        <w:t xml:space="preserve">ten percent </w:t>
      </w:r>
      <w:r w:rsidR="00497D5B" w:rsidRPr="009F30F3">
        <w:rPr>
          <w:rFonts w:ascii="Cambria" w:hAnsi="Cambria"/>
          <w:sz w:val="24"/>
          <w:szCs w:val="24"/>
        </w:rPr>
        <w:t>match</w:t>
      </w:r>
      <w:r w:rsidRPr="009F30F3">
        <w:rPr>
          <w:rFonts w:ascii="Cambria" w:hAnsi="Cambria"/>
          <w:sz w:val="24"/>
          <w:szCs w:val="24"/>
        </w:rPr>
        <w:t>.</w:t>
      </w:r>
      <w:r w:rsidRPr="009F30F3">
        <w:rPr>
          <w:rStyle w:val="FootnoteReference"/>
          <w:rFonts w:ascii="Cambria" w:hAnsi="Cambria"/>
          <w:sz w:val="24"/>
          <w:szCs w:val="24"/>
        </w:rPr>
        <w:footnoteReference w:id="21"/>
      </w:r>
      <w:r w:rsidRPr="009F30F3">
        <w:rPr>
          <w:rFonts w:ascii="Cambria" w:hAnsi="Cambria"/>
          <w:sz w:val="24"/>
          <w:szCs w:val="24"/>
        </w:rPr>
        <w:t xml:space="preserve">  ESH’s analysis concluded that the additional cost to E-rate, assuming state matching funds, would be </w:t>
      </w:r>
      <w:r w:rsidR="00CB4EA3" w:rsidRPr="009F30F3">
        <w:rPr>
          <w:rFonts w:ascii="Cambria" w:hAnsi="Cambria"/>
          <w:sz w:val="24"/>
          <w:szCs w:val="24"/>
        </w:rPr>
        <w:t xml:space="preserve">approximately </w:t>
      </w:r>
      <w:r w:rsidRPr="009F30F3">
        <w:rPr>
          <w:rFonts w:ascii="Cambria" w:hAnsi="Cambria"/>
          <w:sz w:val="24"/>
          <w:szCs w:val="24"/>
        </w:rPr>
        <w:t xml:space="preserve">$129 million or just over $30 million per year over four years.  </w:t>
      </w:r>
      <w:r w:rsidR="005E528A" w:rsidRPr="009F30F3">
        <w:rPr>
          <w:rFonts w:ascii="Cambria" w:hAnsi="Cambria"/>
          <w:sz w:val="24"/>
          <w:szCs w:val="24"/>
        </w:rPr>
        <w:t xml:space="preserve">ESH notes that this </w:t>
      </w:r>
      <w:r w:rsidRPr="009F30F3">
        <w:rPr>
          <w:rFonts w:ascii="Cambria" w:hAnsi="Cambria"/>
          <w:sz w:val="24"/>
          <w:szCs w:val="24"/>
        </w:rPr>
        <w:t>proposal would directly address the urban/rural connectivity gap, with over half of the additional funding going to rural or small town districts.</w:t>
      </w:r>
    </w:p>
    <w:p w:rsidR="00BD7474" w:rsidRPr="009F30F3" w:rsidRDefault="00BD7474" w:rsidP="00BD7474">
      <w:pPr>
        <w:rPr>
          <w:rFonts w:ascii="Cambria" w:hAnsi="Cambria"/>
          <w:sz w:val="24"/>
          <w:szCs w:val="24"/>
        </w:rPr>
      </w:pPr>
      <w:r w:rsidRPr="009F30F3">
        <w:rPr>
          <w:rFonts w:ascii="Cambria" w:hAnsi="Cambria"/>
          <w:sz w:val="24"/>
          <w:szCs w:val="24"/>
        </w:rPr>
        <w:t>ESH and the three governors also proposed that the Commission extend the temporary suspension of USAC’s multi-</w:t>
      </w:r>
      <w:r w:rsidR="0038264C">
        <w:rPr>
          <w:rFonts w:ascii="Cambria" w:hAnsi="Cambria"/>
          <w:sz w:val="24"/>
          <w:szCs w:val="24"/>
        </w:rPr>
        <w:t xml:space="preserve">year amortization policy for </w:t>
      </w:r>
      <w:r w:rsidRPr="009F30F3">
        <w:rPr>
          <w:rFonts w:ascii="Cambria" w:hAnsi="Cambria"/>
          <w:sz w:val="24"/>
          <w:szCs w:val="24"/>
        </w:rPr>
        <w:t>two years through funding year 2020, explaining that an extension would give states and school districts additional time to approve state matching funds and develop plans for special construction projects.</w:t>
      </w:r>
    </w:p>
    <w:p w:rsidR="00C86AC2" w:rsidRPr="009F30F3" w:rsidRDefault="001A5BC6">
      <w:pPr>
        <w:pStyle w:val="ListParagraph"/>
        <w:numPr>
          <w:ilvl w:val="0"/>
          <w:numId w:val="9"/>
        </w:numPr>
        <w:jc w:val="center"/>
        <w:rPr>
          <w:rFonts w:ascii="Cambria" w:hAnsi="Cambria"/>
          <w:b/>
          <w:bCs/>
          <w:sz w:val="24"/>
          <w:szCs w:val="24"/>
        </w:rPr>
      </w:pPr>
      <w:r w:rsidRPr="009F30F3">
        <w:rPr>
          <w:rFonts w:ascii="Cambria" w:hAnsi="Cambria"/>
          <w:b/>
          <w:bCs/>
          <w:sz w:val="24"/>
          <w:szCs w:val="24"/>
        </w:rPr>
        <w:t>Financial and Programmatic Reforms</w:t>
      </w:r>
    </w:p>
    <w:p w:rsidR="003F4916" w:rsidRPr="009F30F3" w:rsidRDefault="003F4916">
      <w:pPr>
        <w:rPr>
          <w:rFonts w:ascii="Cambria" w:hAnsi="Cambria"/>
          <w:b/>
          <w:bCs/>
          <w:i/>
          <w:iCs/>
          <w:sz w:val="24"/>
          <w:szCs w:val="24"/>
        </w:rPr>
      </w:pPr>
      <w:r w:rsidRPr="009F30F3">
        <w:rPr>
          <w:rFonts w:ascii="Cambria" w:hAnsi="Cambria"/>
          <w:b/>
          <w:bCs/>
          <w:i/>
          <w:iCs/>
          <w:sz w:val="24"/>
          <w:szCs w:val="24"/>
        </w:rPr>
        <w:t>Background</w:t>
      </w:r>
    </w:p>
    <w:p w:rsidR="00701056" w:rsidRPr="009F30F3" w:rsidRDefault="00665128" w:rsidP="005410B7">
      <w:pPr>
        <w:rPr>
          <w:rFonts w:ascii="Cambria" w:hAnsi="Cambria"/>
          <w:sz w:val="24"/>
          <w:szCs w:val="24"/>
        </w:rPr>
      </w:pPr>
      <w:r w:rsidRPr="009F30F3">
        <w:rPr>
          <w:rFonts w:ascii="Cambria" w:hAnsi="Cambria"/>
          <w:sz w:val="24"/>
          <w:szCs w:val="24"/>
        </w:rPr>
        <w:t>T</w:t>
      </w:r>
      <w:r w:rsidR="00D536BD" w:rsidRPr="009F30F3">
        <w:rPr>
          <w:rFonts w:ascii="Cambria" w:hAnsi="Cambria"/>
          <w:sz w:val="24"/>
          <w:szCs w:val="24"/>
        </w:rPr>
        <w:t>he Commission adopted</w:t>
      </w:r>
      <w:r w:rsidR="007509EA" w:rsidRPr="009F30F3">
        <w:rPr>
          <w:rFonts w:ascii="Cambria" w:hAnsi="Cambria"/>
          <w:sz w:val="24"/>
          <w:szCs w:val="24"/>
        </w:rPr>
        <w:t xml:space="preserve"> the </w:t>
      </w:r>
      <w:r w:rsidR="007509EA" w:rsidRPr="009F30F3">
        <w:rPr>
          <w:rFonts w:ascii="Cambria" w:hAnsi="Cambria"/>
          <w:i/>
          <w:iCs/>
          <w:sz w:val="24"/>
          <w:szCs w:val="24"/>
        </w:rPr>
        <w:t xml:space="preserve">E-rate Modernization Orders </w:t>
      </w:r>
      <w:r w:rsidR="007509EA" w:rsidRPr="009F30F3">
        <w:rPr>
          <w:rFonts w:ascii="Cambria" w:hAnsi="Cambria"/>
          <w:sz w:val="24"/>
          <w:szCs w:val="24"/>
        </w:rPr>
        <w:t xml:space="preserve">to ensure the financial stability and sustainability of the E-rate program so that </w:t>
      </w:r>
      <w:r w:rsidR="00701056" w:rsidRPr="009F30F3">
        <w:rPr>
          <w:rFonts w:ascii="Cambria" w:hAnsi="Cambria"/>
          <w:sz w:val="24"/>
          <w:szCs w:val="24"/>
        </w:rPr>
        <w:t>available funding</w:t>
      </w:r>
      <w:r w:rsidR="007509EA" w:rsidRPr="009F30F3">
        <w:rPr>
          <w:rFonts w:ascii="Cambria" w:hAnsi="Cambria"/>
          <w:sz w:val="24"/>
          <w:szCs w:val="24"/>
        </w:rPr>
        <w:t xml:space="preserve"> could sufficiently support all eligible funding requests as the demands of modern digital learning continue to grow.  </w:t>
      </w:r>
    </w:p>
    <w:p w:rsidR="009107F1" w:rsidRPr="009F30F3" w:rsidRDefault="00B10187" w:rsidP="005410B7">
      <w:pPr>
        <w:rPr>
          <w:rFonts w:ascii="Cambria" w:hAnsi="Cambria"/>
          <w:sz w:val="24"/>
          <w:szCs w:val="24"/>
        </w:rPr>
      </w:pPr>
      <w:r>
        <w:rPr>
          <w:rFonts w:ascii="Cambria" w:hAnsi="Cambria"/>
          <w:sz w:val="24"/>
          <w:szCs w:val="24"/>
        </w:rPr>
        <w:lastRenderedPageBreak/>
        <w:t>F</w:t>
      </w:r>
      <w:r w:rsidR="002E57A5" w:rsidRPr="009F30F3">
        <w:rPr>
          <w:rFonts w:ascii="Cambria" w:hAnsi="Cambria"/>
          <w:sz w:val="24"/>
          <w:szCs w:val="24"/>
        </w:rPr>
        <w:t>unding requests had far outpaced</w:t>
      </w:r>
      <w:r w:rsidR="009107F1" w:rsidRPr="009F30F3">
        <w:rPr>
          <w:rFonts w:ascii="Cambria" w:hAnsi="Cambria"/>
          <w:sz w:val="24"/>
          <w:szCs w:val="24"/>
        </w:rPr>
        <w:t xml:space="preserve"> available funding</w:t>
      </w:r>
      <w:r w:rsidR="00C70BE8" w:rsidRPr="009F30F3">
        <w:rPr>
          <w:rStyle w:val="FootnoteReference"/>
          <w:rFonts w:ascii="Cambria" w:hAnsi="Cambria"/>
          <w:sz w:val="24"/>
          <w:szCs w:val="24"/>
        </w:rPr>
        <w:footnoteReference w:id="22"/>
      </w:r>
      <w:r w:rsidR="009107F1" w:rsidRPr="009F30F3">
        <w:rPr>
          <w:rFonts w:ascii="Cambria" w:hAnsi="Cambria"/>
          <w:sz w:val="24"/>
          <w:szCs w:val="24"/>
        </w:rPr>
        <w:t xml:space="preserve"> in the years leading up to E-rate modernization, driven primarily by increasing demand for bandwidth and Wi</w:t>
      </w:r>
      <w:r w:rsidR="00F52274" w:rsidRPr="009F30F3">
        <w:rPr>
          <w:rFonts w:ascii="Cambria" w:hAnsi="Cambria"/>
          <w:sz w:val="24"/>
          <w:szCs w:val="24"/>
        </w:rPr>
        <w:t>-</w:t>
      </w:r>
      <w:r w:rsidR="009107F1" w:rsidRPr="009F30F3">
        <w:rPr>
          <w:rFonts w:ascii="Cambria" w:hAnsi="Cambria"/>
          <w:sz w:val="24"/>
          <w:szCs w:val="24"/>
        </w:rPr>
        <w:t xml:space="preserve">Fi to meet the needs of modern digital learning.  </w:t>
      </w:r>
      <w:r w:rsidR="00F52274" w:rsidRPr="009F30F3">
        <w:rPr>
          <w:rFonts w:ascii="Cambria" w:hAnsi="Cambria"/>
          <w:sz w:val="24"/>
          <w:szCs w:val="24"/>
        </w:rPr>
        <w:t xml:space="preserve">Total </w:t>
      </w:r>
      <w:r w:rsidR="009107F1" w:rsidRPr="009F30F3">
        <w:rPr>
          <w:rFonts w:ascii="Cambria" w:hAnsi="Cambria"/>
          <w:sz w:val="24"/>
          <w:szCs w:val="24"/>
        </w:rPr>
        <w:t>support requested by E-rate applicants consistently exceeded $4 billion from 2009-2014, peaking at $5.3 billion in 2012.</w:t>
      </w:r>
    </w:p>
    <w:p w:rsidR="00C70BE8" w:rsidRPr="009F30F3" w:rsidRDefault="00F52274">
      <w:pPr>
        <w:jc w:val="center"/>
        <w:rPr>
          <w:rFonts w:ascii="Cambria" w:hAnsi="Cambria"/>
          <w:b/>
          <w:bCs/>
          <w:sz w:val="24"/>
          <w:szCs w:val="24"/>
        </w:rPr>
      </w:pPr>
      <w:r w:rsidRPr="009F30F3">
        <w:rPr>
          <w:rFonts w:ascii="Cambria" w:hAnsi="Cambria"/>
          <w:b/>
          <w:bCs/>
          <w:sz w:val="24"/>
          <w:szCs w:val="24"/>
        </w:rPr>
        <w:t xml:space="preserve">Figure </w:t>
      </w:r>
      <w:r w:rsidR="005E528A" w:rsidRPr="009F30F3">
        <w:rPr>
          <w:rFonts w:ascii="Cambria" w:hAnsi="Cambria"/>
          <w:b/>
          <w:bCs/>
          <w:sz w:val="24"/>
          <w:szCs w:val="24"/>
        </w:rPr>
        <w:t>4</w:t>
      </w:r>
      <w:r w:rsidRPr="009F30F3">
        <w:rPr>
          <w:rFonts w:ascii="Cambria" w:hAnsi="Cambria"/>
          <w:b/>
          <w:bCs/>
          <w:sz w:val="24"/>
          <w:szCs w:val="24"/>
        </w:rPr>
        <w:t xml:space="preserve">: </w:t>
      </w:r>
      <w:r w:rsidR="00205F6E" w:rsidRPr="009F30F3">
        <w:rPr>
          <w:rFonts w:ascii="Cambria" w:hAnsi="Cambria"/>
          <w:b/>
          <w:bCs/>
          <w:sz w:val="24"/>
          <w:szCs w:val="24"/>
        </w:rPr>
        <w:t>E-rate</w:t>
      </w:r>
      <w:r w:rsidR="00C70BE8" w:rsidRPr="009F30F3">
        <w:rPr>
          <w:rFonts w:ascii="Cambria" w:hAnsi="Cambria"/>
          <w:b/>
          <w:bCs/>
          <w:sz w:val="24"/>
          <w:szCs w:val="24"/>
        </w:rPr>
        <w:t xml:space="preserve"> Funding</w:t>
      </w:r>
      <w:r w:rsidR="00205F6E" w:rsidRPr="009F30F3">
        <w:rPr>
          <w:rFonts w:ascii="Cambria" w:hAnsi="Cambria"/>
          <w:b/>
          <w:bCs/>
          <w:sz w:val="24"/>
          <w:szCs w:val="24"/>
        </w:rPr>
        <w:t xml:space="preserve"> Requests vs. Commitments</w:t>
      </w:r>
      <w:r w:rsidR="00C70BE8" w:rsidRPr="009F30F3">
        <w:rPr>
          <w:rFonts w:ascii="Cambria" w:hAnsi="Cambria"/>
          <w:b/>
          <w:bCs/>
          <w:sz w:val="24"/>
          <w:szCs w:val="24"/>
        </w:rPr>
        <w:t>, 2009-2014</w:t>
      </w:r>
    </w:p>
    <w:p w:rsidR="009107F1" w:rsidRPr="009F30F3" w:rsidRDefault="009107F1" w:rsidP="00205F6E">
      <w:pPr>
        <w:jc w:val="center"/>
        <w:rPr>
          <w:rFonts w:ascii="Cambria" w:hAnsi="Cambria"/>
          <w:sz w:val="24"/>
          <w:szCs w:val="24"/>
        </w:rPr>
      </w:pPr>
      <w:r w:rsidRPr="009F30F3">
        <w:rPr>
          <w:rFonts w:ascii="Cambria" w:hAnsi="Cambria"/>
          <w:noProof/>
          <w:sz w:val="24"/>
          <w:szCs w:val="24"/>
        </w:rPr>
        <w:drawing>
          <wp:inline distT="0" distB="0" distL="0" distR="0" wp14:anchorId="585A6609" wp14:editId="0E7DA639">
            <wp:extent cx="3657600" cy="21526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10B7" w:rsidRPr="009F30F3" w:rsidRDefault="00E25BC1">
      <w:pPr>
        <w:rPr>
          <w:rFonts w:ascii="Cambria" w:hAnsi="Cambria"/>
          <w:sz w:val="24"/>
          <w:szCs w:val="24"/>
        </w:rPr>
      </w:pPr>
      <w:r>
        <w:rPr>
          <w:rFonts w:ascii="Cambria" w:hAnsi="Cambria"/>
          <w:sz w:val="24"/>
          <w:szCs w:val="24"/>
        </w:rPr>
        <w:t>The</w:t>
      </w:r>
      <w:r w:rsidRPr="009F30F3">
        <w:rPr>
          <w:rFonts w:ascii="Cambria" w:hAnsi="Cambria"/>
          <w:sz w:val="24"/>
          <w:szCs w:val="24"/>
        </w:rPr>
        <w:t xml:space="preserve"> </w:t>
      </w:r>
      <w:r w:rsidRPr="009F30F3">
        <w:rPr>
          <w:rFonts w:ascii="Cambria" w:hAnsi="Cambria"/>
          <w:i/>
          <w:iCs/>
          <w:sz w:val="24"/>
          <w:szCs w:val="24"/>
        </w:rPr>
        <w:t xml:space="preserve">Second E-rate Modernization Order </w:t>
      </w:r>
      <w:r w:rsidRPr="009F30F3">
        <w:rPr>
          <w:rFonts w:ascii="Cambria" w:hAnsi="Cambria"/>
          <w:sz w:val="24"/>
          <w:szCs w:val="24"/>
        </w:rPr>
        <w:t>increased</w:t>
      </w:r>
      <w:r w:rsidRPr="009F30F3">
        <w:rPr>
          <w:rFonts w:ascii="Cambria" w:hAnsi="Cambria"/>
          <w:i/>
          <w:iCs/>
          <w:sz w:val="24"/>
          <w:szCs w:val="24"/>
        </w:rPr>
        <w:t xml:space="preserve"> </w:t>
      </w:r>
      <w:r w:rsidRPr="009F30F3">
        <w:rPr>
          <w:rFonts w:ascii="Cambria" w:hAnsi="Cambria"/>
          <w:sz w:val="24"/>
          <w:szCs w:val="24"/>
        </w:rPr>
        <w:t>the program’s annual cap to $3.9 billion, adjusted for inflation moving forward</w:t>
      </w:r>
      <w:r>
        <w:rPr>
          <w:rFonts w:ascii="Cambria" w:hAnsi="Cambria"/>
          <w:sz w:val="24"/>
          <w:szCs w:val="24"/>
        </w:rPr>
        <w:t xml:space="preserve">, so that E-rate could </w:t>
      </w:r>
      <w:r w:rsidR="00B905F7">
        <w:rPr>
          <w:rFonts w:ascii="Cambria" w:hAnsi="Cambria"/>
          <w:sz w:val="24"/>
          <w:szCs w:val="24"/>
        </w:rPr>
        <w:t>d fully fund all requests for high-speed broadband to and within schools and libraries</w:t>
      </w:r>
      <w:r w:rsidRPr="009F30F3">
        <w:rPr>
          <w:rFonts w:ascii="Cambria" w:hAnsi="Cambria"/>
          <w:sz w:val="24"/>
          <w:szCs w:val="24"/>
        </w:rPr>
        <w:t>.</w:t>
      </w:r>
      <w:r w:rsidRPr="009F30F3">
        <w:rPr>
          <w:rStyle w:val="FootnoteReference"/>
          <w:rFonts w:ascii="Cambria" w:hAnsi="Cambria"/>
          <w:sz w:val="24"/>
          <w:szCs w:val="24"/>
        </w:rPr>
        <w:footnoteReference w:id="23"/>
      </w:r>
      <w:r w:rsidRPr="009F30F3">
        <w:rPr>
          <w:rFonts w:ascii="Cambria" w:hAnsi="Cambria"/>
          <w:sz w:val="24"/>
          <w:szCs w:val="24"/>
        </w:rPr>
        <w:t xml:space="preserve">  </w:t>
      </w:r>
      <w:r w:rsidR="006B0C90">
        <w:rPr>
          <w:rFonts w:ascii="Cambria" w:hAnsi="Cambria"/>
          <w:sz w:val="24"/>
          <w:szCs w:val="24"/>
        </w:rPr>
        <w:t>In addition, s</w:t>
      </w:r>
      <w:r w:rsidR="00CB315C" w:rsidRPr="009F30F3">
        <w:rPr>
          <w:rFonts w:ascii="Cambria" w:hAnsi="Cambria"/>
          <w:sz w:val="24"/>
          <w:szCs w:val="24"/>
        </w:rPr>
        <w:t>everal other reforms</w:t>
      </w:r>
      <w:r w:rsidR="00152D09" w:rsidRPr="009F30F3">
        <w:rPr>
          <w:rFonts w:ascii="Cambria" w:hAnsi="Cambria"/>
          <w:sz w:val="24"/>
          <w:szCs w:val="24"/>
        </w:rPr>
        <w:t xml:space="preserve"> in </w:t>
      </w:r>
      <w:r w:rsidR="00A51E49" w:rsidRPr="009F30F3">
        <w:rPr>
          <w:rFonts w:ascii="Cambria" w:hAnsi="Cambria"/>
          <w:i/>
          <w:iCs/>
          <w:sz w:val="24"/>
          <w:szCs w:val="24"/>
        </w:rPr>
        <w:t xml:space="preserve">First </w:t>
      </w:r>
      <w:r w:rsidR="00152D09" w:rsidRPr="009F30F3">
        <w:rPr>
          <w:rFonts w:ascii="Cambria" w:hAnsi="Cambria"/>
          <w:i/>
          <w:iCs/>
          <w:sz w:val="24"/>
          <w:szCs w:val="24"/>
        </w:rPr>
        <w:t>E-rate Modernization Orders</w:t>
      </w:r>
      <w:r w:rsidR="00152D09" w:rsidRPr="009F30F3">
        <w:rPr>
          <w:rFonts w:ascii="Cambria" w:hAnsi="Cambria"/>
          <w:sz w:val="24"/>
          <w:szCs w:val="24"/>
        </w:rPr>
        <w:t xml:space="preserve"> were designed to</w:t>
      </w:r>
      <w:r w:rsidR="00701056" w:rsidRPr="009F30F3">
        <w:rPr>
          <w:rFonts w:ascii="Cambria" w:hAnsi="Cambria"/>
          <w:sz w:val="24"/>
          <w:szCs w:val="24"/>
        </w:rPr>
        <w:t xml:space="preserve"> put the program on sound financial footing by narrowing the scope of supported services and promoting cost-effective purchasing</w:t>
      </w:r>
      <w:r w:rsidR="00FC5A53" w:rsidRPr="009F30F3">
        <w:rPr>
          <w:rFonts w:ascii="Cambria" w:hAnsi="Cambria"/>
          <w:sz w:val="24"/>
          <w:szCs w:val="24"/>
        </w:rPr>
        <w:t>.  These reforms included:</w:t>
      </w:r>
    </w:p>
    <w:p w:rsidR="00FC5A53" w:rsidRPr="009F30F3" w:rsidRDefault="00FC5A53" w:rsidP="00FC5A53">
      <w:pPr>
        <w:pStyle w:val="ListParagraph"/>
        <w:numPr>
          <w:ilvl w:val="0"/>
          <w:numId w:val="4"/>
        </w:numPr>
        <w:rPr>
          <w:rFonts w:ascii="Cambria" w:hAnsi="Cambria"/>
          <w:sz w:val="24"/>
          <w:szCs w:val="24"/>
        </w:rPr>
      </w:pPr>
      <w:r w:rsidRPr="009F30F3">
        <w:rPr>
          <w:rFonts w:ascii="Cambria" w:hAnsi="Cambria"/>
          <w:sz w:val="24"/>
          <w:szCs w:val="24"/>
        </w:rPr>
        <w:t xml:space="preserve">Phasing out support for several legacy </w:t>
      </w:r>
      <w:r w:rsidR="009733E9" w:rsidRPr="009F30F3">
        <w:rPr>
          <w:rFonts w:ascii="Cambria" w:hAnsi="Cambria"/>
          <w:sz w:val="24"/>
          <w:szCs w:val="24"/>
        </w:rPr>
        <w:t xml:space="preserve">non-broadband </w:t>
      </w:r>
      <w:r w:rsidRPr="009F30F3">
        <w:rPr>
          <w:rFonts w:ascii="Cambria" w:hAnsi="Cambria"/>
          <w:sz w:val="24"/>
          <w:szCs w:val="24"/>
        </w:rPr>
        <w:t>services</w:t>
      </w:r>
      <w:r w:rsidR="009733E9" w:rsidRPr="009F30F3">
        <w:rPr>
          <w:rFonts w:ascii="Cambria" w:hAnsi="Cambria"/>
          <w:sz w:val="24"/>
          <w:szCs w:val="24"/>
        </w:rPr>
        <w:t xml:space="preserve">, including </w:t>
      </w:r>
      <w:r w:rsidR="00E95EEC" w:rsidRPr="009F30F3">
        <w:rPr>
          <w:rFonts w:ascii="Cambria" w:hAnsi="Cambria"/>
          <w:sz w:val="24"/>
          <w:szCs w:val="24"/>
        </w:rPr>
        <w:t xml:space="preserve">voice services, </w:t>
      </w:r>
      <w:r w:rsidR="00A51E49" w:rsidRPr="009F30F3">
        <w:rPr>
          <w:rFonts w:ascii="Cambria" w:hAnsi="Cambria"/>
          <w:sz w:val="24"/>
          <w:szCs w:val="24"/>
        </w:rPr>
        <w:t xml:space="preserve">outdated telephone services, </w:t>
      </w:r>
      <w:r w:rsidR="00E95EEC" w:rsidRPr="009F30F3">
        <w:rPr>
          <w:rFonts w:ascii="Cambria" w:hAnsi="Cambria"/>
          <w:sz w:val="24"/>
          <w:szCs w:val="24"/>
        </w:rPr>
        <w:t>email, web hosting</w:t>
      </w:r>
      <w:r w:rsidR="00A51E49" w:rsidRPr="009F30F3">
        <w:rPr>
          <w:rFonts w:ascii="Cambria" w:hAnsi="Cambria"/>
          <w:sz w:val="24"/>
          <w:szCs w:val="24"/>
        </w:rPr>
        <w:t>, and voicemail.</w:t>
      </w:r>
      <w:r w:rsidR="00A51E49" w:rsidRPr="009F30F3">
        <w:rPr>
          <w:rStyle w:val="FootnoteReference"/>
          <w:rFonts w:ascii="Cambria" w:hAnsi="Cambria"/>
          <w:sz w:val="24"/>
          <w:szCs w:val="24"/>
        </w:rPr>
        <w:footnoteReference w:id="24"/>
      </w:r>
    </w:p>
    <w:p w:rsidR="00A23CCB" w:rsidRPr="009F30F3" w:rsidRDefault="00A23CCB" w:rsidP="00FC5A53">
      <w:pPr>
        <w:pStyle w:val="ListParagraph"/>
        <w:numPr>
          <w:ilvl w:val="0"/>
          <w:numId w:val="4"/>
        </w:numPr>
        <w:rPr>
          <w:rFonts w:ascii="Cambria" w:hAnsi="Cambria"/>
          <w:sz w:val="24"/>
          <w:szCs w:val="24"/>
        </w:rPr>
      </w:pPr>
      <w:r w:rsidRPr="009F30F3">
        <w:rPr>
          <w:rFonts w:ascii="Cambria" w:hAnsi="Cambria"/>
          <w:sz w:val="24"/>
          <w:szCs w:val="24"/>
        </w:rPr>
        <w:t>Adopting a goal of maximizing</w:t>
      </w:r>
      <w:r w:rsidR="00B905F7">
        <w:rPr>
          <w:rFonts w:ascii="Cambria" w:hAnsi="Cambria"/>
          <w:sz w:val="24"/>
          <w:szCs w:val="24"/>
        </w:rPr>
        <w:t xml:space="preserve"> the</w:t>
      </w:r>
      <w:r w:rsidRPr="009F30F3">
        <w:rPr>
          <w:rFonts w:ascii="Cambria" w:hAnsi="Cambria"/>
          <w:sz w:val="24"/>
          <w:szCs w:val="24"/>
        </w:rPr>
        <w:t xml:space="preserve"> cost effectiveness </w:t>
      </w:r>
      <w:r w:rsidR="00B905F7">
        <w:rPr>
          <w:rFonts w:ascii="Cambria" w:hAnsi="Cambria"/>
          <w:sz w:val="24"/>
          <w:szCs w:val="24"/>
        </w:rPr>
        <w:t xml:space="preserve">of </w:t>
      </w:r>
      <w:r w:rsidRPr="009F30F3">
        <w:rPr>
          <w:rFonts w:ascii="Cambria" w:hAnsi="Cambria"/>
          <w:sz w:val="24"/>
          <w:szCs w:val="24"/>
        </w:rPr>
        <w:t>E-rate purchases</w:t>
      </w:r>
      <w:r w:rsidR="005E528A" w:rsidRPr="009F30F3">
        <w:rPr>
          <w:rFonts w:ascii="Cambria" w:hAnsi="Cambria"/>
          <w:sz w:val="24"/>
          <w:szCs w:val="24"/>
        </w:rPr>
        <w:t>, with a particular emphasis on reducing average bandwidth prices</w:t>
      </w:r>
      <w:r w:rsidRPr="009F30F3">
        <w:rPr>
          <w:rFonts w:ascii="Cambria" w:hAnsi="Cambria"/>
          <w:sz w:val="24"/>
          <w:szCs w:val="24"/>
        </w:rPr>
        <w:t>.</w:t>
      </w:r>
      <w:r w:rsidRPr="009F30F3">
        <w:rPr>
          <w:rStyle w:val="FootnoteReference"/>
          <w:rFonts w:ascii="Cambria" w:hAnsi="Cambria"/>
          <w:sz w:val="24"/>
          <w:szCs w:val="24"/>
        </w:rPr>
        <w:footnoteReference w:id="25"/>
      </w:r>
      <w:r w:rsidRPr="009F30F3">
        <w:rPr>
          <w:rFonts w:ascii="Cambria" w:hAnsi="Cambria"/>
          <w:sz w:val="24"/>
          <w:szCs w:val="24"/>
        </w:rPr>
        <w:t xml:space="preserve"> </w:t>
      </w:r>
      <w:r w:rsidR="00352E29" w:rsidRPr="009F30F3">
        <w:rPr>
          <w:rFonts w:ascii="Cambria" w:hAnsi="Cambria"/>
          <w:sz w:val="24"/>
          <w:szCs w:val="24"/>
        </w:rPr>
        <w:t xml:space="preserve"> </w:t>
      </w:r>
    </w:p>
    <w:p w:rsidR="00A17113" w:rsidRPr="009F30F3" w:rsidRDefault="006E0451" w:rsidP="00FC5A53">
      <w:pPr>
        <w:pStyle w:val="ListParagraph"/>
        <w:numPr>
          <w:ilvl w:val="0"/>
          <w:numId w:val="4"/>
        </w:numPr>
        <w:rPr>
          <w:rFonts w:ascii="Cambria" w:hAnsi="Cambria"/>
          <w:sz w:val="24"/>
          <w:szCs w:val="24"/>
        </w:rPr>
      </w:pPr>
      <w:r w:rsidRPr="009F30F3">
        <w:rPr>
          <w:rFonts w:ascii="Cambria" w:hAnsi="Cambria"/>
          <w:sz w:val="24"/>
          <w:szCs w:val="24"/>
        </w:rPr>
        <w:t>Increasing price transparency so that E-rate applicants could find the best prices for eligible services and the E-rate program could ensure cost effective purchasing.</w:t>
      </w:r>
      <w:r w:rsidRPr="009F30F3">
        <w:rPr>
          <w:rStyle w:val="FootnoteReference"/>
          <w:rFonts w:ascii="Cambria" w:hAnsi="Cambria"/>
          <w:sz w:val="24"/>
          <w:szCs w:val="24"/>
        </w:rPr>
        <w:footnoteReference w:id="26"/>
      </w:r>
    </w:p>
    <w:p w:rsidR="00691DAB" w:rsidRPr="009F30F3" w:rsidRDefault="00691DAB" w:rsidP="00FC5A53">
      <w:pPr>
        <w:pStyle w:val="ListParagraph"/>
        <w:numPr>
          <w:ilvl w:val="0"/>
          <w:numId w:val="4"/>
        </w:numPr>
        <w:rPr>
          <w:rFonts w:ascii="Cambria" w:hAnsi="Cambria"/>
          <w:sz w:val="24"/>
          <w:szCs w:val="24"/>
        </w:rPr>
      </w:pPr>
      <w:r w:rsidRPr="009F30F3">
        <w:rPr>
          <w:rFonts w:ascii="Cambria" w:hAnsi="Cambria"/>
          <w:sz w:val="24"/>
          <w:szCs w:val="24"/>
        </w:rPr>
        <w:t>Support for competitive fiber options, as discussed above.</w:t>
      </w:r>
    </w:p>
    <w:p w:rsidR="009552B3" w:rsidRDefault="009552B3">
      <w:pPr>
        <w:rPr>
          <w:rFonts w:ascii="Cambria" w:hAnsi="Cambria"/>
          <w:b/>
          <w:bCs/>
          <w:i/>
          <w:iCs/>
          <w:sz w:val="24"/>
          <w:szCs w:val="24"/>
        </w:rPr>
      </w:pPr>
    </w:p>
    <w:p w:rsidR="002265CB" w:rsidRPr="009F30F3" w:rsidRDefault="002265CB">
      <w:pPr>
        <w:rPr>
          <w:rFonts w:ascii="Cambria" w:hAnsi="Cambria"/>
          <w:b/>
          <w:bCs/>
          <w:i/>
          <w:iCs/>
          <w:sz w:val="24"/>
          <w:szCs w:val="24"/>
        </w:rPr>
      </w:pPr>
      <w:r w:rsidRPr="009F30F3">
        <w:rPr>
          <w:rFonts w:ascii="Cambria" w:hAnsi="Cambria"/>
          <w:b/>
          <w:bCs/>
          <w:i/>
          <w:iCs/>
          <w:sz w:val="24"/>
          <w:szCs w:val="24"/>
        </w:rPr>
        <w:lastRenderedPageBreak/>
        <w:t>Progress</w:t>
      </w:r>
      <w:r w:rsidR="001D3985" w:rsidRPr="009F30F3">
        <w:rPr>
          <w:rFonts w:ascii="Cambria" w:hAnsi="Cambria"/>
          <w:b/>
          <w:bCs/>
          <w:i/>
          <w:iCs/>
          <w:sz w:val="24"/>
          <w:szCs w:val="24"/>
        </w:rPr>
        <w:t xml:space="preserve">: </w:t>
      </w:r>
      <w:r w:rsidR="006F1585" w:rsidRPr="009F30F3">
        <w:rPr>
          <w:rFonts w:ascii="Cambria" w:hAnsi="Cambria"/>
          <w:b/>
          <w:bCs/>
          <w:i/>
          <w:iCs/>
          <w:sz w:val="24"/>
          <w:szCs w:val="24"/>
        </w:rPr>
        <w:t>Improved Cost Effectiveness and Stable Program Finances</w:t>
      </w:r>
    </w:p>
    <w:p w:rsidR="00727980" w:rsidRDefault="00727980" w:rsidP="00BE003C">
      <w:pPr>
        <w:spacing w:before="240"/>
        <w:rPr>
          <w:rFonts w:ascii="Cambria" w:hAnsi="Cambria"/>
          <w:sz w:val="24"/>
          <w:szCs w:val="24"/>
        </w:rPr>
      </w:pPr>
      <w:r>
        <w:rPr>
          <w:rFonts w:ascii="Cambria" w:hAnsi="Cambria"/>
          <w:sz w:val="24"/>
          <w:szCs w:val="24"/>
        </w:rPr>
        <w:t>Funding requests and commitments have been</w:t>
      </w:r>
      <w:r w:rsidR="005E53DA">
        <w:rPr>
          <w:rFonts w:ascii="Cambria" w:hAnsi="Cambria"/>
          <w:sz w:val="24"/>
          <w:szCs w:val="24"/>
        </w:rPr>
        <w:t xml:space="preserve"> stable, and under the $3.9 billion spending cap, </w:t>
      </w:r>
      <w:r>
        <w:rPr>
          <w:rFonts w:ascii="Cambria" w:hAnsi="Cambria"/>
          <w:sz w:val="24"/>
          <w:szCs w:val="24"/>
        </w:rPr>
        <w:t>in the two funding years since the cap increase.</w:t>
      </w:r>
      <w:r w:rsidR="005E53DA">
        <w:rPr>
          <w:rFonts w:ascii="Cambria" w:hAnsi="Cambria"/>
          <w:sz w:val="24"/>
          <w:szCs w:val="24"/>
        </w:rPr>
        <w:t xml:space="preserve">  For funding year 2015, commitments</w:t>
      </w:r>
      <w:r w:rsidR="00B905F7">
        <w:rPr>
          <w:rFonts w:ascii="Cambria" w:hAnsi="Cambria"/>
          <w:sz w:val="24"/>
          <w:szCs w:val="24"/>
        </w:rPr>
        <w:t xml:space="preserve"> </w:t>
      </w:r>
      <w:r w:rsidR="005E53DA">
        <w:rPr>
          <w:rFonts w:ascii="Cambria" w:hAnsi="Cambria"/>
          <w:sz w:val="24"/>
          <w:szCs w:val="24"/>
        </w:rPr>
        <w:t>total $3.2</w:t>
      </w:r>
      <w:r w:rsidR="0009708A">
        <w:rPr>
          <w:rFonts w:ascii="Cambria" w:hAnsi="Cambria"/>
          <w:sz w:val="24"/>
          <w:szCs w:val="24"/>
        </w:rPr>
        <w:t>8</w:t>
      </w:r>
      <w:r w:rsidR="005E53DA">
        <w:rPr>
          <w:rFonts w:ascii="Cambria" w:hAnsi="Cambria"/>
          <w:sz w:val="24"/>
          <w:szCs w:val="24"/>
        </w:rPr>
        <w:t xml:space="preserve"> billion</w:t>
      </w:r>
      <w:r w:rsidR="0031456F">
        <w:rPr>
          <w:rFonts w:ascii="Cambria" w:hAnsi="Cambria"/>
          <w:sz w:val="24"/>
          <w:szCs w:val="24"/>
        </w:rPr>
        <w:t xml:space="preserve">.  </w:t>
      </w:r>
      <w:r w:rsidR="002D2DBD">
        <w:rPr>
          <w:rFonts w:ascii="Cambria" w:hAnsi="Cambria"/>
          <w:sz w:val="24"/>
          <w:szCs w:val="24"/>
        </w:rPr>
        <w:t xml:space="preserve">USAC </w:t>
      </w:r>
      <w:r w:rsidR="00CB2740">
        <w:rPr>
          <w:rFonts w:ascii="Cambria" w:hAnsi="Cambria"/>
          <w:sz w:val="24"/>
          <w:szCs w:val="24"/>
        </w:rPr>
        <w:t>received funding requests totaling $3.61 billion for</w:t>
      </w:r>
      <w:r w:rsidR="002D2DBD">
        <w:rPr>
          <w:rFonts w:ascii="Cambria" w:hAnsi="Cambria"/>
          <w:sz w:val="24"/>
          <w:szCs w:val="24"/>
        </w:rPr>
        <w:t xml:space="preserve"> f</w:t>
      </w:r>
      <w:r w:rsidR="0031456F">
        <w:rPr>
          <w:rFonts w:ascii="Cambria" w:hAnsi="Cambria"/>
          <w:sz w:val="24"/>
          <w:szCs w:val="24"/>
        </w:rPr>
        <w:t>unding year 2016</w:t>
      </w:r>
      <w:r w:rsidR="006C0EA8">
        <w:rPr>
          <w:rFonts w:ascii="Cambria" w:hAnsi="Cambria"/>
          <w:sz w:val="24"/>
          <w:szCs w:val="24"/>
        </w:rPr>
        <w:t>,</w:t>
      </w:r>
      <w:r w:rsidR="00CB2740">
        <w:rPr>
          <w:rStyle w:val="FootnoteReference"/>
          <w:rFonts w:ascii="Cambria" w:hAnsi="Cambria"/>
          <w:sz w:val="24"/>
          <w:szCs w:val="24"/>
        </w:rPr>
        <w:footnoteReference w:id="27"/>
      </w:r>
      <w:r w:rsidR="0031456F">
        <w:rPr>
          <w:rFonts w:ascii="Cambria" w:hAnsi="Cambria"/>
          <w:sz w:val="24"/>
          <w:szCs w:val="24"/>
        </w:rPr>
        <w:t xml:space="preserve"> </w:t>
      </w:r>
      <w:r w:rsidR="006C0EA8">
        <w:rPr>
          <w:rFonts w:ascii="Cambria" w:hAnsi="Cambria"/>
          <w:sz w:val="24"/>
          <w:szCs w:val="24"/>
        </w:rPr>
        <w:t xml:space="preserve">and </w:t>
      </w:r>
      <w:r w:rsidR="0031456F">
        <w:rPr>
          <w:rFonts w:ascii="Cambria" w:hAnsi="Cambria"/>
          <w:sz w:val="24"/>
          <w:szCs w:val="24"/>
        </w:rPr>
        <w:t>commitments currently stand at $1.87 billion</w:t>
      </w:r>
      <w:r w:rsidR="006C0EA8">
        <w:rPr>
          <w:rFonts w:ascii="Cambria" w:hAnsi="Cambria"/>
          <w:sz w:val="24"/>
          <w:szCs w:val="24"/>
        </w:rPr>
        <w:t>.</w:t>
      </w:r>
      <w:r w:rsidR="005E53DA">
        <w:rPr>
          <w:rFonts w:ascii="Cambria" w:hAnsi="Cambria"/>
          <w:sz w:val="24"/>
          <w:szCs w:val="24"/>
        </w:rPr>
        <w:t xml:space="preserve"> </w:t>
      </w:r>
    </w:p>
    <w:p w:rsidR="002C7148" w:rsidRDefault="002C7148" w:rsidP="00BE003C">
      <w:pPr>
        <w:spacing w:before="240"/>
        <w:rPr>
          <w:rFonts w:ascii="Cambria" w:hAnsi="Cambria"/>
          <w:sz w:val="24"/>
          <w:szCs w:val="24"/>
        </w:rPr>
      </w:pPr>
      <w:r>
        <w:rPr>
          <w:rFonts w:ascii="Cambria" w:hAnsi="Cambria"/>
          <w:sz w:val="24"/>
          <w:szCs w:val="24"/>
        </w:rPr>
        <w:t xml:space="preserve">There are several reasons that funding requests and commitments </w:t>
      </w:r>
      <w:r w:rsidR="00123A4E">
        <w:rPr>
          <w:rFonts w:ascii="Cambria" w:hAnsi="Cambria"/>
          <w:sz w:val="24"/>
          <w:szCs w:val="24"/>
        </w:rPr>
        <w:t>have come</w:t>
      </w:r>
      <w:r>
        <w:rPr>
          <w:rFonts w:ascii="Cambria" w:hAnsi="Cambria"/>
          <w:sz w:val="24"/>
          <w:szCs w:val="24"/>
        </w:rPr>
        <w:t xml:space="preserve"> in below the spending cap, despite rapidly increasing demand.</w:t>
      </w:r>
    </w:p>
    <w:p w:rsidR="00BE003C" w:rsidRPr="00123A4E" w:rsidRDefault="000305B3" w:rsidP="00123A4E">
      <w:pPr>
        <w:pStyle w:val="ListParagraph"/>
        <w:numPr>
          <w:ilvl w:val="0"/>
          <w:numId w:val="16"/>
        </w:numPr>
        <w:spacing w:before="240"/>
        <w:rPr>
          <w:rFonts w:ascii="Cambria" w:hAnsi="Cambria"/>
          <w:sz w:val="24"/>
          <w:szCs w:val="24"/>
        </w:rPr>
      </w:pPr>
      <w:r w:rsidRPr="00123A4E">
        <w:rPr>
          <w:rFonts w:ascii="Cambria" w:hAnsi="Cambria"/>
          <w:i/>
          <w:sz w:val="24"/>
          <w:szCs w:val="24"/>
          <w:u w:val="single"/>
        </w:rPr>
        <w:t>Cost-effective bandwidth</w:t>
      </w:r>
      <w:r w:rsidRPr="00123A4E">
        <w:rPr>
          <w:rFonts w:ascii="Cambria" w:hAnsi="Cambria"/>
          <w:sz w:val="24"/>
          <w:szCs w:val="24"/>
        </w:rPr>
        <w:t xml:space="preserve">.  </w:t>
      </w:r>
      <w:r w:rsidR="001923FC" w:rsidRPr="00123A4E">
        <w:rPr>
          <w:rFonts w:ascii="Cambria" w:hAnsi="Cambria"/>
          <w:sz w:val="24"/>
          <w:szCs w:val="24"/>
        </w:rPr>
        <w:t xml:space="preserve">A major driver behind </w:t>
      </w:r>
      <w:r w:rsidR="007205B0" w:rsidRPr="00123A4E">
        <w:rPr>
          <w:rFonts w:ascii="Cambria" w:hAnsi="Cambria"/>
          <w:sz w:val="24"/>
          <w:szCs w:val="24"/>
        </w:rPr>
        <w:t>E-rate</w:t>
      </w:r>
      <w:r w:rsidR="001923FC" w:rsidRPr="00123A4E">
        <w:rPr>
          <w:rFonts w:ascii="Cambria" w:hAnsi="Cambria"/>
          <w:sz w:val="24"/>
          <w:szCs w:val="24"/>
        </w:rPr>
        <w:t xml:space="preserve"> demand is the price paid per </w:t>
      </w:r>
      <w:r w:rsidR="00A9776A" w:rsidRPr="00123A4E">
        <w:rPr>
          <w:rFonts w:ascii="Cambria" w:hAnsi="Cambria"/>
          <w:sz w:val="24"/>
          <w:szCs w:val="24"/>
        </w:rPr>
        <w:t>Mbps</w:t>
      </w:r>
      <w:r w:rsidR="007205B0" w:rsidRPr="00123A4E">
        <w:rPr>
          <w:rFonts w:ascii="Cambria" w:hAnsi="Cambria"/>
          <w:sz w:val="24"/>
          <w:szCs w:val="24"/>
        </w:rPr>
        <w:t xml:space="preserve"> for I</w:t>
      </w:r>
      <w:r w:rsidR="001923FC" w:rsidRPr="00123A4E">
        <w:rPr>
          <w:rFonts w:ascii="Cambria" w:hAnsi="Cambria"/>
          <w:sz w:val="24"/>
          <w:szCs w:val="24"/>
        </w:rPr>
        <w:t>nternet access.  The Commission recognized that many E-rate applicants pay very high monthly rates for internet access that are not sustainable as bandwi</w:t>
      </w:r>
      <w:r w:rsidR="001947E5" w:rsidRPr="00123A4E">
        <w:rPr>
          <w:rFonts w:ascii="Cambria" w:hAnsi="Cambria"/>
          <w:sz w:val="24"/>
          <w:szCs w:val="24"/>
        </w:rPr>
        <w:t>d</w:t>
      </w:r>
      <w:r w:rsidR="001923FC" w:rsidRPr="00123A4E">
        <w:rPr>
          <w:rFonts w:ascii="Cambria" w:hAnsi="Cambria"/>
          <w:sz w:val="24"/>
          <w:szCs w:val="24"/>
        </w:rPr>
        <w:t>th demand</w:t>
      </w:r>
      <w:r w:rsidR="001947E5" w:rsidRPr="00123A4E">
        <w:rPr>
          <w:rFonts w:ascii="Cambria" w:hAnsi="Cambria"/>
          <w:sz w:val="24"/>
          <w:szCs w:val="24"/>
        </w:rPr>
        <w:t xml:space="preserve"> in the coming years.</w:t>
      </w:r>
      <w:r w:rsidR="001947E5" w:rsidRPr="009F30F3">
        <w:rPr>
          <w:rStyle w:val="FootnoteReference"/>
          <w:rFonts w:ascii="Cambria" w:hAnsi="Cambria"/>
          <w:sz w:val="24"/>
          <w:szCs w:val="24"/>
        </w:rPr>
        <w:footnoteReference w:id="28"/>
      </w:r>
      <w:r w:rsidR="00A9776A" w:rsidRPr="00123A4E">
        <w:rPr>
          <w:rFonts w:ascii="Cambria" w:hAnsi="Cambria"/>
          <w:sz w:val="24"/>
          <w:szCs w:val="24"/>
        </w:rPr>
        <w:t xml:space="preserve">  </w:t>
      </w:r>
      <w:r w:rsidR="002C3DA9">
        <w:rPr>
          <w:rFonts w:ascii="Cambria" w:hAnsi="Cambria"/>
          <w:sz w:val="24"/>
          <w:szCs w:val="24"/>
        </w:rPr>
        <w:t>ESH analysis shows that the</w:t>
      </w:r>
      <w:r w:rsidR="00A9776A" w:rsidRPr="00123A4E">
        <w:rPr>
          <w:rFonts w:ascii="Cambria" w:hAnsi="Cambria"/>
          <w:sz w:val="24"/>
          <w:szCs w:val="24"/>
        </w:rPr>
        <w:t xml:space="preserve"> price per Mbps paid by E-rate applicants has declined 68% since</w:t>
      </w:r>
      <w:r w:rsidR="001947E5" w:rsidRPr="00123A4E">
        <w:rPr>
          <w:rFonts w:ascii="Cambria" w:hAnsi="Cambria"/>
          <w:sz w:val="24"/>
          <w:szCs w:val="24"/>
        </w:rPr>
        <w:t xml:space="preserve"> </w:t>
      </w:r>
      <w:r w:rsidR="00A9776A" w:rsidRPr="00123A4E">
        <w:rPr>
          <w:rFonts w:ascii="Cambria" w:hAnsi="Cambria"/>
          <w:sz w:val="24"/>
          <w:szCs w:val="24"/>
        </w:rPr>
        <w:t xml:space="preserve">funding year 2013.  </w:t>
      </w:r>
    </w:p>
    <w:p w:rsidR="00BE003C" w:rsidRPr="00245D40" w:rsidRDefault="00BE003C" w:rsidP="00245D40">
      <w:pPr>
        <w:pStyle w:val="NoSpacing"/>
        <w:jc w:val="center"/>
        <w:rPr>
          <w:rFonts w:ascii="Cambria" w:hAnsi="Cambria"/>
          <w:b/>
          <w:sz w:val="24"/>
          <w:szCs w:val="24"/>
        </w:rPr>
      </w:pPr>
      <w:r w:rsidRPr="00245D40">
        <w:rPr>
          <w:rFonts w:ascii="Cambria" w:hAnsi="Cambria"/>
          <w:b/>
          <w:sz w:val="24"/>
          <w:szCs w:val="24"/>
        </w:rPr>
        <w:t xml:space="preserve">Figure </w:t>
      </w:r>
      <w:r w:rsidR="005E528A" w:rsidRPr="00245D40">
        <w:rPr>
          <w:rFonts w:ascii="Cambria" w:hAnsi="Cambria"/>
          <w:b/>
          <w:sz w:val="24"/>
          <w:szCs w:val="24"/>
        </w:rPr>
        <w:t>5</w:t>
      </w:r>
      <w:r w:rsidRPr="00245D40">
        <w:rPr>
          <w:rFonts w:ascii="Cambria" w:hAnsi="Cambria"/>
          <w:b/>
          <w:sz w:val="24"/>
          <w:szCs w:val="24"/>
        </w:rPr>
        <w:t>: Median Price per Mbps</w:t>
      </w:r>
      <w:r w:rsidR="005E528A" w:rsidRPr="00245D40">
        <w:rPr>
          <w:rStyle w:val="FootnoteReference"/>
          <w:rFonts w:ascii="Cambria" w:hAnsi="Cambria"/>
          <w:b/>
          <w:bCs/>
          <w:sz w:val="24"/>
          <w:szCs w:val="24"/>
        </w:rPr>
        <w:footnoteReference w:id="29"/>
      </w:r>
    </w:p>
    <w:p w:rsidR="00B4662E" w:rsidRPr="00245D40" w:rsidRDefault="00B4662E" w:rsidP="00245D40">
      <w:pPr>
        <w:pStyle w:val="NoSpacing"/>
        <w:jc w:val="center"/>
        <w:rPr>
          <w:rFonts w:ascii="Cambria" w:hAnsi="Cambria"/>
          <w:i/>
        </w:rPr>
      </w:pPr>
      <w:r w:rsidRPr="00245D40">
        <w:rPr>
          <w:rFonts w:ascii="Cambria" w:hAnsi="Cambria"/>
          <w:i/>
        </w:rPr>
        <w:t>*ESH did not analyze 2014 data</w:t>
      </w:r>
    </w:p>
    <w:p w:rsidR="00CB4EA3" w:rsidRPr="009F30F3" w:rsidRDefault="00CB4EA3">
      <w:pPr>
        <w:jc w:val="center"/>
        <w:rPr>
          <w:rFonts w:ascii="Cambria" w:hAnsi="Cambria"/>
          <w:b/>
          <w:bCs/>
          <w:sz w:val="24"/>
          <w:szCs w:val="24"/>
        </w:rPr>
      </w:pPr>
      <w:r w:rsidRPr="009F30F3">
        <w:rPr>
          <w:rFonts w:ascii="Cambria" w:hAnsi="Cambria"/>
          <w:b/>
          <w:bCs/>
          <w:noProof/>
          <w:sz w:val="24"/>
          <w:szCs w:val="24"/>
        </w:rPr>
        <w:drawing>
          <wp:inline distT="0" distB="0" distL="0" distR="0" wp14:anchorId="2554EA1E" wp14:editId="24205570">
            <wp:extent cx="2828925" cy="21812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23FC" w:rsidRPr="009F30F3" w:rsidRDefault="00A9776A" w:rsidP="008C0DEE">
      <w:pPr>
        <w:ind w:left="720"/>
        <w:rPr>
          <w:rFonts w:ascii="Cambria" w:hAnsi="Cambria"/>
          <w:sz w:val="24"/>
          <w:szCs w:val="24"/>
        </w:rPr>
      </w:pPr>
      <w:r w:rsidRPr="009F30F3">
        <w:rPr>
          <w:rFonts w:ascii="Cambria" w:hAnsi="Cambria"/>
          <w:sz w:val="24"/>
          <w:szCs w:val="24"/>
        </w:rPr>
        <w:t>Th</w:t>
      </w:r>
      <w:r w:rsidR="00BE003C" w:rsidRPr="009F30F3">
        <w:rPr>
          <w:rFonts w:ascii="Cambria" w:hAnsi="Cambria"/>
          <w:sz w:val="24"/>
          <w:szCs w:val="24"/>
        </w:rPr>
        <w:t xml:space="preserve">e single largest factor contributing to this </w:t>
      </w:r>
      <w:r w:rsidR="004C1272" w:rsidRPr="009F30F3">
        <w:rPr>
          <w:rFonts w:ascii="Cambria" w:hAnsi="Cambria"/>
          <w:sz w:val="24"/>
          <w:szCs w:val="24"/>
        </w:rPr>
        <w:t xml:space="preserve">price </w:t>
      </w:r>
      <w:r w:rsidR="00BE003C" w:rsidRPr="009F30F3">
        <w:rPr>
          <w:rFonts w:ascii="Cambria" w:hAnsi="Cambria"/>
          <w:sz w:val="24"/>
          <w:szCs w:val="24"/>
        </w:rPr>
        <w:t>decline has been school districts increasing the amount of bandwidth they are purchasing for a small increase in cost.  ESH found that 42 percent of districts increased their bandwidth in 2016</w:t>
      </w:r>
      <w:r w:rsidR="00112EE4" w:rsidRPr="009F30F3">
        <w:rPr>
          <w:rFonts w:ascii="Cambria" w:hAnsi="Cambria"/>
          <w:sz w:val="24"/>
          <w:szCs w:val="24"/>
        </w:rPr>
        <w:t>, and that most “upgraders” did so</w:t>
      </w:r>
      <w:r w:rsidR="00BE003C" w:rsidRPr="009F30F3">
        <w:rPr>
          <w:rFonts w:ascii="Cambria" w:hAnsi="Cambria"/>
          <w:sz w:val="24"/>
          <w:szCs w:val="24"/>
        </w:rPr>
        <w:t xml:space="preserve"> without significant increases to their </w:t>
      </w:r>
      <w:r w:rsidR="00FA32C2" w:rsidRPr="009F30F3">
        <w:rPr>
          <w:rFonts w:ascii="Cambria" w:hAnsi="Cambria"/>
          <w:sz w:val="24"/>
          <w:szCs w:val="24"/>
        </w:rPr>
        <w:t>monthly recurring costs</w:t>
      </w:r>
      <w:r w:rsidR="00BE003C" w:rsidRPr="009F30F3">
        <w:rPr>
          <w:rFonts w:ascii="Cambria" w:hAnsi="Cambria"/>
          <w:sz w:val="24"/>
          <w:szCs w:val="24"/>
        </w:rPr>
        <w:t xml:space="preserve">.  </w:t>
      </w:r>
      <w:r w:rsidR="00FA32C2" w:rsidRPr="009F30F3">
        <w:rPr>
          <w:rFonts w:ascii="Cambria" w:hAnsi="Cambria"/>
          <w:sz w:val="24"/>
          <w:szCs w:val="24"/>
        </w:rPr>
        <w:t>Among districts that upgraded, t</w:t>
      </w:r>
      <w:r w:rsidR="00BE003C" w:rsidRPr="009F30F3">
        <w:rPr>
          <w:rFonts w:ascii="Cambria" w:hAnsi="Cambria"/>
          <w:sz w:val="24"/>
          <w:szCs w:val="24"/>
        </w:rPr>
        <w:t xml:space="preserve">he average bandwidth </w:t>
      </w:r>
      <w:r w:rsidR="00FA32C2" w:rsidRPr="009F30F3">
        <w:rPr>
          <w:rFonts w:ascii="Cambria" w:hAnsi="Cambria"/>
          <w:sz w:val="24"/>
          <w:szCs w:val="24"/>
        </w:rPr>
        <w:t xml:space="preserve">increase </w:t>
      </w:r>
      <w:r w:rsidR="00BE003C" w:rsidRPr="009F30F3">
        <w:rPr>
          <w:rFonts w:ascii="Cambria" w:hAnsi="Cambria"/>
          <w:sz w:val="24"/>
          <w:szCs w:val="24"/>
        </w:rPr>
        <w:t>was nearly 200% with an average cost increase of only 7%.</w:t>
      </w:r>
    </w:p>
    <w:p w:rsidR="00BE003C" w:rsidRPr="009F30F3" w:rsidRDefault="00BE003C" w:rsidP="004B51F5">
      <w:pPr>
        <w:rPr>
          <w:rFonts w:ascii="Cambria" w:hAnsi="Cambria"/>
          <w:b/>
          <w:sz w:val="24"/>
          <w:szCs w:val="24"/>
        </w:rPr>
        <w:sectPr w:rsidR="00BE003C" w:rsidRPr="009F30F3" w:rsidSect="00010D27">
          <w:footerReference w:type="default" r:id="rId12"/>
          <w:type w:val="continuous"/>
          <w:pgSz w:w="12240" w:h="15840"/>
          <w:pgMar w:top="1440" w:right="1440" w:bottom="1440" w:left="1440" w:header="720" w:footer="720" w:gutter="0"/>
          <w:pgNumType w:start="0"/>
          <w:cols w:space="720"/>
          <w:titlePg/>
          <w:docGrid w:linePitch="360"/>
        </w:sectPr>
      </w:pPr>
    </w:p>
    <w:p w:rsidR="009552B3" w:rsidRDefault="009552B3">
      <w:pPr>
        <w:jc w:val="center"/>
        <w:rPr>
          <w:rFonts w:ascii="Cambria" w:hAnsi="Cambria"/>
          <w:b/>
          <w:bCs/>
          <w:sz w:val="24"/>
          <w:szCs w:val="24"/>
        </w:rPr>
      </w:pPr>
    </w:p>
    <w:p w:rsidR="00B4662E" w:rsidRPr="009F30F3" w:rsidRDefault="00BE003C">
      <w:pPr>
        <w:jc w:val="center"/>
        <w:rPr>
          <w:rFonts w:ascii="Cambria" w:hAnsi="Cambria"/>
          <w:b/>
          <w:bCs/>
          <w:sz w:val="24"/>
          <w:szCs w:val="24"/>
        </w:rPr>
      </w:pPr>
      <w:r w:rsidRPr="009F30F3">
        <w:rPr>
          <w:rFonts w:ascii="Cambria" w:hAnsi="Cambria"/>
          <w:b/>
          <w:bCs/>
          <w:sz w:val="24"/>
          <w:szCs w:val="24"/>
        </w:rPr>
        <w:lastRenderedPageBreak/>
        <w:t>Fi</w:t>
      </w:r>
      <w:r w:rsidR="00A9776A" w:rsidRPr="009F30F3">
        <w:rPr>
          <w:rFonts w:ascii="Cambria" w:hAnsi="Cambria"/>
          <w:b/>
          <w:bCs/>
          <w:sz w:val="24"/>
          <w:szCs w:val="24"/>
        </w:rPr>
        <w:t xml:space="preserve">gure </w:t>
      </w:r>
      <w:r w:rsidR="005E528A" w:rsidRPr="009F30F3">
        <w:rPr>
          <w:rFonts w:ascii="Cambria" w:hAnsi="Cambria"/>
          <w:b/>
          <w:bCs/>
          <w:sz w:val="24"/>
          <w:szCs w:val="24"/>
        </w:rPr>
        <w:t>6</w:t>
      </w:r>
      <w:r w:rsidR="00A9776A" w:rsidRPr="009F30F3">
        <w:rPr>
          <w:rFonts w:ascii="Cambria" w:hAnsi="Cambria"/>
          <w:b/>
          <w:bCs/>
          <w:sz w:val="24"/>
          <w:szCs w:val="24"/>
        </w:rPr>
        <w:t xml:space="preserve">: </w:t>
      </w:r>
      <w:r w:rsidR="003A7468" w:rsidRPr="009F30F3">
        <w:rPr>
          <w:rFonts w:ascii="Cambria" w:hAnsi="Cambria"/>
          <w:b/>
          <w:bCs/>
          <w:sz w:val="24"/>
          <w:szCs w:val="24"/>
        </w:rPr>
        <w:t xml:space="preserve">Average </w:t>
      </w:r>
      <w:r w:rsidR="0041595D" w:rsidRPr="009F30F3">
        <w:rPr>
          <w:rFonts w:ascii="Cambria" w:hAnsi="Cambria"/>
          <w:b/>
          <w:bCs/>
          <w:sz w:val="24"/>
          <w:szCs w:val="24"/>
        </w:rPr>
        <w:t>Bandwidth and Cost Increases for 2016</w:t>
      </w:r>
      <w:r w:rsidR="00B4662E" w:rsidRPr="009F30F3">
        <w:rPr>
          <w:rFonts w:ascii="Cambria" w:hAnsi="Cambria"/>
          <w:b/>
          <w:bCs/>
          <w:sz w:val="24"/>
          <w:szCs w:val="24"/>
        </w:rPr>
        <w:t xml:space="preserve"> for Upgraders</w:t>
      </w:r>
      <w:r w:rsidR="00062DAA">
        <w:rPr>
          <w:rStyle w:val="FootnoteReference"/>
          <w:rFonts w:ascii="Cambria" w:hAnsi="Cambria"/>
          <w:b/>
          <w:bCs/>
          <w:sz w:val="24"/>
          <w:szCs w:val="24"/>
        </w:rPr>
        <w:footnoteReference w:id="30"/>
      </w:r>
    </w:p>
    <w:p w:rsidR="0041595D" w:rsidRPr="009F30F3" w:rsidRDefault="0041595D" w:rsidP="00BE003C">
      <w:pPr>
        <w:jc w:val="center"/>
        <w:rPr>
          <w:rFonts w:ascii="Cambria" w:hAnsi="Cambria"/>
          <w:sz w:val="24"/>
          <w:szCs w:val="24"/>
        </w:rPr>
        <w:sectPr w:rsidR="0041595D" w:rsidRPr="009F30F3" w:rsidSect="00BE003C">
          <w:type w:val="continuous"/>
          <w:pgSz w:w="12240" w:h="15840"/>
          <w:pgMar w:top="1440" w:right="1440" w:bottom="1440" w:left="1440" w:header="720" w:footer="720" w:gutter="0"/>
          <w:cols w:space="720"/>
          <w:docGrid w:linePitch="360"/>
        </w:sectPr>
      </w:pPr>
    </w:p>
    <w:p w:rsidR="00EF3DC1" w:rsidRDefault="00EF3DC1" w:rsidP="00062DAA">
      <w:pPr>
        <w:ind w:left="720"/>
        <w:jc w:val="center"/>
        <w:rPr>
          <w:rFonts w:ascii="Cambria" w:hAnsi="Cambria"/>
          <w:sz w:val="24"/>
          <w:szCs w:val="24"/>
        </w:rPr>
      </w:pPr>
      <w:r>
        <w:rPr>
          <w:rFonts w:ascii="Cambria" w:hAnsi="Cambria"/>
          <w:noProof/>
          <w:sz w:val="24"/>
          <w:szCs w:val="24"/>
        </w:rPr>
        <w:drawing>
          <wp:inline distT="0" distB="0" distL="0" distR="0" wp14:anchorId="54EF2BA7" wp14:editId="650E9334">
            <wp:extent cx="3019425" cy="21336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1272" w:rsidRDefault="006976DB" w:rsidP="00147D63">
      <w:pPr>
        <w:pStyle w:val="ListParagraph"/>
        <w:numPr>
          <w:ilvl w:val="0"/>
          <w:numId w:val="16"/>
        </w:numPr>
        <w:rPr>
          <w:rFonts w:ascii="Cambria" w:hAnsi="Cambria"/>
          <w:sz w:val="24"/>
          <w:szCs w:val="24"/>
        </w:rPr>
      </w:pPr>
      <w:r w:rsidRPr="00147D63">
        <w:rPr>
          <w:rFonts w:ascii="Cambria" w:hAnsi="Cambria"/>
          <w:i/>
          <w:sz w:val="24"/>
          <w:szCs w:val="24"/>
          <w:u w:val="single"/>
        </w:rPr>
        <w:t>Connectivity Targets</w:t>
      </w:r>
      <w:r w:rsidRPr="00147D63">
        <w:rPr>
          <w:rFonts w:ascii="Cambria" w:hAnsi="Cambria"/>
          <w:sz w:val="24"/>
          <w:szCs w:val="24"/>
        </w:rPr>
        <w:t xml:space="preserve">.  </w:t>
      </w:r>
      <w:r w:rsidR="00177DCD" w:rsidRPr="00147D63">
        <w:rPr>
          <w:rFonts w:ascii="Cambria" w:hAnsi="Cambria"/>
          <w:sz w:val="24"/>
          <w:szCs w:val="24"/>
        </w:rPr>
        <w:t>The</w:t>
      </w:r>
      <w:r w:rsidR="00513788" w:rsidRPr="00147D63">
        <w:rPr>
          <w:rFonts w:ascii="Cambria" w:hAnsi="Cambria"/>
          <w:sz w:val="24"/>
          <w:szCs w:val="24"/>
        </w:rPr>
        <w:t xml:space="preserve"> connectivity targets </w:t>
      </w:r>
      <w:r w:rsidR="001720EC">
        <w:rPr>
          <w:rFonts w:ascii="Cambria" w:hAnsi="Cambria"/>
          <w:sz w:val="24"/>
          <w:szCs w:val="24"/>
        </w:rPr>
        <w:t>adopted by the Commission</w:t>
      </w:r>
      <w:r w:rsidR="00177DCD" w:rsidRPr="00147D63">
        <w:rPr>
          <w:rFonts w:ascii="Cambria" w:hAnsi="Cambria"/>
          <w:i/>
          <w:iCs/>
          <w:sz w:val="24"/>
          <w:szCs w:val="24"/>
        </w:rPr>
        <w:t xml:space="preserve"> </w:t>
      </w:r>
      <w:r w:rsidR="00177DCD" w:rsidRPr="00147D63">
        <w:rPr>
          <w:rFonts w:ascii="Cambria" w:hAnsi="Cambria"/>
          <w:sz w:val="24"/>
          <w:szCs w:val="24"/>
        </w:rPr>
        <w:t>drew attention to the urgent need for affordable broadband for all schools</w:t>
      </w:r>
      <w:r w:rsidR="004C1272" w:rsidRPr="00147D63">
        <w:rPr>
          <w:rFonts w:ascii="Cambria" w:hAnsi="Cambria"/>
          <w:sz w:val="24"/>
          <w:szCs w:val="24"/>
        </w:rPr>
        <w:t xml:space="preserve">.  </w:t>
      </w:r>
      <w:r w:rsidR="00E64AAF" w:rsidRPr="00147D63">
        <w:rPr>
          <w:rFonts w:ascii="Cambria" w:hAnsi="Cambria"/>
          <w:sz w:val="24"/>
          <w:szCs w:val="24"/>
        </w:rPr>
        <w:t>ESH</w:t>
      </w:r>
      <w:r w:rsidR="008F7686">
        <w:rPr>
          <w:rFonts w:ascii="Cambria" w:hAnsi="Cambria"/>
          <w:sz w:val="24"/>
          <w:szCs w:val="24"/>
        </w:rPr>
        <w:t xml:space="preserve"> analysis</w:t>
      </w:r>
      <w:r w:rsidR="00E64AAF" w:rsidRPr="00147D63">
        <w:rPr>
          <w:rFonts w:ascii="Cambria" w:hAnsi="Cambria"/>
          <w:sz w:val="24"/>
          <w:szCs w:val="24"/>
        </w:rPr>
        <w:t xml:space="preserve"> concluded </w:t>
      </w:r>
      <w:r w:rsidR="008F7686">
        <w:rPr>
          <w:rFonts w:ascii="Cambria" w:hAnsi="Cambria"/>
          <w:sz w:val="24"/>
          <w:szCs w:val="24"/>
        </w:rPr>
        <w:t xml:space="preserve">that </w:t>
      </w:r>
      <w:r w:rsidR="00E64AAF" w:rsidRPr="00147D63">
        <w:rPr>
          <w:rFonts w:ascii="Cambria" w:hAnsi="Cambria"/>
          <w:sz w:val="24"/>
          <w:szCs w:val="24"/>
        </w:rPr>
        <w:t>the Commission’s adoption and promotion of connectivity targets has been a “significant driver of improvements” in the number of districts meeting the targets because “districts knew they needed internet access but did not have a clear sense of how much was needed to support effective digital learning.”</w:t>
      </w:r>
      <w:r w:rsidR="00E64AAF" w:rsidRPr="009F30F3">
        <w:rPr>
          <w:rStyle w:val="FootnoteReference"/>
          <w:rFonts w:ascii="Cambria" w:hAnsi="Cambria"/>
          <w:sz w:val="24"/>
          <w:szCs w:val="24"/>
        </w:rPr>
        <w:footnoteReference w:id="31"/>
      </w:r>
      <w:r w:rsidR="00E64AAF" w:rsidRPr="00147D63">
        <w:rPr>
          <w:rFonts w:ascii="Cambria" w:hAnsi="Cambria"/>
          <w:sz w:val="24"/>
          <w:szCs w:val="24"/>
        </w:rPr>
        <w:t xml:space="preserve"> </w:t>
      </w:r>
    </w:p>
    <w:p w:rsidR="00147D63" w:rsidRPr="00147D63" w:rsidRDefault="00147D63" w:rsidP="00147D63">
      <w:pPr>
        <w:pStyle w:val="ListParagraph"/>
        <w:rPr>
          <w:rFonts w:ascii="Cambria" w:hAnsi="Cambria"/>
          <w:sz w:val="24"/>
          <w:szCs w:val="24"/>
        </w:rPr>
      </w:pPr>
    </w:p>
    <w:p w:rsidR="00AD2A71" w:rsidRPr="00147D63" w:rsidRDefault="006976DB" w:rsidP="00147D63">
      <w:pPr>
        <w:pStyle w:val="ListParagraph"/>
        <w:numPr>
          <w:ilvl w:val="0"/>
          <w:numId w:val="16"/>
        </w:numPr>
        <w:rPr>
          <w:rFonts w:ascii="Cambria" w:hAnsi="Cambria"/>
          <w:sz w:val="24"/>
          <w:szCs w:val="24"/>
        </w:rPr>
      </w:pPr>
      <w:r w:rsidRPr="00147D63">
        <w:rPr>
          <w:rFonts w:ascii="Cambria" w:hAnsi="Cambria"/>
          <w:i/>
          <w:sz w:val="24"/>
          <w:szCs w:val="24"/>
          <w:u w:val="single"/>
        </w:rPr>
        <w:t xml:space="preserve">Competition and </w:t>
      </w:r>
      <w:r w:rsidR="009454A1">
        <w:rPr>
          <w:rFonts w:ascii="Cambria" w:hAnsi="Cambria"/>
          <w:i/>
          <w:sz w:val="24"/>
          <w:szCs w:val="24"/>
          <w:u w:val="single"/>
        </w:rPr>
        <w:t xml:space="preserve">Pricing </w:t>
      </w:r>
      <w:r w:rsidRPr="00147D63">
        <w:rPr>
          <w:rFonts w:ascii="Cambria" w:hAnsi="Cambria"/>
          <w:i/>
          <w:sz w:val="24"/>
          <w:szCs w:val="24"/>
          <w:u w:val="single"/>
        </w:rPr>
        <w:t>Transparency</w:t>
      </w:r>
      <w:r w:rsidRPr="00147D63">
        <w:rPr>
          <w:rFonts w:ascii="Cambria" w:hAnsi="Cambria"/>
          <w:sz w:val="24"/>
          <w:szCs w:val="24"/>
        </w:rPr>
        <w:t xml:space="preserve">.  </w:t>
      </w:r>
      <w:r w:rsidR="00405A05" w:rsidRPr="00147D63">
        <w:rPr>
          <w:rFonts w:ascii="Cambria" w:hAnsi="Cambria"/>
          <w:sz w:val="24"/>
          <w:szCs w:val="24"/>
        </w:rPr>
        <w:t xml:space="preserve">Competitive fiber providers are entering the E-rate market, and the leased dark fiber and self-provisioning options made eligible in the </w:t>
      </w:r>
      <w:r w:rsidR="00405A05" w:rsidRPr="00147D63">
        <w:rPr>
          <w:rFonts w:ascii="Cambria" w:hAnsi="Cambria"/>
          <w:i/>
          <w:iCs/>
          <w:sz w:val="24"/>
          <w:szCs w:val="24"/>
        </w:rPr>
        <w:t>Second E-rate Modernization Order</w:t>
      </w:r>
      <w:r w:rsidR="00405A05" w:rsidRPr="00147D63">
        <w:rPr>
          <w:rFonts w:ascii="Cambria" w:hAnsi="Cambria"/>
          <w:sz w:val="24"/>
          <w:szCs w:val="24"/>
        </w:rPr>
        <w:t xml:space="preserve"> are giving applicants even more options.  ESH</w:t>
      </w:r>
      <w:r w:rsidR="00CF5D6E" w:rsidRPr="00147D63">
        <w:rPr>
          <w:rFonts w:ascii="Cambria" w:hAnsi="Cambria"/>
          <w:sz w:val="24"/>
          <w:szCs w:val="24"/>
        </w:rPr>
        <w:t>’s examination of school districts that upgraded bandwidth in 2015 and 201</w:t>
      </w:r>
      <w:r w:rsidR="005E528A" w:rsidRPr="00147D63">
        <w:rPr>
          <w:rFonts w:ascii="Cambria" w:hAnsi="Cambria"/>
          <w:sz w:val="24"/>
          <w:szCs w:val="24"/>
        </w:rPr>
        <w:t>6</w:t>
      </w:r>
      <w:r w:rsidR="00405A05" w:rsidRPr="00147D63">
        <w:rPr>
          <w:rFonts w:ascii="Cambria" w:hAnsi="Cambria"/>
          <w:sz w:val="24"/>
          <w:szCs w:val="24"/>
        </w:rPr>
        <w:t xml:space="preserve"> </w:t>
      </w:r>
      <w:r w:rsidR="00CF5D6E" w:rsidRPr="00147D63">
        <w:rPr>
          <w:rFonts w:ascii="Cambria" w:hAnsi="Cambria"/>
          <w:sz w:val="24"/>
          <w:szCs w:val="24"/>
        </w:rPr>
        <w:t>found that</w:t>
      </w:r>
      <w:r w:rsidR="00405A05" w:rsidRPr="00147D63">
        <w:rPr>
          <w:rFonts w:ascii="Cambria" w:hAnsi="Cambria"/>
          <w:sz w:val="24"/>
          <w:szCs w:val="24"/>
        </w:rPr>
        <w:t xml:space="preserve"> districts that switched providers </w:t>
      </w:r>
      <w:r w:rsidR="007701B7">
        <w:rPr>
          <w:rFonts w:ascii="Cambria" w:hAnsi="Cambria"/>
          <w:sz w:val="24"/>
          <w:szCs w:val="24"/>
        </w:rPr>
        <w:t>received twice as much additional bandwidth as those that remained with their current provider.  In addition, switchers on average reduced monthly costs 8 percent, compared to a 12 percent increase for non-switchers</w:t>
      </w:r>
      <w:r w:rsidR="00C81780" w:rsidRPr="00147D63">
        <w:rPr>
          <w:rFonts w:ascii="Cambria" w:hAnsi="Cambria"/>
          <w:sz w:val="24"/>
          <w:szCs w:val="24"/>
        </w:rPr>
        <w:t>.</w:t>
      </w:r>
      <w:r w:rsidR="00C81780" w:rsidRPr="009F30F3">
        <w:rPr>
          <w:rStyle w:val="FootnoteReference"/>
          <w:rFonts w:ascii="Cambria" w:hAnsi="Cambria"/>
          <w:sz w:val="24"/>
          <w:szCs w:val="24"/>
        </w:rPr>
        <w:footnoteReference w:id="32"/>
      </w:r>
    </w:p>
    <w:p w:rsidR="00FF43C1" w:rsidRPr="009F30F3" w:rsidRDefault="000A3E1D" w:rsidP="4D559691">
      <w:pPr>
        <w:rPr>
          <w:rFonts w:ascii="Cambria" w:hAnsi="Cambria"/>
          <w:b/>
          <w:bCs/>
          <w:i/>
          <w:iCs/>
          <w:sz w:val="24"/>
          <w:szCs w:val="24"/>
        </w:rPr>
      </w:pPr>
      <w:r w:rsidRPr="009F30F3">
        <w:rPr>
          <w:rFonts w:ascii="Cambria" w:hAnsi="Cambria"/>
          <w:b/>
          <w:bCs/>
          <w:i/>
          <w:iCs/>
          <w:sz w:val="24"/>
          <w:szCs w:val="24"/>
        </w:rPr>
        <w:t>Next Steps</w:t>
      </w:r>
    </w:p>
    <w:p w:rsidR="009333F7" w:rsidRPr="009F30F3" w:rsidRDefault="00D63431" w:rsidP="00191D92">
      <w:pPr>
        <w:rPr>
          <w:rFonts w:ascii="Cambria" w:hAnsi="Cambria"/>
          <w:sz w:val="24"/>
          <w:szCs w:val="24"/>
        </w:rPr>
      </w:pPr>
      <w:r w:rsidRPr="009F30F3">
        <w:rPr>
          <w:rFonts w:ascii="Cambria" w:hAnsi="Cambria"/>
          <w:sz w:val="24"/>
          <w:szCs w:val="24"/>
        </w:rPr>
        <w:t>A continued focus on cost effective purchasing will be necessary</w:t>
      </w:r>
      <w:r w:rsidR="009333F7" w:rsidRPr="009F30F3">
        <w:rPr>
          <w:rFonts w:ascii="Cambria" w:hAnsi="Cambria"/>
          <w:sz w:val="24"/>
          <w:szCs w:val="24"/>
        </w:rPr>
        <w:t xml:space="preserve"> if every school is to achieve the 1 Gbps per 1,000 users connectivity target within the current E-rate spending cap.  ESH estimates that the average price for internet access must be reduced to $3/Mbps in order to </w:t>
      </w:r>
      <w:r w:rsidRPr="009F30F3">
        <w:rPr>
          <w:rFonts w:ascii="Cambria" w:hAnsi="Cambria"/>
          <w:sz w:val="24"/>
          <w:szCs w:val="24"/>
        </w:rPr>
        <w:t>reach the long-term connectivity target</w:t>
      </w:r>
      <w:r w:rsidR="009333F7" w:rsidRPr="009F30F3">
        <w:rPr>
          <w:rFonts w:ascii="Cambria" w:hAnsi="Cambria"/>
          <w:sz w:val="24"/>
          <w:szCs w:val="24"/>
        </w:rPr>
        <w:t>.</w:t>
      </w:r>
      <w:r w:rsidR="009333F7" w:rsidRPr="009F30F3">
        <w:rPr>
          <w:rStyle w:val="FootnoteReference"/>
          <w:rFonts w:ascii="Cambria" w:hAnsi="Cambria"/>
          <w:sz w:val="24"/>
          <w:szCs w:val="24"/>
        </w:rPr>
        <w:footnoteReference w:id="33"/>
      </w:r>
      <w:r w:rsidR="009333F7" w:rsidRPr="009F30F3">
        <w:rPr>
          <w:rFonts w:ascii="Cambria" w:hAnsi="Cambria"/>
          <w:sz w:val="24"/>
          <w:szCs w:val="24"/>
        </w:rPr>
        <w:t xml:space="preserve">  The data shows that this is a realistic goal and that the reforms adopted in the </w:t>
      </w:r>
      <w:r w:rsidR="009333F7" w:rsidRPr="009F30F3">
        <w:rPr>
          <w:rFonts w:ascii="Cambria" w:hAnsi="Cambria"/>
          <w:i/>
          <w:iCs/>
          <w:sz w:val="24"/>
          <w:szCs w:val="24"/>
        </w:rPr>
        <w:t xml:space="preserve">E-rate Modernization Orders </w:t>
      </w:r>
      <w:r w:rsidR="009333F7" w:rsidRPr="009F30F3">
        <w:rPr>
          <w:rFonts w:ascii="Cambria" w:hAnsi="Cambria"/>
          <w:sz w:val="24"/>
          <w:szCs w:val="24"/>
        </w:rPr>
        <w:t>will continue to improve cost effectiveness in the coming years.</w:t>
      </w:r>
    </w:p>
    <w:p w:rsidR="009552B3" w:rsidRDefault="009552B3" w:rsidP="0097225C">
      <w:pPr>
        <w:jc w:val="center"/>
        <w:rPr>
          <w:rFonts w:ascii="Cambria" w:hAnsi="Cambria"/>
          <w:b/>
          <w:bCs/>
          <w:sz w:val="24"/>
          <w:szCs w:val="24"/>
        </w:rPr>
      </w:pPr>
    </w:p>
    <w:p w:rsidR="00FF43C1" w:rsidRPr="009F30F3" w:rsidRDefault="00D55845" w:rsidP="0097225C">
      <w:pPr>
        <w:jc w:val="center"/>
        <w:rPr>
          <w:rFonts w:ascii="Cambria" w:hAnsi="Cambria"/>
          <w:b/>
          <w:bCs/>
          <w:sz w:val="24"/>
          <w:szCs w:val="24"/>
        </w:rPr>
      </w:pPr>
      <w:r w:rsidRPr="009F30F3">
        <w:rPr>
          <w:rFonts w:ascii="Cambria" w:hAnsi="Cambria"/>
          <w:b/>
          <w:bCs/>
          <w:sz w:val="24"/>
          <w:szCs w:val="24"/>
        </w:rPr>
        <w:lastRenderedPageBreak/>
        <w:t>Conclusion</w:t>
      </w:r>
    </w:p>
    <w:p w:rsidR="001625AF" w:rsidRPr="009F30F3" w:rsidRDefault="001625AF" w:rsidP="00191D92">
      <w:pPr>
        <w:rPr>
          <w:rFonts w:ascii="Cambria" w:hAnsi="Cambria"/>
          <w:sz w:val="24"/>
          <w:szCs w:val="24"/>
        </w:rPr>
      </w:pPr>
      <w:r w:rsidRPr="009F30F3">
        <w:rPr>
          <w:rFonts w:ascii="Cambria" w:hAnsi="Cambria"/>
          <w:sz w:val="24"/>
          <w:szCs w:val="24"/>
        </w:rPr>
        <w:t xml:space="preserve">The two years since the adoption of the </w:t>
      </w:r>
      <w:r w:rsidRPr="009F30F3">
        <w:rPr>
          <w:rFonts w:ascii="Cambria" w:hAnsi="Cambria"/>
          <w:i/>
          <w:iCs/>
          <w:sz w:val="24"/>
          <w:szCs w:val="24"/>
        </w:rPr>
        <w:t xml:space="preserve">E-rate Modernization Orders </w:t>
      </w:r>
      <w:r w:rsidRPr="009F30F3">
        <w:rPr>
          <w:rFonts w:ascii="Cambria" w:hAnsi="Cambria"/>
          <w:sz w:val="24"/>
          <w:szCs w:val="24"/>
        </w:rPr>
        <w:t>have seen numerous changes for the E-rate program, USAC, and E-rate applicants.  Though many reforms have only been fully implemented for one funding year, available data already demonstrates progress toward the Commission’s goals of expanding support for Wi-Fi, connecting all schools to fiber, and ensuring financial stability.</w:t>
      </w:r>
    </w:p>
    <w:p w:rsidR="009D3124" w:rsidRPr="00CB4EA3" w:rsidRDefault="009D3124" w:rsidP="00191D92">
      <w:pPr>
        <w:rPr>
          <w:rFonts w:ascii="Cambria" w:hAnsi="Cambria"/>
        </w:rPr>
      </w:pPr>
    </w:p>
    <w:p w:rsidR="00191D92" w:rsidRPr="00CB4EA3" w:rsidRDefault="00191D92" w:rsidP="00191D92">
      <w:pPr>
        <w:rPr>
          <w:rFonts w:ascii="Cambria" w:hAnsi="Cambria"/>
        </w:rPr>
      </w:pPr>
    </w:p>
    <w:p w:rsidR="004B51F5" w:rsidRPr="00CB4EA3" w:rsidRDefault="004B51F5">
      <w:pPr>
        <w:rPr>
          <w:rFonts w:ascii="Cambria" w:hAnsi="Cambria"/>
        </w:rPr>
      </w:pPr>
    </w:p>
    <w:sectPr w:rsidR="004B51F5" w:rsidRPr="00CB4EA3" w:rsidSect="008846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65" w:rsidRDefault="000F4265" w:rsidP="0054774E">
      <w:pPr>
        <w:spacing w:after="0" w:line="240" w:lineRule="auto"/>
      </w:pPr>
      <w:r>
        <w:separator/>
      </w:r>
    </w:p>
  </w:endnote>
  <w:endnote w:type="continuationSeparator" w:id="0">
    <w:p w:rsidR="000F4265" w:rsidRDefault="000F4265" w:rsidP="0054774E">
      <w:pPr>
        <w:spacing w:after="0" w:line="240" w:lineRule="auto"/>
      </w:pPr>
      <w:r>
        <w:continuationSeparator/>
      </w:r>
    </w:p>
  </w:endnote>
  <w:endnote w:type="continuationNotice" w:id="1">
    <w:p w:rsidR="000F4265" w:rsidRDefault="000F4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15869"/>
      <w:docPartObj>
        <w:docPartGallery w:val="Page Numbers (Bottom of Page)"/>
        <w:docPartUnique/>
      </w:docPartObj>
    </w:sdtPr>
    <w:sdtEndPr>
      <w:rPr>
        <w:noProof/>
      </w:rPr>
    </w:sdtEndPr>
    <w:sdtContent>
      <w:p w:rsidR="005A51E0" w:rsidRDefault="005A51E0">
        <w:pPr>
          <w:pStyle w:val="Footer"/>
          <w:jc w:val="center"/>
        </w:pPr>
        <w:r>
          <w:fldChar w:fldCharType="begin"/>
        </w:r>
        <w:r>
          <w:instrText xml:space="preserve"> PAGE   \* MERGEFORMAT </w:instrText>
        </w:r>
        <w:r>
          <w:fldChar w:fldCharType="separate"/>
        </w:r>
        <w:r w:rsidR="0068785B">
          <w:rPr>
            <w:noProof/>
          </w:rPr>
          <w:t>13</w:t>
        </w:r>
        <w:r>
          <w:rPr>
            <w:noProof/>
          </w:rPr>
          <w:fldChar w:fldCharType="end"/>
        </w:r>
      </w:p>
    </w:sdtContent>
  </w:sdt>
  <w:p w:rsidR="000F4265" w:rsidRDefault="000F4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65" w:rsidRDefault="000F4265" w:rsidP="0054774E">
      <w:pPr>
        <w:spacing w:after="0" w:line="240" w:lineRule="auto"/>
      </w:pPr>
      <w:r>
        <w:separator/>
      </w:r>
    </w:p>
  </w:footnote>
  <w:footnote w:type="continuationSeparator" w:id="0">
    <w:p w:rsidR="000F4265" w:rsidRDefault="000F4265" w:rsidP="0054774E">
      <w:pPr>
        <w:spacing w:after="0" w:line="240" w:lineRule="auto"/>
      </w:pPr>
      <w:r>
        <w:continuationSeparator/>
      </w:r>
    </w:p>
  </w:footnote>
  <w:footnote w:type="continuationNotice" w:id="1">
    <w:p w:rsidR="000F4265" w:rsidRDefault="000F4265">
      <w:pPr>
        <w:spacing w:after="0" w:line="240" w:lineRule="auto"/>
      </w:pPr>
    </w:p>
  </w:footnote>
  <w:footnote w:id="2">
    <w:p w:rsidR="000F4265" w:rsidRPr="004273C0" w:rsidRDefault="000F4265" w:rsidP="00D518F4">
      <w:pPr>
        <w:pStyle w:val="FootnoteText"/>
        <w:rPr>
          <w:rFonts w:ascii="Cambria" w:hAnsi="Cambria"/>
        </w:rPr>
      </w:pPr>
      <w:r w:rsidRPr="004273C0">
        <w:rPr>
          <w:rStyle w:val="FootnoteReference"/>
          <w:rFonts w:ascii="Cambria" w:hAnsi="Cambria"/>
        </w:rPr>
        <w:footnoteRef/>
      </w:r>
      <w:r w:rsidRPr="004273C0">
        <w:rPr>
          <w:rFonts w:ascii="Cambria" w:hAnsi="Cambria"/>
        </w:rPr>
        <w:t xml:space="preserve"> </w:t>
      </w:r>
      <w:r w:rsidRPr="004273C0">
        <w:rPr>
          <w:rFonts w:ascii="Cambria" w:hAnsi="Cambria"/>
        </w:rPr>
        <w:softHyphen/>
      </w:r>
      <w:r w:rsidRPr="004273C0">
        <w:rPr>
          <w:rFonts w:ascii="Cambria" w:hAnsi="Cambria"/>
          <w:i/>
          <w:iCs/>
        </w:rPr>
        <w:t>Modernizing the E-rate Program for Schools and Libraries</w:t>
      </w:r>
      <w:r w:rsidRPr="004273C0">
        <w:rPr>
          <w:rFonts w:ascii="Cambria" w:hAnsi="Cambria"/>
        </w:rPr>
        <w:t>, WC Docket No. 13-184, Report and Order and Further Notice of Proposed Rulemaking, 29 FCC Rcd 8870 (2014) (</w:t>
      </w:r>
      <w:r w:rsidRPr="004273C0">
        <w:rPr>
          <w:rFonts w:ascii="Cambria" w:hAnsi="Cambria"/>
          <w:i/>
          <w:iCs/>
        </w:rPr>
        <w:t>First E-rate Modernization Order</w:t>
      </w:r>
      <w:r w:rsidRPr="004273C0">
        <w:rPr>
          <w:rFonts w:ascii="Cambria" w:hAnsi="Cambria"/>
        </w:rPr>
        <w:t xml:space="preserve">); </w:t>
      </w:r>
      <w:r w:rsidRPr="004273C0">
        <w:rPr>
          <w:rFonts w:ascii="Cambria" w:hAnsi="Cambria"/>
          <w:i/>
          <w:iCs/>
        </w:rPr>
        <w:t>Modernizing the E-rate Program for Schools and Libraries, Connect America Fund</w:t>
      </w:r>
      <w:r w:rsidRPr="004273C0">
        <w:rPr>
          <w:rFonts w:ascii="Cambria" w:hAnsi="Cambria"/>
        </w:rPr>
        <w:t>, WC Docket Nos. 13-184, 10-90, Second Report and Order and Order on Reconsideration, 29 FCC Rcd 15538 (2014) (</w:t>
      </w:r>
      <w:r w:rsidRPr="004273C0">
        <w:rPr>
          <w:rFonts w:ascii="Cambria" w:hAnsi="Cambria"/>
          <w:i/>
          <w:iCs/>
        </w:rPr>
        <w:t>Second E-rate Modernization Order</w:t>
      </w:r>
      <w:r w:rsidRPr="004273C0">
        <w:rPr>
          <w:rFonts w:ascii="Cambria" w:hAnsi="Cambria"/>
        </w:rPr>
        <w:t xml:space="preserve">) (collectively, </w:t>
      </w:r>
      <w:r w:rsidRPr="004273C0">
        <w:rPr>
          <w:rFonts w:ascii="Cambria" w:hAnsi="Cambria"/>
          <w:i/>
          <w:iCs/>
        </w:rPr>
        <w:t>E-rate Modernization Orders</w:t>
      </w:r>
      <w:r w:rsidRPr="004273C0">
        <w:rPr>
          <w:rFonts w:ascii="Cambria" w:hAnsi="Cambria"/>
        </w:rPr>
        <w:t>).</w:t>
      </w:r>
    </w:p>
  </w:footnote>
  <w:footnote w:id="3">
    <w:p w:rsidR="000F4265" w:rsidRPr="004273C0" w:rsidRDefault="000F4265" w:rsidP="00C20210">
      <w:pPr>
        <w:pStyle w:val="FootnoteText"/>
        <w:rPr>
          <w:rFonts w:ascii="Cambria" w:hAnsi="Cambria"/>
        </w:rPr>
      </w:pPr>
      <w:r w:rsidRPr="004273C0">
        <w:rPr>
          <w:rStyle w:val="FootnoteReference"/>
          <w:rFonts w:ascii="Cambria" w:hAnsi="Cambria"/>
        </w:rPr>
        <w:footnoteRef/>
      </w:r>
      <w:r w:rsidRPr="004273C0">
        <w:rPr>
          <w:rFonts w:ascii="Cambria" w:hAnsi="Cambria"/>
        </w:rPr>
        <w:t xml:space="preserve"> </w:t>
      </w:r>
      <w:r w:rsidRPr="004273C0">
        <w:rPr>
          <w:rFonts w:ascii="Cambria" w:hAnsi="Cambria"/>
          <w:i/>
          <w:iCs/>
        </w:rPr>
        <w:t>First E-rate Modernization Order</w:t>
      </w:r>
      <w:r w:rsidRPr="004273C0">
        <w:rPr>
          <w:rFonts w:ascii="Cambria" w:hAnsi="Cambria"/>
        </w:rPr>
        <w:t>, 29 FCC Rcd at 8885, para. 34.</w:t>
      </w:r>
    </w:p>
  </w:footnote>
  <w:footnote w:id="4">
    <w:p w:rsidR="000F4265" w:rsidRPr="009552B3" w:rsidRDefault="000F4265">
      <w:pPr>
        <w:pStyle w:val="FootnoteText"/>
        <w:rPr>
          <w:rFonts w:ascii="Cambria" w:hAnsi="Cambria"/>
        </w:rPr>
      </w:pPr>
      <w:r w:rsidRPr="004273C0">
        <w:rPr>
          <w:rStyle w:val="FootnoteReference"/>
          <w:rFonts w:ascii="Cambria" w:hAnsi="Cambria"/>
        </w:rPr>
        <w:footnoteRef/>
      </w:r>
      <w:r w:rsidRPr="004273C0">
        <w:rPr>
          <w:rFonts w:ascii="Cambria" w:hAnsi="Cambria"/>
        </w:rPr>
        <w:t xml:space="preserve"> EducationSuperHighway, 2015 State of the States Report (2015) at 6, </w:t>
      </w:r>
      <w:hyperlink r:id="rId1" w:history="1">
        <w:r w:rsidRPr="009552B3">
          <w:rPr>
            <w:rStyle w:val="Hyperlink"/>
            <w:rFonts w:ascii="Cambria" w:hAnsi="Cambria"/>
          </w:rPr>
          <w:t>http://stateofthestates.educationsuperhighway.org/</w:t>
        </w:r>
      </w:hyperlink>
      <w:r w:rsidRPr="009552B3">
        <w:rPr>
          <w:rFonts w:ascii="Cambria" w:hAnsi="Cambria"/>
        </w:rPr>
        <w:t xml:space="preserve">. (2015 State of the States) </w:t>
      </w:r>
    </w:p>
  </w:footnote>
  <w:footnote w:id="5">
    <w:p w:rsidR="000F4265" w:rsidRPr="009552B3" w:rsidRDefault="000F4265" w:rsidP="00C20210">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This analysis relies on applicant responses to the connectivity survey questions on the certified funding year 2016 E-rate applications submitted to USAC. The Consortium for School Networking (CoSN) found similar results: 68% of school districts responded that all schools met the short term internet access target, up from 19%in 2013, with 80% of districts responding that three-fourths of their schools met the targets.  CoSN noted that progress was equal across urban rural, and suburban districts. </w:t>
      </w:r>
      <w:r w:rsidRPr="009552B3">
        <w:rPr>
          <w:rFonts w:ascii="Cambria" w:hAnsi="Cambria"/>
          <w:i/>
          <w:iCs/>
        </w:rPr>
        <w:t xml:space="preserve">See </w:t>
      </w:r>
      <w:r w:rsidRPr="009552B3">
        <w:rPr>
          <w:rFonts w:ascii="Cambria" w:hAnsi="Cambria"/>
        </w:rPr>
        <w:t xml:space="preserve">Consortium for School Networking, 2016 Annual E-rate and Infrastructure Survey, at 9-10 (2016), </w:t>
      </w:r>
      <w:hyperlink r:id="rId2" w:history="1">
        <w:r w:rsidRPr="009552B3">
          <w:rPr>
            <w:rStyle w:val="Hyperlink"/>
            <w:rFonts w:ascii="Cambria" w:hAnsi="Cambria"/>
          </w:rPr>
          <w:t>http://www.cosn.org/about/news/school-technology-makes-progress-yet-challenges-remain%E2%80%94cosn%E2%80%99s-2016-infrastructure-survey</w:t>
        </w:r>
      </w:hyperlink>
      <w:r w:rsidRPr="009552B3">
        <w:rPr>
          <w:rStyle w:val="Hyperlink"/>
          <w:rFonts w:ascii="Cambria" w:hAnsi="Cambria"/>
        </w:rPr>
        <w:t xml:space="preserve">. </w:t>
      </w:r>
      <w:r w:rsidRPr="009552B3">
        <w:rPr>
          <w:rStyle w:val="Hyperlink"/>
          <w:rFonts w:ascii="Cambria" w:hAnsi="Cambria"/>
          <w:color w:val="auto"/>
          <w:u w:val="none"/>
        </w:rPr>
        <w:t>(2016 CoSN Survey)</w:t>
      </w:r>
      <w:r w:rsidRPr="009552B3">
        <w:rPr>
          <w:rStyle w:val="Hyperlink"/>
          <w:rFonts w:ascii="Cambria" w:hAnsi="Cambria"/>
        </w:rPr>
        <w:t xml:space="preserve"> </w:t>
      </w:r>
    </w:p>
  </w:footnote>
  <w:footnote w:id="6">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4273C0">
        <w:rPr>
          <w:rFonts w:ascii="Cambria" w:hAnsi="Cambria"/>
        </w:rPr>
        <w:t xml:space="preserve">The E-rate Eligible Services List contains a complete list of services and equipment eligible for E-rate support as well as descriptions of service Categories.  </w:t>
      </w:r>
      <w:r w:rsidRPr="004273C0">
        <w:rPr>
          <w:rFonts w:ascii="Cambria" w:hAnsi="Cambria"/>
          <w:i/>
        </w:rPr>
        <w:t xml:space="preserve">See </w:t>
      </w:r>
      <w:r w:rsidRPr="004273C0">
        <w:rPr>
          <w:rFonts w:ascii="Cambria" w:hAnsi="Cambria"/>
        </w:rPr>
        <w:t xml:space="preserve">USAC, Eligible Services List, </w:t>
      </w:r>
      <w:hyperlink r:id="rId3" w:history="1">
        <w:r w:rsidRPr="009552B3">
          <w:rPr>
            <w:rStyle w:val="Hyperlink"/>
            <w:rFonts w:ascii="Cambria" w:hAnsi="Cambria"/>
          </w:rPr>
          <w:t>http://www.usac.org/sl/applicants/beforeyoubegin/eligible-services-list.aspx</w:t>
        </w:r>
      </w:hyperlink>
      <w:r w:rsidRPr="009552B3">
        <w:rPr>
          <w:rFonts w:ascii="Cambria" w:hAnsi="Cambria"/>
        </w:rPr>
        <w:t xml:space="preserve">. </w:t>
      </w:r>
    </w:p>
  </w:footnote>
  <w:footnote w:id="7">
    <w:p w:rsidR="000F4265" w:rsidRPr="009552B3" w:rsidRDefault="000F4265" w:rsidP="009F30F3">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E-rate Modernization Staff Report, WC Docket No. 13-184, Public Notice, 29 FCC Rcd 9644, attach. at 9647-48, para. 6 (WCB 2014).</w:t>
      </w:r>
    </w:p>
  </w:footnote>
  <w:footnote w:id="8">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FCC, Modernizing E-rate: Providing 21</w:t>
      </w:r>
      <w:r w:rsidRPr="009552B3">
        <w:rPr>
          <w:rFonts w:ascii="Cambria" w:hAnsi="Cambria"/>
          <w:vertAlign w:val="superscript"/>
        </w:rPr>
        <w:t>st</w:t>
      </w:r>
      <w:r w:rsidRPr="009552B3">
        <w:rPr>
          <w:rFonts w:ascii="Cambria" w:hAnsi="Cambria"/>
        </w:rPr>
        <w:t xml:space="preserve"> Century Wi-Fi Networks for Schools and Libraries across America at 5 (2014), </w:t>
      </w:r>
      <w:hyperlink r:id="rId4" w:history="1">
        <w:r w:rsidRPr="009552B3">
          <w:rPr>
            <w:rStyle w:val="Hyperlink"/>
            <w:rFonts w:ascii="Cambria" w:hAnsi="Cambria"/>
          </w:rPr>
          <w:t>https://apps.fcc.gov/edocs_public/attachmatch/DOC-327993A1.pdf</w:t>
        </w:r>
      </w:hyperlink>
      <w:r w:rsidRPr="009552B3">
        <w:rPr>
          <w:rFonts w:ascii="Cambria" w:hAnsi="Cambria"/>
        </w:rPr>
        <w:t xml:space="preserve">. </w:t>
      </w:r>
    </w:p>
  </w:footnote>
  <w:footnote w:id="9">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rPr>
        <w:t xml:space="preserve">See </w:t>
      </w:r>
      <w:r>
        <w:rPr>
          <w:rFonts w:ascii="Cambria" w:hAnsi="Cambria"/>
          <w:i/>
        </w:rPr>
        <w:t>infra</w:t>
      </w:r>
      <w:r w:rsidRPr="009552B3">
        <w:rPr>
          <w:rFonts w:ascii="Cambria" w:hAnsi="Cambria"/>
        </w:rPr>
        <w:t xml:space="preserve"> at </w:t>
      </w:r>
      <w:r>
        <w:rPr>
          <w:rFonts w:ascii="Cambria" w:hAnsi="Cambria"/>
        </w:rPr>
        <w:t xml:space="preserve"> 5-6</w:t>
      </w:r>
      <w:r w:rsidRPr="009552B3">
        <w:rPr>
          <w:rFonts w:ascii="Cambria" w:hAnsi="Cambria"/>
        </w:rPr>
        <w:t>.</w:t>
      </w:r>
    </w:p>
  </w:footnote>
  <w:footnote w:id="10">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4273C0">
        <w:rPr>
          <w:rFonts w:ascii="Cambria" w:hAnsi="Cambria"/>
          <w:i/>
        </w:rPr>
        <w:t>See</w:t>
      </w:r>
      <w:r w:rsidRPr="004273C0">
        <w:rPr>
          <w:rFonts w:ascii="Cambria" w:hAnsi="Cambria"/>
        </w:rPr>
        <w:t xml:space="preserve"> E-rate Funding Year Public Notice available at </w:t>
      </w:r>
      <w:hyperlink r:id="rId5" w:history="1">
        <w:r w:rsidRPr="009552B3">
          <w:rPr>
            <w:rStyle w:val="Hyperlink"/>
            <w:rFonts w:ascii="Cambria" w:hAnsi="Cambria"/>
          </w:rPr>
          <w:t>https://apps.fcc.gov/edocs_public/attachmatch/DA-16-629A1_Rcd.pdf</w:t>
        </w:r>
      </w:hyperlink>
      <w:r w:rsidRPr="009552B3">
        <w:rPr>
          <w:rFonts w:ascii="Cambria" w:hAnsi="Cambria"/>
        </w:rPr>
        <w:t>.  (Announcing  that there is sufficient funding available to fully meet the Universal Service Company’s (USAC) estimated demand for category one and category two requests for E-rate supported services for funding year 2016) .</w:t>
      </w:r>
    </w:p>
  </w:footnote>
  <w:footnote w:id="11">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Funding data based on FCC staff analysis of USAC data.  </w:t>
      </w:r>
      <w:r w:rsidRPr="009552B3">
        <w:rPr>
          <w:rFonts w:ascii="Cambria" w:hAnsi="Cambria"/>
          <w:i/>
        </w:rPr>
        <w:t>See</w:t>
      </w:r>
      <w:r w:rsidRPr="009552B3">
        <w:rPr>
          <w:rFonts w:ascii="Cambria" w:hAnsi="Cambria"/>
        </w:rPr>
        <w:t xml:space="preserve">, Schools and Libraries Data Retrieval Tool </w:t>
      </w:r>
      <w:hyperlink r:id="rId6" w:history="1">
        <w:r w:rsidRPr="009552B3">
          <w:rPr>
            <w:rStyle w:val="Hyperlink"/>
            <w:rFonts w:ascii="Cambria" w:hAnsi="Cambria"/>
          </w:rPr>
          <w:t>http://www.slforms.universalservice.org/drt/default.aspx</w:t>
        </w:r>
      </w:hyperlink>
      <w:r w:rsidRPr="009552B3">
        <w:rPr>
          <w:rFonts w:ascii="Cambria" w:hAnsi="Cambria"/>
        </w:rPr>
        <w:t xml:space="preserve">. </w:t>
      </w:r>
    </w:p>
  </w:footnote>
  <w:footnote w:id="12">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Wireline Competition Bureau Releases E-rate Modernization Staff Report and Online Maps of School and Library Fiber Connectivity Data, Public Notice, 29 FCC Rcd 9647 (Attach)(2014).</w:t>
      </w:r>
    </w:p>
  </w:footnote>
  <w:footnote w:id="13">
    <w:p w:rsidR="000F4265" w:rsidRPr="000F4265" w:rsidRDefault="000F4265">
      <w:pPr>
        <w:pStyle w:val="FootnoteText"/>
        <w:rPr>
          <w:rFonts w:ascii="Cambria" w:hAnsi="Cambria"/>
        </w:rPr>
      </w:pPr>
      <w:r w:rsidRPr="004273C0">
        <w:rPr>
          <w:rStyle w:val="FootnoteReference"/>
          <w:rFonts w:ascii="Cambria" w:hAnsi="Cambria"/>
        </w:rPr>
        <w:footnoteRef/>
      </w:r>
      <w:r w:rsidRPr="004273C0">
        <w:rPr>
          <w:rFonts w:ascii="Cambria" w:hAnsi="Cambria"/>
        </w:rPr>
        <w:t xml:space="preserve"> CoSN 2016 Survey at</w:t>
      </w:r>
      <w:r w:rsidRPr="000F4265">
        <w:rPr>
          <w:rFonts w:ascii="Cambria" w:hAnsi="Cambria"/>
        </w:rPr>
        <w:t xml:space="preserve"> 15.</w:t>
      </w:r>
    </w:p>
  </w:footnote>
  <w:footnote w:id="14">
    <w:p w:rsidR="000F4265" w:rsidRPr="009552B3" w:rsidRDefault="000F4265">
      <w:pPr>
        <w:pStyle w:val="FootnoteText"/>
        <w:rPr>
          <w:rFonts w:ascii="Cambria" w:hAnsi="Cambria"/>
        </w:rPr>
      </w:pPr>
      <w:r w:rsidRPr="000F4265">
        <w:rPr>
          <w:rStyle w:val="FootnoteReference"/>
          <w:rFonts w:ascii="Cambria" w:hAnsi="Cambria"/>
        </w:rPr>
        <w:footnoteRef/>
      </w:r>
      <w:r w:rsidRPr="000F4265">
        <w:rPr>
          <w:rFonts w:ascii="Cambria" w:hAnsi="Cambria"/>
        </w:rPr>
        <w:t xml:space="preserve"> </w:t>
      </w:r>
      <w:r w:rsidRPr="000F4265">
        <w:rPr>
          <w:rFonts w:ascii="Cambria" w:hAnsi="Cambria"/>
          <w:i/>
          <w:iCs/>
        </w:rPr>
        <w:t>Second E-rate Modernization Order</w:t>
      </w:r>
      <w:r w:rsidRPr="000F4265">
        <w:rPr>
          <w:rFonts w:ascii="Cambria" w:hAnsi="Cambria"/>
        </w:rPr>
        <w:t xml:space="preserve">, 29 FCC Rcd </w:t>
      </w:r>
      <w:r w:rsidRPr="009552B3">
        <w:rPr>
          <w:rFonts w:ascii="Cambria" w:hAnsi="Cambria"/>
        </w:rPr>
        <w:t>at 15575, para. 93.</w:t>
      </w:r>
    </w:p>
  </w:footnote>
  <w:footnote w:id="15">
    <w:p w:rsidR="000F4265" w:rsidRPr="000F4265" w:rsidRDefault="000F4265" w:rsidP="003B093D">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iCs/>
        </w:rPr>
        <w:t>Id</w:t>
      </w:r>
      <w:r w:rsidRPr="009552B3">
        <w:rPr>
          <w:rFonts w:ascii="Cambria" w:hAnsi="Cambria"/>
          <w:iCs/>
        </w:rPr>
        <w:t xml:space="preserve">. </w:t>
      </w:r>
      <w:r>
        <w:rPr>
          <w:rFonts w:ascii="Cambria" w:hAnsi="Cambria"/>
          <w:iCs/>
        </w:rPr>
        <w:t>a</w:t>
      </w:r>
      <w:r w:rsidRPr="004273C0">
        <w:rPr>
          <w:rFonts w:ascii="Cambria" w:hAnsi="Cambria"/>
          <w:iCs/>
        </w:rPr>
        <w:t>t 15576-77,</w:t>
      </w:r>
      <w:r w:rsidRPr="000F4265">
        <w:rPr>
          <w:rFonts w:ascii="Cambria" w:hAnsi="Cambria"/>
        </w:rPr>
        <w:t xml:space="preserve"> paras. 95-96.</w:t>
      </w:r>
    </w:p>
  </w:footnote>
  <w:footnote w:id="16">
    <w:p w:rsidR="000F4265" w:rsidRPr="000F4265" w:rsidRDefault="000F4265">
      <w:pPr>
        <w:pStyle w:val="FootnoteText"/>
        <w:rPr>
          <w:rFonts w:ascii="Cambria" w:hAnsi="Cambria"/>
        </w:rPr>
      </w:pPr>
      <w:r w:rsidRPr="000F4265">
        <w:rPr>
          <w:rStyle w:val="FootnoteReference"/>
          <w:rFonts w:ascii="Cambria" w:hAnsi="Cambria"/>
        </w:rPr>
        <w:footnoteRef/>
      </w:r>
      <w:r w:rsidRPr="000F4265">
        <w:rPr>
          <w:rFonts w:ascii="Cambria" w:hAnsi="Cambria"/>
        </w:rPr>
        <w:t xml:space="preserve"> </w:t>
      </w:r>
      <w:r w:rsidRPr="000F4265">
        <w:rPr>
          <w:rFonts w:ascii="Cambria" w:hAnsi="Cambria"/>
          <w:i/>
        </w:rPr>
        <w:t>Id</w:t>
      </w:r>
      <w:r w:rsidRPr="000F4265">
        <w:rPr>
          <w:rFonts w:ascii="Cambria" w:hAnsi="Cambria"/>
        </w:rPr>
        <w:t xml:space="preserve">. </w:t>
      </w:r>
      <w:r>
        <w:rPr>
          <w:rFonts w:ascii="Cambria" w:hAnsi="Cambria"/>
        </w:rPr>
        <w:t>a</w:t>
      </w:r>
      <w:r w:rsidRPr="004273C0">
        <w:rPr>
          <w:rFonts w:ascii="Cambria" w:hAnsi="Cambria"/>
        </w:rPr>
        <w:t>t 15544, para. 14.</w:t>
      </w:r>
    </w:p>
  </w:footnote>
  <w:footnote w:id="17">
    <w:p w:rsidR="000F4265" w:rsidRPr="004273C0" w:rsidRDefault="000F4265">
      <w:pPr>
        <w:pStyle w:val="FootnoteText"/>
        <w:rPr>
          <w:rFonts w:ascii="Cambria" w:hAnsi="Cambria"/>
        </w:rPr>
      </w:pPr>
      <w:r w:rsidRPr="000F4265">
        <w:rPr>
          <w:rStyle w:val="FootnoteReference"/>
          <w:rFonts w:ascii="Cambria" w:hAnsi="Cambria"/>
        </w:rPr>
        <w:footnoteRef/>
      </w:r>
      <w:r w:rsidRPr="000F4265">
        <w:rPr>
          <w:rFonts w:ascii="Cambria" w:hAnsi="Cambria"/>
        </w:rPr>
        <w:t xml:space="preserve"> EducationSuperHighway, 2016 State of the States at </w:t>
      </w:r>
      <w:r>
        <w:rPr>
          <w:rFonts w:ascii="Cambria" w:hAnsi="Cambria"/>
        </w:rPr>
        <w:t>12</w:t>
      </w:r>
      <w:r w:rsidRPr="004273C0">
        <w:rPr>
          <w:rFonts w:ascii="Cambria" w:hAnsi="Cambria"/>
        </w:rPr>
        <w:t xml:space="preserve"> (2017), https://s3-us-west-1.amazonaws.com/esh-sots-pdfs/2016_national_report_K12_broadband.pdf</w:t>
      </w:r>
      <w:r w:rsidRPr="004273C0" w:rsidDel="004273C0">
        <w:rPr>
          <w:rFonts w:ascii="Cambria" w:hAnsi="Cambria"/>
        </w:rPr>
        <w:t xml:space="preserve"> </w:t>
      </w:r>
      <w:r w:rsidRPr="004273C0">
        <w:rPr>
          <w:rFonts w:ascii="Cambria" w:hAnsi="Cambria"/>
        </w:rPr>
        <w:t xml:space="preserve"> (2016 State of the States)</w:t>
      </w:r>
      <w:r>
        <w:rPr>
          <w:rFonts w:ascii="Cambria" w:hAnsi="Cambria"/>
        </w:rPr>
        <w:t>.</w:t>
      </w:r>
    </w:p>
  </w:footnote>
  <w:footnote w:id="18">
    <w:p w:rsidR="000F4265" w:rsidRPr="009552B3" w:rsidRDefault="000F4265" w:rsidP="00412969">
      <w:pPr>
        <w:pStyle w:val="FootnoteText"/>
        <w:rPr>
          <w:rFonts w:ascii="Cambria" w:hAnsi="Cambria"/>
        </w:rPr>
      </w:pPr>
      <w:r w:rsidRPr="000F4265">
        <w:rPr>
          <w:rStyle w:val="FootnoteReference"/>
          <w:rFonts w:ascii="Cambria" w:hAnsi="Cambria"/>
        </w:rPr>
        <w:footnoteRef/>
      </w:r>
      <w:r w:rsidRPr="000F4265">
        <w:rPr>
          <w:rFonts w:ascii="Cambria" w:hAnsi="Cambria"/>
        </w:rPr>
        <w:t xml:space="preserve"> The ESH analysis counts “campuses,” which include physical sites containing co-located schools (e.g. a middle school and high school sharing a building and therefore a single fiber connection), as a single school.  ESH developed an algorithm that estimates the total number of campuses by detecting schools with the same street address or very close physical proximity.  </w:t>
      </w:r>
      <w:r w:rsidRPr="000F4265">
        <w:rPr>
          <w:rFonts w:ascii="Cambria" w:hAnsi="Cambria"/>
          <w:i/>
        </w:rPr>
        <w:t xml:space="preserve">See </w:t>
      </w:r>
      <w:r w:rsidRPr="000F4265">
        <w:rPr>
          <w:rFonts w:ascii="Cambria" w:hAnsi="Cambria"/>
        </w:rPr>
        <w:t>2015 State of the States at 120.</w:t>
      </w:r>
    </w:p>
  </w:footnote>
  <w:footnote w:id="19">
    <w:p w:rsidR="000F4265" w:rsidRPr="000F4265"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USAC funding year 2016 data as of January </w:t>
      </w:r>
      <w:r>
        <w:rPr>
          <w:rFonts w:ascii="Cambria" w:hAnsi="Cambria"/>
        </w:rPr>
        <w:t>17</w:t>
      </w:r>
      <w:r w:rsidRPr="000F4265">
        <w:rPr>
          <w:rFonts w:ascii="Cambria" w:hAnsi="Cambria"/>
        </w:rPr>
        <w:t xml:space="preserve">, 2017. </w:t>
      </w:r>
    </w:p>
  </w:footnote>
  <w:footnote w:id="20">
    <w:p w:rsidR="000F4265" w:rsidRPr="000F4265" w:rsidRDefault="000F4265">
      <w:pPr>
        <w:pStyle w:val="FootnoteText"/>
        <w:rPr>
          <w:rFonts w:ascii="Cambria" w:hAnsi="Cambria"/>
        </w:rPr>
      </w:pPr>
      <w:r w:rsidRPr="000F4265">
        <w:rPr>
          <w:rStyle w:val="FootnoteReference"/>
          <w:rFonts w:ascii="Cambria" w:hAnsi="Cambria"/>
        </w:rPr>
        <w:footnoteRef/>
      </w:r>
      <w:r w:rsidRPr="000F4265">
        <w:rPr>
          <w:rFonts w:ascii="Cambria" w:hAnsi="Cambria"/>
        </w:rPr>
        <w:t xml:space="preserve"> Letter from Evan Marwell, CEO, EducationSuperHighway, to Marlene H. Dortch, Secretary, FCC, WC Docket No. 13-184, attach. </w:t>
      </w:r>
      <w:r>
        <w:rPr>
          <w:rFonts w:ascii="Cambria" w:hAnsi="Cambria"/>
        </w:rPr>
        <w:t>a</w:t>
      </w:r>
      <w:r w:rsidRPr="000F4265">
        <w:rPr>
          <w:rFonts w:ascii="Cambria" w:hAnsi="Cambria"/>
        </w:rPr>
        <w:t>t 4 (filed Nov. 18, 2016) (ESH Funding the Gap Presentation).</w:t>
      </w:r>
    </w:p>
  </w:footnote>
  <w:footnote w:id="21">
    <w:p w:rsidR="000F4265" w:rsidRPr="009552B3" w:rsidRDefault="000F4265" w:rsidP="00D0206F">
      <w:pPr>
        <w:pStyle w:val="FootnoteText"/>
        <w:rPr>
          <w:rFonts w:ascii="Cambria" w:hAnsi="Cambria"/>
        </w:rPr>
      </w:pPr>
      <w:r w:rsidRPr="000F4265">
        <w:rPr>
          <w:rStyle w:val="FootnoteReference"/>
          <w:rFonts w:ascii="Cambria" w:hAnsi="Cambria"/>
        </w:rPr>
        <w:footnoteRef/>
      </w:r>
      <w:r w:rsidRPr="009552B3">
        <w:rPr>
          <w:rFonts w:ascii="Cambria" w:hAnsi="Cambria"/>
        </w:rPr>
        <w:t xml:space="preserve"> Letter from Governor Susana Martinez, New Mexico, to Marlene H. Dortch, Secretary, FCC, WC Docket No. 13-184 (filed Aug. 15, 2016); Letter from Governor Greg Abbott, Texas, to Marlene H. Dortch, Secretary, FCC, WC Docket No. 13-184 (filed Nov. 14, 2016). Governor Hassan was elected to the U.S. Senate in 2016.</w:t>
      </w:r>
    </w:p>
    <w:p w:rsidR="000F4265" w:rsidRPr="009552B3" w:rsidRDefault="000F4265" w:rsidP="00BD7474">
      <w:pPr>
        <w:pStyle w:val="FootnoteText"/>
        <w:rPr>
          <w:rFonts w:ascii="Cambria" w:hAnsi="Cambria"/>
        </w:rPr>
      </w:pPr>
    </w:p>
  </w:footnote>
  <w:footnote w:id="22">
    <w:p w:rsidR="000F4265" w:rsidRPr="009552B3" w:rsidRDefault="000F4265">
      <w:pPr>
        <w:pStyle w:val="FootnoteText"/>
        <w:rPr>
          <w:rFonts w:ascii="Cambria" w:hAnsi="Cambria"/>
          <w:iCs/>
        </w:rPr>
      </w:pPr>
      <w:r w:rsidRPr="009552B3">
        <w:rPr>
          <w:rStyle w:val="FootnoteReference"/>
          <w:rFonts w:ascii="Cambria" w:hAnsi="Cambria"/>
        </w:rPr>
        <w:footnoteRef/>
      </w:r>
      <w:r w:rsidRPr="009552B3">
        <w:rPr>
          <w:rFonts w:ascii="Cambria" w:hAnsi="Cambria"/>
        </w:rPr>
        <w:t xml:space="preserve"> Prior to funding year 2015, the annual E-rate budget was $2.41 billion.  That budget was based on an initial $2.25 billion budget that the Commission began adjusting the budget for inflation in the 2010. </w:t>
      </w:r>
      <w:r w:rsidRPr="009552B3">
        <w:rPr>
          <w:rFonts w:ascii="Cambria" w:hAnsi="Cambria"/>
          <w:i/>
        </w:rPr>
        <w:t>See Schools and Libraries Universal Service Support Mechanism, A National Broadband Plan for our Future</w:t>
      </w:r>
      <w:r w:rsidRPr="009552B3">
        <w:rPr>
          <w:rFonts w:ascii="Cambria" w:hAnsi="Cambria"/>
        </w:rPr>
        <w:t>, CC Docket No. 02-6, GN Docket No. 09-51, Order,</w:t>
      </w:r>
      <w:r w:rsidRPr="009552B3">
        <w:rPr>
          <w:rFonts w:ascii="Cambria" w:hAnsi="Cambria"/>
          <w:i/>
        </w:rPr>
        <w:t xml:space="preserve"> </w:t>
      </w:r>
      <w:r w:rsidRPr="009552B3">
        <w:rPr>
          <w:rFonts w:ascii="Cambria" w:hAnsi="Cambria"/>
        </w:rPr>
        <w:t>25 FCC Rcd 18762, 18780-83, paras. 35-40 (2010).</w:t>
      </w:r>
    </w:p>
  </w:footnote>
  <w:footnote w:id="23">
    <w:p w:rsidR="000F4265" w:rsidRPr="009552B3" w:rsidRDefault="000F4265" w:rsidP="00E25BC1">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iCs/>
        </w:rPr>
        <w:t>Second E-rate Modernization Order</w:t>
      </w:r>
      <w:r w:rsidRPr="009552B3">
        <w:rPr>
          <w:rFonts w:ascii="Cambria" w:hAnsi="Cambria"/>
        </w:rPr>
        <w:t>, 29 FCC Rcd at 15569, para. 77.</w:t>
      </w:r>
    </w:p>
  </w:footnote>
  <w:footnote w:id="24">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iCs/>
        </w:rPr>
        <w:t>First E-rate Modernization Order</w:t>
      </w:r>
      <w:r w:rsidRPr="009552B3">
        <w:rPr>
          <w:rFonts w:ascii="Cambria" w:hAnsi="Cambria"/>
        </w:rPr>
        <w:t>, 29 FCC Rcd at 8922-8931, paras. 134-150.</w:t>
      </w:r>
    </w:p>
  </w:footnote>
  <w:footnote w:id="25">
    <w:p w:rsidR="000F4265" w:rsidRPr="009552B3" w:rsidRDefault="000F4265" w:rsidP="00A23CCB">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iCs/>
        </w:rPr>
        <w:t>First E-rate Modernization Order</w:t>
      </w:r>
      <w:r w:rsidRPr="009552B3">
        <w:rPr>
          <w:rFonts w:ascii="Cambria" w:hAnsi="Cambria"/>
        </w:rPr>
        <w:t>, 29 FCC Rcd at 8890, para. 50.</w:t>
      </w:r>
    </w:p>
  </w:footnote>
  <w:footnote w:id="26">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iCs/>
        </w:rPr>
        <w:t>Id.</w:t>
      </w:r>
      <w:r w:rsidRPr="009552B3">
        <w:rPr>
          <w:rFonts w:ascii="Cambria" w:hAnsi="Cambria"/>
        </w:rPr>
        <w:t xml:space="preserve">  at 8934 para. 156.</w:t>
      </w:r>
    </w:p>
  </w:footnote>
  <w:footnote w:id="27">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USAC FY2016 Demand Letter, </w:t>
      </w:r>
      <w:hyperlink r:id="rId7" w:history="1">
        <w:r w:rsidRPr="009552B3">
          <w:rPr>
            <w:rStyle w:val="Hyperlink"/>
            <w:rFonts w:ascii="Cambria" w:hAnsi="Cambria"/>
          </w:rPr>
          <w:t>http://www.usac.org/_res/documents/sl/pdf/tools/FY2016-Demand-Estimate-May26-Window.pdf</w:t>
        </w:r>
      </w:hyperlink>
      <w:r w:rsidRPr="009552B3">
        <w:rPr>
          <w:rFonts w:ascii="Cambria" w:hAnsi="Cambria"/>
        </w:rPr>
        <w:t xml:space="preserve">. </w:t>
      </w:r>
    </w:p>
  </w:footnote>
  <w:footnote w:id="28">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iCs/>
        </w:rPr>
        <w:t>First E-rate Modernization Order</w:t>
      </w:r>
      <w:r w:rsidRPr="009552B3">
        <w:rPr>
          <w:rFonts w:ascii="Cambria" w:hAnsi="Cambria"/>
        </w:rPr>
        <w:t>, 29 FCC Rcd at 8934-35, paras 155-157.</w:t>
      </w:r>
    </w:p>
  </w:footnote>
  <w:footnote w:id="29">
    <w:p w:rsidR="000F4265" w:rsidRPr="000F4265" w:rsidRDefault="000F4265">
      <w:pPr>
        <w:pStyle w:val="FootnoteText"/>
        <w:rPr>
          <w:rFonts w:ascii="Cambria" w:hAnsi="Cambria"/>
        </w:rPr>
      </w:pPr>
      <w:r w:rsidRPr="009552B3">
        <w:rPr>
          <w:rStyle w:val="FootnoteReference"/>
          <w:rFonts w:ascii="Cambria" w:hAnsi="Cambria"/>
        </w:rPr>
        <w:footnoteRef/>
      </w:r>
      <w:r w:rsidR="009552B3">
        <w:rPr>
          <w:rFonts w:ascii="Cambria" w:hAnsi="Cambria"/>
        </w:rPr>
        <w:t xml:space="preserve"> 2016 State of the States</w:t>
      </w:r>
      <w:r w:rsidRPr="009552B3">
        <w:rPr>
          <w:rFonts w:ascii="Cambria" w:hAnsi="Cambria"/>
        </w:rPr>
        <w:t xml:space="preserve"> </w:t>
      </w:r>
      <w:r>
        <w:rPr>
          <w:rFonts w:ascii="Cambria" w:hAnsi="Cambria"/>
        </w:rPr>
        <w:t>at</w:t>
      </w:r>
      <w:r w:rsidRPr="000F4265">
        <w:rPr>
          <w:rFonts w:ascii="Cambria" w:hAnsi="Cambria"/>
        </w:rPr>
        <w:t xml:space="preserve"> 8.</w:t>
      </w:r>
    </w:p>
  </w:footnote>
  <w:footnote w:id="30">
    <w:p w:rsidR="000F4265" w:rsidRPr="009552B3" w:rsidRDefault="000F4265">
      <w:pPr>
        <w:pStyle w:val="FootnoteText"/>
        <w:rPr>
          <w:rFonts w:ascii="Cambria" w:hAnsi="Cambria"/>
        </w:rPr>
      </w:pPr>
      <w:r w:rsidRPr="009552B3">
        <w:rPr>
          <w:rStyle w:val="FootnoteReference"/>
          <w:rFonts w:ascii="Cambria" w:hAnsi="Cambria"/>
        </w:rPr>
        <w:footnoteRef/>
      </w:r>
      <w:r w:rsidRPr="009552B3">
        <w:rPr>
          <w:rFonts w:ascii="Cambria" w:hAnsi="Cambria"/>
        </w:rPr>
        <w:t xml:space="preserve"> </w:t>
      </w:r>
      <w:r w:rsidRPr="009552B3">
        <w:rPr>
          <w:rFonts w:ascii="Cambria" w:hAnsi="Cambria"/>
          <w:i/>
        </w:rPr>
        <w:t>Id</w:t>
      </w:r>
      <w:r w:rsidRPr="009552B3">
        <w:rPr>
          <w:rFonts w:ascii="Cambria" w:hAnsi="Cambria"/>
        </w:rPr>
        <w:t>.</w:t>
      </w:r>
      <w:r>
        <w:rPr>
          <w:rFonts w:ascii="Cambria" w:hAnsi="Cambria"/>
        </w:rPr>
        <w:t xml:space="preserve"> at</w:t>
      </w:r>
      <w:r w:rsidRPr="009552B3">
        <w:rPr>
          <w:rFonts w:ascii="Cambria" w:hAnsi="Cambria"/>
        </w:rPr>
        <w:t xml:space="preserve"> 7.</w:t>
      </w:r>
    </w:p>
  </w:footnote>
  <w:footnote w:id="31">
    <w:p w:rsidR="000F4265" w:rsidRPr="004273C0" w:rsidRDefault="000F4265" w:rsidP="00E64AAF">
      <w:pPr>
        <w:pStyle w:val="FootnoteText"/>
        <w:rPr>
          <w:rFonts w:ascii="Cambria" w:hAnsi="Cambria"/>
        </w:rPr>
      </w:pPr>
      <w:r w:rsidRPr="004273C0">
        <w:rPr>
          <w:rStyle w:val="FootnoteReference"/>
          <w:rFonts w:ascii="Cambria" w:hAnsi="Cambria"/>
        </w:rPr>
        <w:footnoteRef/>
      </w:r>
      <w:r w:rsidRPr="004273C0">
        <w:rPr>
          <w:rFonts w:ascii="Cambria" w:hAnsi="Cambria"/>
        </w:rPr>
        <w:t xml:space="preserve"> 2015 State of the States Report, p. 25.</w:t>
      </w:r>
    </w:p>
  </w:footnote>
  <w:footnote w:id="32">
    <w:p w:rsidR="000F4265" w:rsidRPr="000F4265" w:rsidRDefault="000F4265">
      <w:pPr>
        <w:pStyle w:val="FootnoteText"/>
        <w:rPr>
          <w:rFonts w:ascii="Cambria" w:hAnsi="Cambria"/>
        </w:rPr>
      </w:pPr>
      <w:r w:rsidRPr="000F4265">
        <w:rPr>
          <w:rStyle w:val="FootnoteReference"/>
          <w:rFonts w:ascii="Cambria" w:hAnsi="Cambria"/>
        </w:rPr>
        <w:footnoteRef/>
      </w:r>
      <w:r w:rsidRPr="000F4265">
        <w:rPr>
          <w:rFonts w:ascii="Cambria" w:hAnsi="Cambria"/>
        </w:rPr>
        <w:t xml:space="preserve"> 2016 State of the States</w:t>
      </w:r>
      <w:r>
        <w:rPr>
          <w:rFonts w:ascii="Cambria" w:hAnsi="Cambria"/>
        </w:rPr>
        <w:t xml:space="preserve"> at</w:t>
      </w:r>
      <w:r w:rsidRPr="000F4265">
        <w:rPr>
          <w:rFonts w:ascii="Cambria" w:hAnsi="Cambria"/>
        </w:rPr>
        <w:t xml:space="preserve"> 25.</w:t>
      </w:r>
    </w:p>
  </w:footnote>
  <w:footnote w:id="33">
    <w:p w:rsidR="000F4265" w:rsidRPr="000F4265" w:rsidRDefault="000F4265">
      <w:pPr>
        <w:pStyle w:val="FootnoteText"/>
        <w:rPr>
          <w:rFonts w:ascii="Cambria" w:hAnsi="Cambria"/>
        </w:rPr>
      </w:pPr>
      <w:r w:rsidRPr="000F4265">
        <w:rPr>
          <w:rStyle w:val="FootnoteReference"/>
          <w:rFonts w:ascii="Cambria" w:hAnsi="Cambria"/>
        </w:rPr>
        <w:footnoteRef/>
      </w:r>
      <w:r w:rsidRPr="000F4265">
        <w:rPr>
          <w:rFonts w:ascii="Cambria" w:hAnsi="Cambria"/>
        </w:rPr>
        <w:t xml:space="preserve"> 2015 State of the States</w:t>
      </w:r>
      <w:r w:rsidR="009552B3">
        <w:rPr>
          <w:rFonts w:ascii="Cambria" w:hAnsi="Cambria"/>
        </w:rPr>
        <w:t xml:space="preserve"> </w:t>
      </w:r>
      <w:r>
        <w:rPr>
          <w:rFonts w:ascii="Cambria" w:hAnsi="Cambria"/>
        </w:rPr>
        <w:t>at</w:t>
      </w:r>
      <w:r w:rsidRPr="000F4265">
        <w:rPr>
          <w:rFonts w:ascii="Cambria" w:hAnsi="Cambria"/>
        </w:rPr>
        <w:t xml:space="preserve"> 25-26.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792"/>
    <w:multiLevelType w:val="hybridMultilevel"/>
    <w:tmpl w:val="12663C0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318C0"/>
    <w:multiLevelType w:val="hybridMultilevel"/>
    <w:tmpl w:val="2518750C"/>
    <w:lvl w:ilvl="0" w:tplc="460A7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C2242"/>
    <w:multiLevelType w:val="hybridMultilevel"/>
    <w:tmpl w:val="E3CE159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D681E"/>
    <w:multiLevelType w:val="hybridMultilevel"/>
    <w:tmpl w:val="1270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B4F42"/>
    <w:multiLevelType w:val="hybridMultilevel"/>
    <w:tmpl w:val="796454C2"/>
    <w:lvl w:ilvl="0" w:tplc="AE102FF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904E9"/>
    <w:multiLevelType w:val="hybridMultilevel"/>
    <w:tmpl w:val="02A60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B7A5C"/>
    <w:multiLevelType w:val="hybridMultilevel"/>
    <w:tmpl w:val="9F40D37A"/>
    <w:lvl w:ilvl="0" w:tplc="F370B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E63E4"/>
    <w:multiLevelType w:val="hybridMultilevel"/>
    <w:tmpl w:val="F2D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56703"/>
    <w:multiLevelType w:val="hybridMultilevel"/>
    <w:tmpl w:val="52B2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B09F5"/>
    <w:multiLevelType w:val="hybridMultilevel"/>
    <w:tmpl w:val="879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77571"/>
    <w:multiLevelType w:val="hybridMultilevel"/>
    <w:tmpl w:val="807236D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E1285"/>
    <w:multiLevelType w:val="hybridMultilevel"/>
    <w:tmpl w:val="42F6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84A95"/>
    <w:multiLevelType w:val="hybridMultilevel"/>
    <w:tmpl w:val="06B6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B5444"/>
    <w:multiLevelType w:val="hybridMultilevel"/>
    <w:tmpl w:val="134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15:restartNumberingAfterBreak="0">
    <w:nsid w:val="714A0350"/>
    <w:multiLevelType w:val="hybridMultilevel"/>
    <w:tmpl w:val="4DA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3738F"/>
    <w:multiLevelType w:val="hybridMultilevel"/>
    <w:tmpl w:val="0778E77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7451D"/>
    <w:multiLevelType w:val="hybridMultilevel"/>
    <w:tmpl w:val="FA22AF0C"/>
    <w:lvl w:ilvl="0" w:tplc="E84A00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F749C"/>
    <w:multiLevelType w:val="hybridMultilevel"/>
    <w:tmpl w:val="BBF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80766"/>
    <w:multiLevelType w:val="hybridMultilevel"/>
    <w:tmpl w:val="F3D85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18"/>
  </w:num>
  <w:num w:numId="5">
    <w:abstractNumId w:val="3"/>
  </w:num>
  <w:num w:numId="6">
    <w:abstractNumId w:val="4"/>
  </w:num>
  <w:num w:numId="7">
    <w:abstractNumId w:val="12"/>
  </w:num>
  <w:num w:numId="8">
    <w:abstractNumId w:val="6"/>
  </w:num>
  <w:num w:numId="9">
    <w:abstractNumId w:val="17"/>
  </w:num>
  <w:num w:numId="10">
    <w:abstractNumId w:val="5"/>
  </w:num>
  <w:num w:numId="11">
    <w:abstractNumId w:val="7"/>
  </w:num>
  <w:num w:numId="12">
    <w:abstractNumId w:val="19"/>
  </w:num>
  <w:num w:numId="13">
    <w:abstractNumId w:val="8"/>
  </w:num>
  <w:num w:numId="14">
    <w:abstractNumId w:val="11"/>
  </w:num>
  <w:num w:numId="15">
    <w:abstractNumId w:val="15"/>
  </w:num>
  <w:num w:numId="16">
    <w:abstractNumId w:val="9"/>
  </w:num>
  <w:num w:numId="17">
    <w:abstractNumId w:val="10"/>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7F"/>
    <w:rsid w:val="00010D27"/>
    <w:rsid w:val="0001306D"/>
    <w:rsid w:val="00016CEB"/>
    <w:rsid w:val="0002241D"/>
    <w:rsid w:val="00025624"/>
    <w:rsid w:val="000305B3"/>
    <w:rsid w:val="000316A5"/>
    <w:rsid w:val="00033F9D"/>
    <w:rsid w:val="00035A60"/>
    <w:rsid w:val="00046498"/>
    <w:rsid w:val="00050419"/>
    <w:rsid w:val="00062DAA"/>
    <w:rsid w:val="0007283E"/>
    <w:rsid w:val="00073FB6"/>
    <w:rsid w:val="00082080"/>
    <w:rsid w:val="00084485"/>
    <w:rsid w:val="000928BD"/>
    <w:rsid w:val="000958E2"/>
    <w:rsid w:val="000962AE"/>
    <w:rsid w:val="0009688E"/>
    <w:rsid w:val="00096FC0"/>
    <w:rsid w:val="0009708A"/>
    <w:rsid w:val="000A201F"/>
    <w:rsid w:val="000A2F16"/>
    <w:rsid w:val="000A3E1D"/>
    <w:rsid w:val="000A4140"/>
    <w:rsid w:val="000B2249"/>
    <w:rsid w:val="000B5633"/>
    <w:rsid w:val="000D2653"/>
    <w:rsid w:val="000D4E82"/>
    <w:rsid w:val="000F0A26"/>
    <w:rsid w:val="000F4265"/>
    <w:rsid w:val="00101660"/>
    <w:rsid w:val="001065C5"/>
    <w:rsid w:val="001077B5"/>
    <w:rsid w:val="0011249A"/>
    <w:rsid w:val="00112EE4"/>
    <w:rsid w:val="0012102D"/>
    <w:rsid w:val="00123A4E"/>
    <w:rsid w:val="00126E8C"/>
    <w:rsid w:val="00133A4D"/>
    <w:rsid w:val="00137950"/>
    <w:rsid w:val="00142494"/>
    <w:rsid w:val="0014311D"/>
    <w:rsid w:val="00147D63"/>
    <w:rsid w:val="00150F1D"/>
    <w:rsid w:val="00152D09"/>
    <w:rsid w:val="00152D78"/>
    <w:rsid w:val="00153B47"/>
    <w:rsid w:val="0016251D"/>
    <w:rsid w:val="001625AF"/>
    <w:rsid w:val="00164F1E"/>
    <w:rsid w:val="00164FD6"/>
    <w:rsid w:val="001720EC"/>
    <w:rsid w:val="001740C7"/>
    <w:rsid w:val="00176CF2"/>
    <w:rsid w:val="00177DCD"/>
    <w:rsid w:val="00190BE5"/>
    <w:rsid w:val="00191D92"/>
    <w:rsid w:val="001923FC"/>
    <w:rsid w:val="001947E5"/>
    <w:rsid w:val="001949B3"/>
    <w:rsid w:val="00196DC9"/>
    <w:rsid w:val="001A1E9A"/>
    <w:rsid w:val="001A5BC6"/>
    <w:rsid w:val="001B484D"/>
    <w:rsid w:val="001C1DE7"/>
    <w:rsid w:val="001C31C9"/>
    <w:rsid w:val="001C6B54"/>
    <w:rsid w:val="001D3431"/>
    <w:rsid w:val="001D3985"/>
    <w:rsid w:val="001D642F"/>
    <w:rsid w:val="001D6F05"/>
    <w:rsid w:val="001F76BC"/>
    <w:rsid w:val="00200197"/>
    <w:rsid w:val="00205F6E"/>
    <w:rsid w:val="00210D51"/>
    <w:rsid w:val="002165A6"/>
    <w:rsid w:val="002265CB"/>
    <w:rsid w:val="0023343B"/>
    <w:rsid w:val="00235FBF"/>
    <w:rsid w:val="002362AD"/>
    <w:rsid w:val="00245D40"/>
    <w:rsid w:val="002467FA"/>
    <w:rsid w:val="00250012"/>
    <w:rsid w:val="002727C5"/>
    <w:rsid w:val="00273BEC"/>
    <w:rsid w:val="0028025A"/>
    <w:rsid w:val="00283DE9"/>
    <w:rsid w:val="00290525"/>
    <w:rsid w:val="00297513"/>
    <w:rsid w:val="002B2A22"/>
    <w:rsid w:val="002B2E27"/>
    <w:rsid w:val="002B3508"/>
    <w:rsid w:val="002C3DA9"/>
    <w:rsid w:val="002C7148"/>
    <w:rsid w:val="002D2DBD"/>
    <w:rsid w:val="002D3B5A"/>
    <w:rsid w:val="002E4948"/>
    <w:rsid w:val="002E57A5"/>
    <w:rsid w:val="002E6AEE"/>
    <w:rsid w:val="002F2E6C"/>
    <w:rsid w:val="002F449C"/>
    <w:rsid w:val="00300B11"/>
    <w:rsid w:val="0031456F"/>
    <w:rsid w:val="0032320C"/>
    <w:rsid w:val="00323BCB"/>
    <w:rsid w:val="00330EE6"/>
    <w:rsid w:val="00343ADC"/>
    <w:rsid w:val="00346A5E"/>
    <w:rsid w:val="00346B97"/>
    <w:rsid w:val="0035168C"/>
    <w:rsid w:val="00352E29"/>
    <w:rsid w:val="00356736"/>
    <w:rsid w:val="00357453"/>
    <w:rsid w:val="00362EFA"/>
    <w:rsid w:val="00364C3D"/>
    <w:rsid w:val="00371C07"/>
    <w:rsid w:val="00376DA1"/>
    <w:rsid w:val="0038264C"/>
    <w:rsid w:val="00382F19"/>
    <w:rsid w:val="003934C6"/>
    <w:rsid w:val="003A3002"/>
    <w:rsid w:val="003A5E2B"/>
    <w:rsid w:val="003A7468"/>
    <w:rsid w:val="003B093D"/>
    <w:rsid w:val="003B1253"/>
    <w:rsid w:val="003B2121"/>
    <w:rsid w:val="003B3894"/>
    <w:rsid w:val="003B3F96"/>
    <w:rsid w:val="003D2F7B"/>
    <w:rsid w:val="003E3C5B"/>
    <w:rsid w:val="003F4916"/>
    <w:rsid w:val="003F50CA"/>
    <w:rsid w:val="00405A05"/>
    <w:rsid w:val="004067FB"/>
    <w:rsid w:val="00412969"/>
    <w:rsid w:val="004157B2"/>
    <w:rsid w:val="0041595D"/>
    <w:rsid w:val="00416300"/>
    <w:rsid w:val="0042076A"/>
    <w:rsid w:val="004273C0"/>
    <w:rsid w:val="004320E1"/>
    <w:rsid w:val="00451588"/>
    <w:rsid w:val="00465C4F"/>
    <w:rsid w:val="00467DF7"/>
    <w:rsid w:val="004818A3"/>
    <w:rsid w:val="004855AB"/>
    <w:rsid w:val="004871E6"/>
    <w:rsid w:val="0049005C"/>
    <w:rsid w:val="004963D7"/>
    <w:rsid w:val="00497D5B"/>
    <w:rsid w:val="004B51F5"/>
    <w:rsid w:val="004B6E55"/>
    <w:rsid w:val="004C1272"/>
    <w:rsid w:val="004C1E75"/>
    <w:rsid w:val="004C4395"/>
    <w:rsid w:val="004C68CE"/>
    <w:rsid w:val="004D1A8B"/>
    <w:rsid w:val="004E259F"/>
    <w:rsid w:val="004E747C"/>
    <w:rsid w:val="004F0C04"/>
    <w:rsid w:val="004F432E"/>
    <w:rsid w:val="004F4D82"/>
    <w:rsid w:val="00513788"/>
    <w:rsid w:val="00522D04"/>
    <w:rsid w:val="005232CD"/>
    <w:rsid w:val="00535EF2"/>
    <w:rsid w:val="005410B7"/>
    <w:rsid w:val="0054774E"/>
    <w:rsid w:val="00547FC6"/>
    <w:rsid w:val="00554C6C"/>
    <w:rsid w:val="005603C3"/>
    <w:rsid w:val="0056515E"/>
    <w:rsid w:val="00565172"/>
    <w:rsid w:val="00582BA0"/>
    <w:rsid w:val="00582FCD"/>
    <w:rsid w:val="00587E1C"/>
    <w:rsid w:val="00590070"/>
    <w:rsid w:val="00590774"/>
    <w:rsid w:val="0059509C"/>
    <w:rsid w:val="005A51E0"/>
    <w:rsid w:val="005B187C"/>
    <w:rsid w:val="005B1EDF"/>
    <w:rsid w:val="005B48FC"/>
    <w:rsid w:val="005B49FA"/>
    <w:rsid w:val="005B57E5"/>
    <w:rsid w:val="005C11A3"/>
    <w:rsid w:val="005D00CD"/>
    <w:rsid w:val="005D31E2"/>
    <w:rsid w:val="005D5289"/>
    <w:rsid w:val="005E528A"/>
    <w:rsid w:val="005E53DA"/>
    <w:rsid w:val="005E6FF8"/>
    <w:rsid w:val="005F5685"/>
    <w:rsid w:val="005F6E4B"/>
    <w:rsid w:val="00606B2E"/>
    <w:rsid w:val="006070AA"/>
    <w:rsid w:val="00610560"/>
    <w:rsid w:val="006112AB"/>
    <w:rsid w:val="00612050"/>
    <w:rsid w:val="00612FDF"/>
    <w:rsid w:val="00622333"/>
    <w:rsid w:val="00626203"/>
    <w:rsid w:val="00630F1F"/>
    <w:rsid w:val="0063268F"/>
    <w:rsid w:val="00641E16"/>
    <w:rsid w:val="00647E03"/>
    <w:rsid w:val="00650318"/>
    <w:rsid w:val="0065060A"/>
    <w:rsid w:val="00650DC4"/>
    <w:rsid w:val="00656D57"/>
    <w:rsid w:val="0065730B"/>
    <w:rsid w:val="00661089"/>
    <w:rsid w:val="00661637"/>
    <w:rsid w:val="006616E8"/>
    <w:rsid w:val="006640DB"/>
    <w:rsid w:val="00665128"/>
    <w:rsid w:val="00674DA0"/>
    <w:rsid w:val="00675EA3"/>
    <w:rsid w:val="006821C2"/>
    <w:rsid w:val="006844E8"/>
    <w:rsid w:val="00684C5A"/>
    <w:rsid w:val="0068785B"/>
    <w:rsid w:val="00691DAB"/>
    <w:rsid w:val="006976DB"/>
    <w:rsid w:val="006A146B"/>
    <w:rsid w:val="006A7726"/>
    <w:rsid w:val="006B0C90"/>
    <w:rsid w:val="006B2E30"/>
    <w:rsid w:val="006C0EA8"/>
    <w:rsid w:val="006C22EC"/>
    <w:rsid w:val="006D2252"/>
    <w:rsid w:val="006D58C3"/>
    <w:rsid w:val="006D59AB"/>
    <w:rsid w:val="006E0451"/>
    <w:rsid w:val="006E486F"/>
    <w:rsid w:val="006E5202"/>
    <w:rsid w:val="006E52B4"/>
    <w:rsid w:val="006E656F"/>
    <w:rsid w:val="006E6F9D"/>
    <w:rsid w:val="006F1585"/>
    <w:rsid w:val="006F4318"/>
    <w:rsid w:val="00701056"/>
    <w:rsid w:val="00702261"/>
    <w:rsid w:val="00707771"/>
    <w:rsid w:val="00713C85"/>
    <w:rsid w:val="00715CFB"/>
    <w:rsid w:val="007205B0"/>
    <w:rsid w:val="007233CD"/>
    <w:rsid w:val="007254A6"/>
    <w:rsid w:val="00727980"/>
    <w:rsid w:val="0073176E"/>
    <w:rsid w:val="00735530"/>
    <w:rsid w:val="00742967"/>
    <w:rsid w:val="0074506A"/>
    <w:rsid w:val="007509EA"/>
    <w:rsid w:val="00752771"/>
    <w:rsid w:val="00752CF4"/>
    <w:rsid w:val="00763F38"/>
    <w:rsid w:val="00764439"/>
    <w:rsid w:val="00765FDE"/>
    <w:rsid w:val="007701B7"/>
    <w:rsid w:val="007708C5"/>
    <w:rsid w:val="0078387A"/>
    <w:rsid w:val="00792331"/>
    <w:rsid w:val="007943B6"/>
    <w:rsid w:val="007965B5"/>
    <w:rsid w:val="00796CE5"/>
    <w:rsid w:val="0079780F"/>
    <w:rsid w:val="007B1895"/>
    <w:rsid w:val="007C09BE"/>
    <w:rsid w:val="007C1D13"/>
    <w:rsid w:val="007C4BAB"/>
    <w:rsid w:val="007C7D5D"/>
    <w:rsid w:val="007D197F"/>
    <w:rsid w:val="007D399F"/>
    <w:rsid w:val="007E33CF"/>
    <w:rsid w:val="007E48C6"/>
    <w:rsid w:val="007E7AB4"/>
    <w:rsid w:val="007F4278"/>
    <w:rsid w:val="007F4AEC"/>
    <w:rsid w:val="00800A5F"/>
    <w:rsid w:val="008107B9"/>
    <w:rsid w:val="008111FD"/>
    <w:rsid w:val="008263F5"/>
    <w:rsid w:val="00827549"/>
    <w:rsid w:val="00840FC3"/>
    <w:rsid w:val="00860D32"/>
    <w:rsid w:val="00872AD8"/>
    <w:rsid w:val="00880524"/>
    <w:rsid w:val="00880593"/>
    <w:rsid w:val="0088466F"/>
    <w:rsid w:val="00884CAB"/>
    <w:rsid w:val="00887EF0"/>
    <w:rsid w:val="00891672"/>
    <w:rsid w:val="00891D10"/>
    <w:rsid w:val="008A3F6F"/>
    <w:rsid w:val="008A4531"/>
    <w:rsid w:val="008B113A"/>
    <w:rsid w:val="008B2F5E"/>
    <w:rsid w:val="008B37E8"/>
    <w:rsid w:val="008C0DEE"/>
    <w:rsid w:val="008C27F4"/>
    <w:rsid w:val="008D3625"/>
    <w:rsid w:val="008E0184"/>
    <w:rsid w:val="008E1AA9"/>
    <w:rsid w:val="008E4370"/>
    <w:rsid w:val="008E6EB8"/>
    <w:rsid w:val="008F7686"/>
    <w:rsid w:val="009021E2"/>
    <w:rsid w:val="00904BBA"/>
    <w:rsid w:val="00905617"/>
    <w:rsid w:val="009107F1"/>
    <w:rsid w:val="00914934"/>
    <w:rsid w:val="009154B8"/>
    <w:rsid w:val="00921AF9"/>
    <w:rsid w:val="009259FC"/>
    <w:rsid w:val="009333F7"/>
    <w:rsid w:val="0093700A"/>
    <w:rsid w:val="0094066E"/>
    <w:rsid w:val="009454A1"/>
    <w:rsid w:val="0094622E"/>
    <w:rsid w:val="00953B5F"/>
    <w:rsid w:val="009552B3"/>
    <w:rsid w:val="00957C4E"/>
    <w:rsid w:val="00960B19"/>
    <w:rsid w:val="00960CFB"/>
    <w:rsid w:val="00961F59"/>
    <w:rsid w:val="0096470D"/>
    <w:rsid w:val="0097225C"/>
    <w:rsid w:val="009733E9"/>
    <w:rsid w:val="0097584C"/>
    <w:rsid w:val="00994CF3"/>
    <w:rsid w:val="00994E82"/>
    <w:rsid w:val="00996292"/>
    <w:rsid w:val="009A2B64"/>
    <w:rsid w:val="009B0EA4"/>
    <w:rsid w:val="009C1745"/>
    <w:rsid w:val="009C49CA"/>
    <w:rsid w:val="009D2FC6"/>
    <w:rsid w:val="009D3124"/>
    <w:rsid w:val="009D783B"/>
    <w:rsid w:val="009E1731"/>
    <w:rsid w:val="009E4708"/>
    <w:rsid w:val="009F30F3"/>
    <w:rsid w:val="009F3187"/>
    <w:rsid w:val="009F712C"/>
    <w:rsid w:val="00A029B6"/>
    <w:rsid w:val="00A07736"/>
    <w:rsid w:val="00A17113"/>
    <w:rsid w:val="00A17770"/>
    <w:rsid w:val="00A23CCB"/>
    <w:rsid w:val="00A24583"/>
    <w:rsid w:val="00A318FD"/>
    <w:rsid w:val="00A3799B"/>
    <w:rsid w:val="00A40C17"/>
    <w:rsid w:val="00A505B8"/>
    <w:rsid w:val="00A51E49"/>
    <w:rsid w:val="00A5591B"/>
    <w:rsid w:val="00A6277E"/>
    <w:rsid w:val="00A62F87"/>
    <w:rsid w:val="00A70542"/>
    <w:rsid w:val="00A71AC7"/>
    <w:rsid w:val="00A72993"/>
    <w:rsid w:val="00A74259"/>
    <w:rsid w:val="00A8312E"/>
    <w:rsid w:val="00A85E3E"/>
    <w:rsid w:val="00A869AC"/>
    <w:rsid w:val="00A96359"/>
    <w:rsid w:val="00A9776A"/>
    <w:rsid w:val="00AA2BED"/>
    <w:rsid w:val="00AA7FA6"/>
    <w:rsid w:val="00AC41DF"/>
    <w:rsid w:val="00AC5A79"/>
    <w:rsid w:val="00AD16DE"/>
    <w:rsid w:val="00AD2A71"/>
    <w:rsid w:val="00AD68FA"/>
    <w:rsid w:val="00AE4E95"/>
    <w:rsid w:val="00AE5025"/>
    <w:rsid w:val="00AF2399"/>
    <w:rsid w:val="00AF35C0"/>
    <w:rsid w:val="00AF7D86"/>
    <w:rsid w:val="00B05DB9"/>
    <w:rsid w:val="00B10187"/>
    <w:rsid w:val="00B15973"/>
    <w:rsid w:val="00B23619"/>
    <w:rsid w:val="00B32375"/>
    <w:rsid w:val="00B400A7"/>
    <w:rsid w:val="00B4641C"/>
    <w:rsid w:val="00B4662E"/>
    <w:rsid w:val="00B47FE5"/>
    <w:rsid w:val="00B61530"/>
    <w:rsid w:val="00B63BE8"/>
    <w:rsid w:val="00B67533"/>
    <w:rsid w:val="00B8117C"/>
    <w:rsid w:val="00B82160"/>
    <w:rsid w:val="00B86CCA"/>
    <w:rsid w:val="00B905F7"/>
    <w:rsid w:val="00B9187E"/>
    <w:rsid w:val="00B94109"/>
    <w:rsid w:val="00B94851"/>
    <w:rsid w:val="00B953DF"/>
    <w:rsid w:val="00BA1882"/>
    <w:rsid w:val="00BB4F7B"/>
    <w:rsid w:val="00BC64DF"/>
    <w:rsid w:val="00BD0CC7"/>
    <w:rsid w:val="00BD6C0A"/>
    <w:rsid w:val="00BD7474"/>
    <w:rsid w:val="00BE003C"/>
    <w:rsid w:val="00BE0A13"/>
    <w:rsid w:val="00C020E6"/>
    <w:rsid w:val="00C03AB7"/>
    <w:rsid w:val="00C20210"/>
    <w:rsid w:val="00C20864"/>
    <w:rsid w:val="00C20B34"/>
    <w:rsid w:val="00C23D61"/>
    <w:rsid w:val="00C267F8"/>
    <w:rsid w:val="00C27607"/>
    <w:rsid w:val="00C35731"/>
    <w:rsid w:val="00C41044"/>
    <w:rsid w:val="00C4258F"/>
    <w:rsid w:val="00C457F9"/>
    <w:rsid w:val="00C5316F"/>
    <w:rsid w:val="00C532E4"/>
    <w:rsid w:val="00C53FEB"/>
    <w:rsid w:val="00C55B2B"/>
    <w:rsid w:val="00C61356"/>
    <w:rsid w:val="00C61EBA"/>
    <w:rsid w:val="00C643C6"/>
    <w:rsid w:val="00C66AC7"/>
    <w:rsid w:val="00C67DFF"/>
    <w:rsid w:val="00C70BE8"/>
    <w:rsid w:val="00C71F0B"/>
    <w:rsid w:val="00C73F01"/>
    <w:rsid w:val="00C80E12"/>
    <w:rsid w:val="00C81780"/>
    <w:rsid w:val="00C84290"/>
    <w:rsid w:val="00C86AC2"/>
    <w:rsid w:val="00C9625C"/>
    <w:rsid w:val="00C97987"/>
    <w:rsid w:val="00CA15FC"/>
    <w:rsid w:val="00CA338E"/>
    <w:rsid w:val="00CA3B58"/>
    <w:rsid w:val="00CA41AA"/>
    <w:rsid w:val="00CA7412"/>
    <w:rsid w:val="00CB2740"/>
    <w:rsid w:val="00CB315C"/>
    <w:rsid w:val="00CB4EA3"/>
    <w:rsid w:val="00CB6732"/>
    <w:rsid w:val="00CC22BE"/>
    <w:rsid w:val="00CD09F5"/>
    <w:rsid w:val="00CD42BE"/>
    <w:rsid w:val="00CF5D6E"/>
    <w:rsid w:val="00CF7262"/>
    <w:rsid w:val="00CF7D88"/>
    <w:rsid w:val="00D0206F"/>
    <w:rsid w:val="00D04BE9"/>
    <w:rsid w:val="00D12B53"/>
    <w:rsid w:val="00D21B9A"/>
    <w:rsid w:val="00D259C8"/>
    <w:rsid w:val="00D34F07"/>
    <w:rsid w:val="00D40818"/>
    <w:rsid w:val="00D46A13"/>
    <w:rsid w:val="00D50013"/>
    <w:rsid w:val="00D518F4"/>
    <w:rsid w:val="00D536BD"/>
    <w:rsid w:val="00D5531F"/>
    <w:rsid w:val="00D55845"/>
    <w:rsid w:val="00D57360"/>
    <w:rsid w:val="00D63431"/>
    <w:rsid w:val="00D702EE"/>
    <w:rsid w:val="00D725BB"/>
    <w:rsid w:val="00D72974"/>
    <w:rsid w:val="00D74AD4"/>
    <w:rsid w:val="00D809C1"/>
    <w:rsid w:val="00D83DF9"/>
    <w:rsid w:val="00D850E8"/>
    <w:rsid w:val="00D875E1"/>
    <w:rsid w:val="00D91CC1"/>
    <w:rsid w:val="00D94E17"/>
    <w:rsid w:val="00DB0904"/>
    <w:rsid w:val="00DC0C3D"/>
    <w:rsid w:val="00DD16C2"/>
    <w:rsid w:val="00DD617C"/>
    <w:rsid w:val="00DE33CF"/>
    <w:rsid w:val="00DE4A2C"/>
    <w:rsid w:val="00DF177F"/>
    <w:rsid w:val="00DF3A4F"/>
    <w:rsid w:val="00DF58F3"/>
    <w:rsid w:val="00DF6BCE"/>
    <w:rsid w:val="00E02923"/>
    <w:rsid w:val="00E02A83"/>
    <w:rsid w:val="00E04C62"/>
    <w:rsid w:val="00E13713"/>
    <w:rsid w:val="00E16627"/>
    <w:rsid w:val="00E2248E"/>
    <w:rsid w:val="00E22B8D"/>
    <w:rsid w:val="00E246E2"/>
    <w:rsid w:val="00E25847"/>
    <w:rsid w:val="00E25BC1"/>
    <w:rsid w:val="00E261C8"/>
    <w:rsid w:val="00E2793A"/>
    <w:rsid w:val="00E33D28"/>
    <w:rsid w:val="00E37F24"/>
    <w:rsid w:val="00E41A9D"/>
    <w:rsid w:val="00E45EEC"/>
    <w:rsid w:val="00E45FC6"/>
    <w:rsid w:val="00E5685B"/>
    <w:rsid w:val="00E573D7"/>
    <w:rsid w:val="00E64AAF"/>
    <w:rsid w:val="00E64D3B"/>
    <w:rsid w:val="00E64DA0"/>
    <w:rsid w:val="00E665F7"/>
    <w:rsid w:val="00E668C7"/>
    <w:rsid w:val="00E7166D"/>
    <w:rsid w:val="00E768DE"/>
    <w:rsid w:val="00E83535"/>
    <w:rsid w:val="00E95EEC"/>
    <w:rsid w:val="00EA261C"/>
    <w:rsid w:val="00EB652B"/>
    <w:rsid w:val="00EB6CB8"/>
    <w:rsid w:val="00EB75B1"/>
    <w:rsid w:val="00EC0330"/>
    <w:rsid w:val="00EC27C5"/>
    <w:rsid w:val="00EC3E85"/>
    <w:rsid w:val="00EC4E3E"/>
    <w:rsid w:val="00EE3A5F"/>
    <w:rsid w:val="00EE6287"/>
    <w:rsid w:val="00EE7E4D"/>
    <w:rsid w:val="00EF17EF"/>
    <w:rsid w:val="00EF3DC1"/>
    <w:rsid w:val="00F028C8"/>
    <w:rsid w:val="00F147B9"/>
    <w:rsid w:val="00F175B0"/>
    <w:rsid w:val="00F17790"/>
    <w:rsid w:val="00F244E4"/>
    <w:rsid w:val="00F3044E"/>
    <w:rsid w:val="00F3600B"/>
    <w:rsid w:val="00F435C3"/>
    <w:rsid w:val="00F52274"/>
    <w:rsid w:val="00F54206"/>
    <w:rsid w:val="00F555DF"/>
    <w:rsid w:val="00F60C1A"/>
    <w:rsid w:val="00F617EC"/>
    <w:rsid w:val="00F671A4"/>
    <w:rsid w:val="00F675C5"/>
    <w:rsid w:val="00F70952"/>
    <w:rsid w:val="00F7746C"/>
    <w:rsid w:val="00F80EF1"/>
    <w:rsid w:val="00F8355B"/>
    <w:rsid w:val="00F8367C"/>
    <w:rsid w:val="00F836F9"/>
    <w:rsid w:val="00F87182"/>
    <w:rsid w:val="00FA1826"/>
    <w:rsid w:val="00FA2C43"/>
    <w:rsid w:val="00FA32C2"/>
    <w:rsid w:val="00FB337C"/>
    <w:rsid w:val="00FB4CF7"/>
    <w:rsid w:val="00FC0754"/>
    <w:rsid w:val="00FC1A8B"/>
    <w:rsid w:val="00FC3BFD"/>
    <w:rsid w:val="00FC5A53"/>
    <w:rsid w:val="00FC63DA"/>
    <w:rsid w:val="00FC6C82"/>
    <w:rsid w:val="00FC7444"/>
    <w:rsid w:val="00FC7A41"/>
    <w:rsid w:val="00FD214F"/>
    <w:rsid w:val="00FE3805"/>
    <w:rsid w:val="00FE3D64"/>
    <w:rsid w:val="00FE4C50"/>
    <w:rsid w:val="00FE68AA"/>
    <w:rsid w:val="00FF25E4"/>
    <w:rsid w:val="00FF2E51"/>
    <w:rsid w:val="00FF35EC"/>
    <w:rsid w:val="00FF43C1"/>
    <w:rsid w:val="00FF642A"/>
    <w:rsid w:val="00FF69E6"/>
    <w:rsid w:val="040780DD"/>
    <w:rsid w:val="074103B2"/>
    <w:rsid w:val="09BEAA6F"/>
    <w:rsid w:val="0C2D445F"/>
    <w:rsid w:val="0EE9AC1C"/>
    <w:rsid w:val="230C754D"/>
    <w:rsid w:val="27C3304F"/>
    <w:rsid w:val="4D559691"/>
    <w:rsid w:val="4E123A94"/>
    <w:rsid w:val="50D2EC59"/>
    <w:rsid w:val="567183A3"/>
    <w:rsid w:val="57387671"/>
    <w:rsid w:val="63B8270A"/>
    <w:rsid w:val="64E364BB"/>
    <w:rsid w:val="72B3C709"/>
    <w:rsid w:val="75D0922E"/>
    <w:rsid w:val="77FD6615"/>
    <w:rsid w:val="7F7D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A51E0"/>
    <w:pPr>
      <w:spacing w:after="60" w:line="240" w:lineRule="auto"/>
      <w:outlineLvl w:val="0"/>
    </w:pPr>
    <w:rPr>
      <w:rFonts w:asciiTheme="majorHAnsi" w:eastAsia="Times New Roman" w:hAnsiTheme="majorHAnsi" w:cs="Times New Roman"/>
      <w:b/>
      <w:caps/>
      <w:sz w:val="18"/>
      <w:szCs w:val="20"/>
    </w:rPr>
  </w:style>
  <w:style w:type="paragraph" w:styleId="Heading2">
    <w:name w:val="heading 2"/>
    <w:basedOn w:val="Normal"/>
    <w:next w:val="Normal"/>
    <w:link w:val="Heading2Char"/>
    <w:unhideWhenUsed/>
    <w:qFormat/>
    <w:rsid w:val="005A51E0"/>
    <w:pPr>
      <w:spacing w:after="0" w:line="240" w:lineRule="auto"/>
      <w:outlineLvl w:val="1"/>
    </w:pPr>
    <w:rPr>
      <w:rFonts w:eastAsia="Times New Roman" w:cs="Times New Roman"/>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774E"/>
    <w:pPr>
      <w:spacing w:after="0" w:line="240" w:lineRule="auto"/>
    </w:pPr>
    <w:rPr>
      <w:sz w:val="20"/>
      <w:szCs w:val="20"/>
    </w:rPr>
  </w:style>
  <w:style w:type="character" w:customStyle="1" w:styleId="FootnoteTextChar">
    <w:name w:val="Footnote Text Char"/>
    <w:basedOn w:val="DefaultParagraphFont"/>
    <w:link w:val="FootnoteText"/>
    <w:uiPriority w:val="99"/>
    <w:rsid w:val="0054774E"/>
    <w:rPr>
      <w:sz w:val="20"/>
      <w:szCs w:val="20"/>
    </w:rPr>
  </w:style>
  <w:style w:type="character" w:styleId="FootnoteReference">
    <w:name w:val="footnote reference"/>
    <w:basedOn w:val="DefaultParagraphFont"/>
    <w:uiPriority w:val="99"/>
    <w:unhideWhenUsed/>
    <w:rsid w:val="0054774E"/>
    <w:rPr>
      <w:vertAlign w:val="superscript"/>
    </w:rPr>
  </w:style>
  <w:style w:type="character" w:styleId="CommentReference">
    <w:name w:val="annotation reference"/>
    <w:basedOn w:val="DefaultParagraphFont"/>
    <w:uiPriority w:val="99"/>
    <w:semiHidden/>
    <w:unhideWhenUsed/>
    <w:rsid w:val="00290525"/>
    <w:rPr>
      <w:sz w:val="16"/>
      <w:szCs w:val="16"/>
    </w:rPr>
  </w:style>
  <w:style w:type="paragraph" w:styleId="CommentText">
    <w:name w:val="annotation text"/>
    <w:basedOn w:val="Normal"/>
    <w:link w:val="CommentTextChar"/>
    <w:uiPriority w:val="99"/>
    <w:unhideWhenUsed/>
    <w:rsid w:val="00290525"/>
    <w:pPr>
      <w:spacing w:line="240" w:lineRule="auto"/>
    </w:pPr>
    <w:rPr>
      <w:sz w:val="20"/>
      <w:szCs w:val="20"/>
    </w:rPr>
  </w:style>
  <w:style w:type="character" w:customStyle="1" w:styleId="CommentTextChar">
    <w:name w:val="Comment Text Char"/>
    <w:basedOn w:val="DefaultParagraphFont"/>
    <w:link w:val="CommentText"/>
    <w:uiPriority w:val="99"/>
    <w:rsid w:val="00290525"/>
    <w:rPr>
      <w:sz w:val="20"/>
      <w:szCs w:val="20"/>
    </w:rPr>
  </w:style>
  <w:style w:type="paragraph" w:styleId="CommentSubject">
    <w:name w:val="annotation subject"/>
    <w:basedOn w:val="CommentText"/>
    <w:next w:val="CommentText"/>
    <w:link w:val="CommentSubjectChar"/>
    <w:uiPriority w:val="99"/>
    <w:semiHidden/>
    <w:unhideWhenUsed/>
    <w:rsid w:val="00290525"/>
    <w:rPr>
      <w:b/>
      <w:bCs/>
    </w:rPr>
  </w:style>
  <w:style w:type="character" w:customStyle="1" w:styleId="CommentSubjectChar">
    <w:name w:val="Comment Subject Char"/>
    <w:basedOn w:val="CommentTextChar"/>
    <w:link w:val="CommentSubject"/>
    <w:uiPriority w:val="99"/>
    <w:semiHidden/>
    <w:rsid w:val="00290525"/>
    <w:rPr>
      <w:b/>
      <w:bCs/>
      <w:sz w:val="20"/>
      <w:szCs w:val="20"/>
    </w:rPr>
  </w:style>
  <w:style w:type="paragraph" w:styleId="BalloonText">
    <w:name w:val="Balloon Text"/>
    <w:basedOn w:val="Normal"/>
    <w:link w:val="BalloonTextChar"/>
    <w:uiPriority w:val="99"/>
    <w:semiHidden/>
    <w:unhideWhenUsed/>
    <w:rsid w:val="00290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25"/>
    <w:rPr>
      <w:rFonts w:ascii="Segoe UI" w:hAnsi="Segoe UI" w:cs="Segoe UI"/>
      <w:sz w:val="18"/>
      <w:szCs w:val="18"/>
    </w:rPr>
  </w:style>
  <w:style w:type="character" w:styleId="Hyperlink">
    <w:name w:val="Hyperlink"/>
    <w:rsid w:val="00702261"/>
    <w:rPr>
      <w:color w:val="0000FF"/>
      <w:u w:val="single"/>
    </w:rPr>
  </w:style>
  <w:style w:type="character" w:styleId="FollowedHyperlink">
    <w:name w:val="FollowedHyperlink"/>
    <w:basedOn w:val="DefaultParagraphFont"/>
    <w:uiPriority w:val="99"/>
    <w:semiHidden/>
    <w:unhideWhenUsed/>
    <w:rsid w:val="00702261"/>
    <w:rPr>
      <w:color w:val="954F72" w:themeColor="followedHyperlink"/>
      <w:u w:val="single"/>
    </w:rPr>
  </w:style>
  <w:style w:type="paragraph" w:customStyle="1" w:styleId="ParaNum">
    <w:name w:val="ParaNum"/>
    <w:basedOn w:val="Normal"/>
    <w:link w:val="ParaNumChar2"/>
    <w:rsid w:val="00752CF4"/>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752CF4"/>
    <w:rPr>
      <w:rFonts w:ascii="Times New Roman" w:eastAsia="Times New Roman" w:hAnsi="Times New Roman" w:cs="Times New Roman"/>
      <w:snapToGrid w:val="0"/>
      <w:kern w:val="28"/>
      <w:szCs w:val="20"/>
    </w:rPr>
  </w:style>
  <w:style w:type="paragraph" w:styleId="EndnoteText">
    <w:name w:val="endnote text"/>
    <w:basedOn w:val="Normal"/>
    <w:link w:val="EndnoteTextChar"/>
    <w:uiPriority w:val="99"/>
    <w:semiHidden/>
    <w:unhideWhenUsed/>
    <w:rsid w:val="00164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FD6"/>
    <w:rPr>
      <w:sz w:val="20"/>
      <w:szCs w:val="20"/>
    </w:rPr>
  </w:style>
  <w:style w:type="character" w:styleId="EndnoteReference">
    <w:name w:val="endnote reference"/>
    <w:basedOn w:val="DefaultParagraphFont"/>
    <w:uiPriority w:val="99"/>
    <w:semiHidden/>
    <w:unhideWhenUsed/>
    <w:rsid w:val="00164FD6"/>
    <w:rPr>
      <w:vertAlign w:val="superscript"/>
    </w:rPr>
  </w:style>
  <w:style w:type="paragraph" w:styleId="ListParagraph">
    <w:name w:val="List Paragraph"/>
    <w:basedOn w:val="Normal"/>
    <w:uiPriority w:val="34"/>
    <w:qFormat/>
    <w:rsid w:val="00C20864"/>
    <w:pPr>
      <w:ind w:left="720"/>
      <w:contextualSpacing/>
    </w:pPr>
  </w:style>
  <w:style w:type="paragraph" w:styleId="Header">
    <w:name w:val="header"/>
    <w:basedOn w:val="Normal"/>
    <w:link w:val="HeaderChar"/>
    <w:uiPriority w:val="99"/>
    <w:unhideWhenUsed/>
    <w:rsid w:val="00F8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7C"/>
  </w:style>
  <w:style w:type="paragraph" w:styleId="Footer">
    <w:name w:val="footer"/>
    <w:basedOn w:val="Normal"/>
    <w:link w:val="FooterChar"/>
    <w:uiPriority w:val="99"/>
    <w:unhideWhenUsed/>
    <w:rsid w:val="00F8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7C"/>
  </w:style>
  <w:style w:type="paragraph" w:styleId="NoSpacing">
    <w:name w:val="No Spacing"/>
    <w:uiPriority w:val="1"/>
    <w:qFormat/>
    <w:rsid w:val="00416300"/>
    <w:pPr>
      <w:spacing w:after="0" w:line="240" w:lineRule="auto"/>
    </w:pPr>
  </w:style>
  <w:style w:type="table" w:styleId="TableGrid">
    <w:name w:val="Table Grid"/>
    <w:basedOn w:val="TableNormal"/>
    <w:uiPriority w:val="39"/>
    <w:rsid w:val="0099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94E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evision">
    <w:name w:val="Revision"/>
    <w:hidden/>
    <w:uiPriority w:val="99"/>
    <w:semiHidden/>
    <w:rsid w:val="00CB4EA3"/>
    <w:pPr>
      <w:spacing w:after="0" w:line="240" w:lineRule="auto"/>
    </w:pPr>
  </w:style>
  <w:style w:type="table" w:styleId="PlainTable1">
    <w:name w:val="Plain Table 1"/>
    <w:basedOn w:val="TableNormal"/>
    <w:uiPriority w:val="99"/>
    <w:rsid w:val="00C267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5A51E0"/>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5A51E0"/>
    <w:rPr>
      <w:rFonts w:eastAsia="Times New Roman" w:cs="Times New Roman"/>
      <w:caps/>
      <w:sz w:val="18"/>
      <w:szCs w:val="20"/>
    </w:rPr>
  </w:style>
  <w:style w:type="paragraph" w:styleId="Title">
    <w:name w:val="Title"/>
    <w:basedOn w:val="Normal"/>
    <w:next w:val="Normal"/>
    <w:link w:val="TitleChar"/>
    <w:uiPriority w:val="10"/>
    <w:unhideWhenUsed/>
    <w:qFormat/>
    <w:rsid w:val="005A51E0"/>
    <w:pPr>
      <w:pBdr>
        <w:top w:val="double" w:sz="6" w:space="8" w:color="404040" w:themeColor="text1" w:themeTint="BF"/>
        <w:bottom w:val="double" w:sz="6" w:space="8" w:color="404040" w:themeColor="text1" w:themeTint="BF"/>
      </w:pBdr>
      <w:spacing w:after="200" w:line="240" w:lineRule="auto"/>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5A51E0"/>
    <w:rPr>
      <w:rFonts w:asciiTheme="majorHAnsi" w:eastAsia="Times New Roman" w:hAnsiTheme="majorHAnsi" w:cs="Times New Roman"/>
      <w:b/>
      <w:caps/>
      <w:spacing w:val="20"/>
      <w:sz w:val="18"/>
      <w:szCs w:val="20"/>
    </w:rPr>
  </w:style>
  <w:style w:type="paragraph" w:styleId="BodyText">
    <w:name w:val="Body Text"/>
    <w:basedOn w:val="Normal"/>
    <w:link w:val="BodyTextChar"/>
    <w:uiPriority w:val="99"/>
    <w:semiHidden/>
    <w:unhideWhenUsed/>
    <w:rsid w:val="005A51E0"/>
    <w:pPr>
      <w:spacing w:after="120"/>
    </w:pPr>
  </w:style>
  <w:style w:type="character" w:customStyle="1" w:styleId="BodyTextChar">
    <w:name w:val="Body Text Char"/>
    <w:basedOn w:val="DefaultParagraphFont"/>
    <w:link w:val="BodyText"/>
    <w:uiPriority w:val="99"/>
    <w:semiHidden/>
    <w:rsid w:val="005A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760">
      <w:bodyDiv w:val="1"/>
      <w:marLeft w:val="0"/>
      <w:marRight w:val="0"/>
      <w:marTop w:val="0"/>
      <w:marBottom w:val="0"/>
      <w:divBdr>
        <w:top w:val="none" w:sz="0" w:space="0" w:color="auto"/>
        <w:left w:val="none" w:sz="0" w:space="0" w:color="auto"/>
        <w:bottom w:val="none" w:sz="0" w:space="0" w:color="auto"/>
        <w:right w:val="none" w:sz="0" w:space="0" w:color="auto"/>
      </w:divBdr>
    </w:div>
    <w:div w:id="126170640">
      <w:bodyDiv w:val="1"/>
      <w:marLeft w:val="0"/>
      <w:marRight w:val="0"/>
      <w:marTop w:val="0"/>
      <w:marBottom w:val="0"/>
      <w:divBdr>
        <w:top w:val="none" w:sz="0" w:space="0" w:color="auto"/>
        <w:left w:val="none" w:sz="0" w:space="0" w:color="auto"/>
        <w:bottom w:val="none" w:sz="0" w:space="0" w:color="auto"/>
        <w:right w:val="none" w:sz="0" w:space="0" w:color="auto"/>
      </w:divBdr>
    </w:div>
    <w:div w:id="430467409">
      <w:bodyDiv w:val="1"/>
      <w:marLeft w:val="0"/>
      <w:marRight w:val="0"/>
      <w:marTop w:val="0"/>
      <w:marBottom w:val="0"/>
      <w:divBdr>
        <w:top w:val="none" w:sz="0" w:space="0" w:color="auto"/>
        <w:left w:val="none" w:sz="0" w:space="0" w:color="auto"/>
        <w:bottom w:val="none" w:sz="0" w:space="0" w:color="auto"/>
        <w:right w:val="none" w:sz="0" w:space="0" w:color="auto"/>
      </w:divBdr>
    </w:div>
    <w:div w:id="565646071">
      <w:bodyDiv w:val="1"/>
      <w:marLeft w:val="0"/>
      <w:marRight w:val="0"/>
      <w:marTop w:val="0"/>
      <w:marBottom w:val="0"/>
      <w:divBdr>
        <w:top w:val="none" w:sz="0" w:space="0" w:color="auto"/>
        <w:left w:val="none" w:sz="0" w:space="0" w:color="auto"/>
        <w:bottom w:val="none" w:sz="0" w:space="0" w:color="auto"/>
        <w:right w:val="none" w:sz="0" w:space="0" w:color="auto"/>
      </w:divBdr>
    </w:div>
    <w:div w:id="582645242">
      <w:bodyDiv w:val="1"/>
      <w:marLeft w:val="0"/>
      <w:marRight w:val="0"/>
      <w:marTop w:val="0"/>
      <w:marBottom w:val="0"/>
      <w:divBdr>
        <w:top w:val="none" w:sz="0" w:space="0" w:color="auto"/>
        <w:left w:val="none" w:sz="0" w:space="0" w:color="auto"/>
        <w:bottom w:val="none" w:sz="0" w:space="0" w:color="auto"/>
        <w:right w:val="none" w:sz="0" w:space="0" w:color="auto"/>
      </w:divBdr>
    </w:div>
    <w:div w:id="697197087">
      <w:bodyDiv w:val="1"/>
      <w:marLeft w:val="0"/>
      <w:marRight w:val="0"/>
      <w:marTop w:val="0"/>
      <w:marBottom w:val="0"/>
      <w:divBdr>
        <w:top w:val="none" w:sz="0" w:space="0" w:color="auto"/>
        <w:left w:val="none" w:sz="0" w:space="0" w:color="auto"/>
        <w:bottom w:val="none" w:sz="0" w:space="0" w:color="auto"/>
        <w:right w:val="none" w:sz="0" w:space="0" w:color="auto"/>
      </w:divBdr>
    </w:div>
    <w:div w:id="755321295">
      <w:bodyDiv w:val="1"/>
      <w:marLeft w:val="0"/>
      <w:marRight w:val="0"/>
      <w:marTop w:val="0"/>
      <w:marBottom w:val="0"/>
      <w:divBdr>
        <w:top w:val="none" w:sz="0" w:space="0" w:color="auto"/>
        <w:left w:val="none" w:sz="0" w:space="0" w:color="auto"/>
        <w:bottom w:val="none" w:sz="0" w:space="0" w:color="auto"/>
        <w:right w:val="none" w:sz="0" w:space="0" w:color="auto"/>
      </w:divBdr>
    </w:div>
    <w:div w:id="939290412">
      <w:bodyDiv w:val="1"/>
      <w:marLeft w:val="0"/>
      <w:marRight w:val="0"/>
      <w:marTop w:val="0"/>
      <w:marBottom w:val="0"/>
      <w:divBdr>
        <w:top w:val="none" w:sz="0" w:space="0" w:color="auto"/>
        <w:left w:val="none" w:sz="0" w:space="0" w:color="auto"/>
        <w:bottom w:val="none" w:sz="0" w:space="0" w:color="auto"/>
        <w:right w:val="none" w:sz="0" w:space="0" w:color="auto"/>
      </w:divBdr>
    </w:div>
    <w:div w:id="1150442891">
      <w:bodyDiv w:val="1"/>
      <w:marLeft w:val="0"/>
      <w:marRight w:val="0"/>
      <w:marTop w:val="0"/>
      <w:marBottom w:val="0"/>
      <w:divBdr>
        <w:top w:val="none" w:sz="0" w:space="0" w:color="auto"/>
        <w:left w:val="none" w:sz="0" w:space="0" w:color="auto"/>
        <w:bottom w:val="none" w:sz="0" w:space="0" w:color="auto"/>
        <w:right w:val="none" w:sz="0" w:space="0" w:color="auto"/>
      </w:divBdr>
    </w:div>
    <w:div w:id="1161236754">
      <w:bodyDiv w:val="1"/>
      <w:marLeft w:val="0"/>
      <w:marRight w:val="0"/>
      <w:marTop w:val="0"/>
      <w:marBottom w:val="0"/>
      <w:divBdr>
        <w:top w:val="none" w:sz="0" w:space="0" w:color="auto"/>
        <w:left w:val="none" w:sz="0" w:space="0" w:color="auto"/>
        <w:bottom w:val="none" w:sz="0" w:space="0" w:color="auto"/>
        <w:right w:val="none" w:sz="0" w:space="0" w:color="auto"/>
      </w:divBdr>
    </w:div>
    <w:div w:id="1229726703">
      <w:bodyDiv w:val="1"/>
      <w:marLeft w:val="0"/>
      <w:marRight w:val="0"/>
      <w:marTop w:val="0"/>
      <w:marBottom w:val="0"/>
      <w:divBdr>
        <w:top w:val="none" w:sz="0" w:space="0" w:color="auto"/>
        <w:left w:val="none" w:sz="0" w:space="0" w:color="auto"/>
        <w:bottom w:val="none" w:sz="0" w:space="0" w:color="auto"/>
        <w:right w:val="none" w:sz="0" w:space="0" w:color="auto"/>
      </w:divBdr>
    </w:div>
    <w:div w:id="1238856703">
      <w:bodyDiv w:val="1"/>
      <w:marLeft w:val="0"/>
      <w:marRight w:val="0"/>
      <w:marTop w:val="0"/>
      <w:marBottom w:val="0"/>
      <w:divBdr>
        <w:top w:val="none" w:sz="0" w:space="0" w:color="auto"/>
        <w:left w:val="none" w:sz="0" w:space="0" w:color="auto"/>
        <w:bottom w:val="none" w:sz="0" w:space="0" w:color="auto"/>
        <w:right w:val="none" w:sz="0" w:space="0" w:color="auto"/>
      </w:divBdr>
    </w:div>
    <w:div w:id="1274440753">
      <w:bodyDiv w:val="1"/>
      <w:marLeft w:val="0"/>
      <w:marRight w:val="0"/>
      <w:marTop w:val="0"/>
      <w:marBottom w:val="0"/>
      <w:divBdr>
        <w:top w:val="none" w:sz="0" w:space="0" w:color="auto"/>
        <w:left w:val="none" w:sz="0" w:space="0" w:color="auto"/>
        <w:bottom w:val="none" w:sz="0" w:space="0" w:color="auto"/>
        <w:right w:val="none" w:sz="0" w:space="0" w:color="auto"/>
      </w:divBdr>
    </w:div>
    <w:div w:id="1489249014">
      <w:bodyDiv w:val="1"/>
      <w:marLeft w:val="0"/>
      <w:marRight w:val="0"/>
      <w:marTop w:val="0"/>
      <w:marBottom w:val="0"/>
      <w:divBdr>
        <w:top w:val="none" w:sz="0" w:space="0" w:color="auto"/>
        <w:left w:val="none" w:sz="0" w:space="0" w:color="auto"/>
        <w:bottom w:val="none" w:sz="0" w:space="0" w:color="auto"/>
        <w:right w:val="none" w:sz="0" w:space="0" w:color="auto"/>
      </w:divBdr>
    </w:div>
    <w:div w:id="1551190870">
      <w:bodyDiv w:val="1"/>
      <w:marLeft w:val="0"/>
      <w:marRight w:val="0"/>
      <w:marTop w:val="0"/>
      <w:marBottom w:val="0"/>
      <w:divBdr>
        <w:top w:val="none" w:sz="0" w:space="0" w:color="auto"/>
        <w:left w:val="none" w:sz="0" w:space="0" w:color="auto"/>
        <w:bottom w:val="none" w:sz="0" w:space="0" w:color="auto"/>
        <w:right w:val="none" w:sz="0" w:space="0" w:color="auto"/>
      </w:divBdr>
    </w:div>
    <w:div w:id="1686639274">
      <w:bodyDiv w:val="1"/>
      <w:marLeft w:val="0"/>
      <w:marRight w:val="0"/>
      <w:marTop w:val="0"/>
      <w:marBottom w:val="0"/>
      <w:divBdr>
        <w:top w:val="none" w:sz="0" w:space="0" w:color="auto"/>
        <w:left w:val="none" w:sz="0" w:space="0" w:color="auto"/>
        <w:bottom w:val="none" w:sz="0" w:space="0" w:color="auto"/>
        <w:right w:val="none" w:sz="0" w:space="0" w:color="auto"/>
      </w:divBdr>
    </w:div>
    <w:div w:id="1739132365">
      <w:bodyDiv w:val="1"/>
      <w:marLeft w:val="0"/>
      <w:marRight w:val="0"/>
      <w:marTop w:val="0"/>
      <w:marBottom w:val="0"/>
      <w:divBdr>
        <w:top w:val="none" w:sz="0" w:space="0" w:color="auto"/>
        <w:left w:val="none" w:sz="0" w:space="0" w:color="auto"/>
        <w:bottom w:val="none" w:sz="0" w:space="0" w:color="auto"/>
        <w:right w:val="none" w:sz="0" w:space="0" w:color="auto"/>
      </w:divBdr>
    </w:div>
    <w:div w:id="1824659237">
      <w:bodyDiv w:val="1"/>
      <w:marLeft w:val="0"/>
      <w:marRight w:val="0"/>
      <w:marTop w:val="0"/>
      <w:marBottom w:val="0"/>
      <w:divBdr>
        <w:top w:val="none" w:sz="0" w:space="0" w:color="auto"/>
        <w:left w:val="none" w:sz="0" w:space="0" w:color="auto"/>
        <w:bottom w:val="none" w:sz="0" w:space="0" w:color="auto"/>
        <w:right w:val="none" w:sz="0" w:space="0" w:color="auto"/>
      </w:divBdr>
    </w:div>
    <w:div w:id="1857229222">
      <w:bodyDiv w:val="1"/>
      <w:marLeft w:val="0"/>
      <w:marRight w:val="0"/>
      <w:marTop w:val="0"/>
      <w:marBottom w:val="0"/>
      <w:divBdr>
        <w:top w:val="none" w:sz="0" w:space="0" w:color="auto"/>
        <w:left w:val="none" w:sz="0" w:space="0" w:color="auto"/>
        <w:bottom w:val="none" w:sz="0" w:space="0" w:color="auto"/>
        <w:right w:val="none" w:sz="0" w:space="0" w:color="auto"/>
      </w:divBdr>
    </w:div>
    <w:div w:id="1895963398">
      <w:bodyDiv w:val="1"/>
      <w:marLeft w:val="0"/>
      <w:marRight w:val="0"/>
      <w:marTop w:val="0"/>
      <w:marBottom w:val="0"/>
      <w:divBdr>
        <w:top w:val="none" w:sz="0" w:space="0" w:color="auto"/>
        <w:left w:val="none" w:sz="0" w:space="0" w:color="auto"/>
        <w:bottom w:val="none" w:sz="0" w:space="0" w:color="auto"/>
        <w:right w:val="none" w:sz="0" w:space="0" w:color="auto"/>
      </w:divBdr>
    </w:div>
    <w:div w:id="1968773400">
      <w:bodyDiv w:val="1"/>
      <w:marLeft w:val="0"/>
      <w:marRight w:val="0"/>
      <w:marTop w:val="0"/>
      <w:marBottom w:val="0"/>
      <w:divBdr>
        <w:top w:val="none" w:sz="0" w:space="0" w:color="auto"/>
        <w:left w:val="none" w:sz="0" w:space="0" w:color="auto"/>
        <w:bottom w:val="none" w:sz="0" w:space="0" w:color="auto"/>
        <w:right w:val="none" w:sz="0" w:space="0" w:color="auto"/>
      </w:divBdr>
    </w:div>
    <w:div w:id="1997176015">
      <w:bodyDiv w:val="1"/>
      <w:marLeft w:val="0"/>
      <w:marRight w:val="0"/>
      <w:marTop w:val="0"/>
      <w:marBottom w:val="0"/>
      <w:divBdr>
        <w:top w:val="none" w:sz="0" w:space="0" w:color="auto"/>
        <w:left w:val="none" w:sz="0" w:space="0" w:color="auto"/>
        <w:bottom w:val="none" w:sz="0" w:space="0" w:color="auto"/>
        <w:right w:val="none" w:sz="0" w:space="0" w:color="auto"/>
      </w:divBdr>
    </w:div>
    <w:div w:id="2048797608">
      <w:bodyDiv w:val="1"/>
      <w:marLeft w:val="0"/>
      <w:marRight w:val="0"/>
      <w:marTop w:val="0"/>
      <w:marBottom w:val="0"/>
      <w:divBdr>
        <w:top w:val="none" w:sz="0" w:space="0" w:color="auto"/>
        <w:left w:val="none" w:sz="0" w:space="0" w:color="auto"/>
        <w:bottom w:val="none" w:sz="0" w:space="0" w:color="auto"/>
        <w:right w:val="none" w:sz="0" w:space="0" w:color="auto"/>
      </w:divBdr>
    </w:div>
    <w:div w:id="20511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sl/applicants/beforeyoubegin/eligible-services-list.aspx" TargetMode="External"/><Relationship Id="rId7" Type="http://schemas.openxmlformats.org/officeDocument/2006/relationships/hyperlink" Target="http://www.usac.org/_res/documents/sl/pdf/tools/FY2016-Demand-Estimate-May26-Window.pdf" TargetMode="External"/><Relationship Id="rId2" Type="http://schemas.openxmlformats.org/officeDocument/2006/relationships/hyperlink" Target="http://www.cosn.org/about/news/school-technology-makes-progress-yet-challenges-remain%E2%80%94cosn%E2%80%99s-2016-infrastructure-survey" TargetMode="External"/><Relationship Id="rId1" Type="http://schemas.openxmlformats.org/officeDocument/2006/relationships/hyperlink" Target="http://stateofthestates.educationsuperhighway.org/" TargetMode="External"/><Relationship Id="rId6" Type="http://schemas.openxmlformats.org/officeDocument/2006/relationships/hyperlink" Target="http://www.slforms.universalservice.org/drt/default.aspx" TargetMode="External"/><Relationship Id="rId5" Type="http://schemas.openxmlformats.org/officeDocument/2006/relationships/hyperlink" Target="https://apps.fcc.gov/edocs_public/attachmatch/DA-16-629A1_Rcd.pdf" TargetMode="External"/><Relationship Id="rId4" Type="http://schemas.openxmlformats.org/officeDocument/2006/relationships/hyperlink" Target="https://apps.fcc.gov/edocs_public/attachmatch/DOC-327993A1.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'c2 commitment percentage by yea'!$C$1</c:f>
              <c:strCache>
                <c:ptCount val="1"/>
                <c:pt idx="0">
                  <c:v>Portion Committed</c:v>
                </c:pt>
              </c:strCache>
            </c:strRef>
          </c:tx>
          <c:spPr>
            <a:solidFill>
              <a:schemeClr val="accent1"/>
            </a:solidFill>
            <a:ln>
              <a:noFill/>
            </a:ln>
            <a:effectLst/>
          </c:spPr>
          <c:invertIfNegative val="0"/>
          <c:cat>
            <c:strRef>
              <c:f>'c2 commitment percentage by yea'!$B$2:$B$9</c:f>
              <c:strCache>
                <c:ptCount val="8"/>
                <c:pt idx="0">
                  <c:v>FY2009</c:v>
                </c:pt>
                <c:pt idx="1">
                  <c:v>FY2010</c:v>
                </c:pt>
                <c:pt idx="2">
                  <c:v>FY2011</c:v>
                </c:pt>
                <c:pt idx="3">
                  <c:v>FY2012</c:v>
                </c:pt>
                <c:pt idx="4">
                  <c:v>FY2013</c:v>
                </c:pt>
                <c:pt idx="5">
                  <c:v>FY2014</c:v>
                </c:pt>
                <c:pt idx="6">
                  <c:v>FY2015</c:v>
                </c:pt>
                <c:pt idx="7">
                  <c:v>FY2016</c:v>
                </c:pt>
              </c:strCache>
            </c:strRef>
          </c:cat>
          <c:val>
            <c:numRef>
              <c:f>'c2 commitment percentage by yea'!$C$2:$C$9</c:f>
              <c:numCache>
                <c:formatCode>General</c:formatCode>
                <c:ptCount val="8"/>
                <c:pt idx="0">
                  <c:v>1103844829.8399999</c:v>
                </c:pt>
                <c:pt idx="1">
                  <c:v>1177914553.3</c:v>
                </c:pt>
                <c:pt idx="2">
                  <c:v>709997333.23000002</c:v>
                </c:pt>
                <c:pt idx="3">
                  <c:v>881939645.44000006</c:v>
                </c:pt>
                <c:pt idx="4">
                  <c:v>0</c:v>
                </c:pt>
                <c:pt idx="5">
                  <c:v>0</c:v>
                </c:pt>
                <c:pt idx="6">
                  <c:v>1312868382.21</c:v>
                </c:pt>
                <c:pt idx="7">
                  <c:v>618000000</c:v>
                </c:pt>
              </c:numCache>
            </c:numRef>
          </c:val>
        </c:ser>
        <c:ser>
          <c:idx val="1"/>
          <c:order val="1"/>
          <c:tx>
            <c:strRef>
              <c:f>'c2 commitment percentage by yea'!$D$1</c:f>
              <c:strCache>
                <c:ptCount val="1"/>
                <c:pt idx="0">
                  <c:v>Amount Requested</c:v>
                </c:pt>
              </c:strCache>
            </c:strRef>
          </c:tx>
          <c:spPr>
            <a:solidFill>
              <a:schemeClr val="accent1">
                <a:lumMod val="40000"/>
                <a:lumOff val="60000"/>
              </a:schemeClr>
            </a:solidFill>
            <a:ln>
              <a:noFill/>
            </a:ln>
            <a:effectLst/>
          </c:spPr>
          <c:invertIfNegative val="0"/>
          <c:cat>
            <c:strRef>
              <c:f>'c2 commitment percentage by yea'!$B$2:$B$9</c:f>
              <c:strCache>
                <c:ptCount val="8"/>
                <c:pt idx="0">
                  <c:v>FY2009</c:v>
                </c:pt>
                <c:pt idx="1">
                  <c:v>FY2010</c:v>
                </c:pt>
                <c:pt idx="2">
                  <c:v>FY2011</c:v>
                </c:pt>
                <c:pt idx="3">
                  <c:v>FY2012</c:v>
                </c:pt>
                <c:pt idx="4">
                  <c:v>FY2013</c:v>
                </c:pt>
                <c:pt idx="5">
                  <c:v>FY2014</c:v>
                </c:pt>
                <c:pt idx="6">
                  <c:v>FY2015</c:v>
                </c:pt>
                <c:pt idx="7">
                  <c:v>FY2016</c:v>
                </c:pt>
              </c:strCache>
            </c:strRef>
          </c:cat>
          <c:val>
            <c:numRef>
              <c:f>'c2 commitment percentage by yea'!$D$2:$D$9</c:f>
              <c:numCache>
                <c:formatCode>General</c:formatCode>
                <c:ptCount val="8"/>
                <c:pt idx="0">
                  <c:v>900243284.32000017</c:v>
                </c:pt>
                <c:pt idx="1">
                  <c:v>890903592.80999994</c:v>
                </c:pt>
                <c:pt idx="2">
                  <c:v>1700814766.4699998</c:v>
                </c:pt>
                <c:pt idx="3">
                  <c:v>1904526407.4899998</c:v>
                </c:pt>
                <c:pt idx="4">
                  <c:v>2332283292.9299998</c:v>
                </c:pt>
                <c:pt idx="5">
                  <c:v>2243470412.0900002</c:v>
                </c:pt>
                <c:pt idx="6">
                  <c:v>359128704.22000003</c:v>
                </c:pt>
                <c:pt idx="7">
                  <c:v>550000000</c:v>
                </c:pt>
              </c:numCache>
            </c:numRef>
          </c:val>
        </c:ser>
        <c:dLbls>
          <c:showLegendKey val="0"/>
          <c:showVal val="0"/>
          <c:showCatName val="0"/>
          <c:showSerName val="0"/>
          <c:showPercent val="0"/>
          <c:showBubbleSize val="0"/>
        </c:dLbls>
        <c:gapWidth val="150"/>
        <c:overlap val="100"/>
        <c:axId val="146177192"/>
        <c:axId val="146177584"/>
      </c:barChart>
      <c:catAx>
        <c:axId val="14617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77584"/>
        <c:crosses val="autoZero"/>
        <c:auto val="1"/>
        <c:lblAlgn val="ctr"/>
        <c:lblOffset val="100"/>
        <c:noMultiLvlLbl val="0"/>
      </c:catAx>
      <c:valAx>
        <c:axId val="14617758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77192"/>
        <c:crosses val="autoZero"/>
        <c:crossBetween val="between"/>
        <c:dispUnits>
          <c:builtInUnit val="million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2"/>
                <c:pt idx="0">
                  <c:v>2015</c:v>
                </c:pt>
                <c:pt idx="1">
                  <c:v>2016</c:v>
                </c:pt>
              </c:numCache>
            </c:numRef>
          </c:cat>
          <c:val>
            <c:numRef>
              <c:f>Sheet1!$B$2:$B$5</c:f>
              <c:numCache>
                <c:formatCode>General</c:formatCode>
                <c:ptCount val="2"/>
                <c:pt idx="0">
                  <c:v>9500</c:v>
                </c:pt>
                <c:pt idx="1">
                  <c:v>3723</c:v>
                </c:pt>
              </c:numCache>
            </c:numRef>
          </c:val>
        </c:ser>
        <c:dLbls>
          <c:dLblPos val="outEnd"/>
          <c:showLegendKey val="0"/>
          <c:showVal val="1"/>
          <c:showCatName val="0"/>
          <c:showSerName val="0"/>
          <c:showPercent val="0"/>
          <c:showBubbleSize val="0"/>
        </c:dLbls>
        <c:gapWidth val="219"/>
        <c:overlap val="-27"/>
        <c:axId val="146174840"/>
        <c:axId val="14617444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Sheet1!$A$2:$A$5</c15:sqref>
                        </c15:formulaRef>
                      </c:ext>
                    </c:extLst>
                    <c:numCache>
                      <c:formatCode>General</c:formatCode>
                      <c:ptCount val="2"/>
                      <c:pt idx="0">
                        <c:v>2015</c:v>
                      </c:pt>
                      <c:pt idx="1">
                        <c:v>2016</c:v>
                      </c:pt>
                    </c:numCache>
                  </c:numRef>
                </c:cat>
                <c:val>
                  <c:numRef>
                    <c:extLst>
                      <c:ext uri="{02D57815-91ED-43cb-92C2-25804820EDAC}">
                        <c15:formulaRef>
                          <c15:sqref>Sheet1!$C$2:$C$5</c15:sqref>
                        </c15:formulaRef>
                      </c:ext>
                    </c:extLst>
                    <c:numCache>
                      <c:formatCode>General</c:formatCode>
                      <c:ptCount val="2"/>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Sheet1!$A$2:$A$5</c15:sqref>
                        </c15:formulaRef>
                      </c:ext>
                    </c:extLst>
                    <c:numCache>
                      <c:formatCode>General</c:formatCode>
                      <c:ptCount val="2"/>
                      <c:pt idx="0">
                        <c:v>2015</c:v>
                      </c:pt>
                      <c:pt idx="1">
                        <c:v>2016</c:v>
                      </c:pt>
                    </c:numCache>
                  </c:num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2"/>
                    </c:numCache>
                  </c:numRef>
                </c:val>
              </c15:ser>
            </c15:filteredBarSeries>
          </c:ext>
        </c:extLst>
      </c:barChart>
      <c:catAx>
        <c:axId val="14617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74448"/>
        <c:crosses val="autoZero"/>
        <c:auto val="1"/>
        <c:lblAlgn val="ctr"/>
        <c:lblOffset val="100"/>
        <c:noMultiLvlLbl val="0"/>
      </c:catAx>
      <c:valAx>
        <c:axId val="146174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Schools that do not</a:t>
                </a:r>
                <a:r>
                  <a:rPr lang="en-US" sz="800" baseline="0"/>
                  <a:t> have fiber connections</a:t>
                </a:r>
                <a:endParaRPr lang="en-US" sz="800"/>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74840"/>
        <c:crosses val="autoZero"/>
        <c:crossBetween val="between"/>
        <c:majorUnit val="2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[Book1]Sheet1!$B$1</c:f>
              <c:strCache>
                <c:ptCount val="1"/>
                <c:pt idx="0">
                  <c:v>Orig Commitment Request</c:v>
                </c:pt>
              </c:strCache>
            </c:strRef>
          </c:tx>
          <c:spPr>
            <a:solidFill>
              <a:schemeClr val="accent1">
                <a:lumMod val="50000"/>
              </a:schemeClr>
            </a:solidFill>
            <a:ln>
              <a:noFill/>
            </a:ln>
            <a:effectLst/>
          </c:spPr>
          <c:invertIfNegative val="0"/>
          <c:cat>
            <c:numRef>
              <c:f>[Book1]Sheet1!$A$2:$A$7</c:f>
              <c:numCache>
                <c:formatCode>General</c:formatCode>
                <c:ptCount val="6"/>
                <c:pt idx="0">
                  <c:v>2009</c:v>
                </c:pt>
                <c:pt idx="1">
                  <c:v>2010</c:v>
                </c:pt>
                <c:pt idx="2">
                  <c:v>2011</c:v>
                </c:pt>
                <c:pt idx="3">
                  <c:v>2012</c:v>
                </c:pt>
                <c:pt idx="4">
                  <c:v>2013</c:v>
                </c:pt>
                <c:pt idx="5">
                  <c:v>2014</c:v>
                </c:pt>
              </c:numCache>
            </c:numRef>
          </c:cat>
          <c:val>
            <c:numRef>
              <c:f>[Book1]Sheet1!$B$2:$B$7</c:f>
              <c:numCache>
                <c:formatCode>General</c:formatCode>
                <c:ptCount val="6"/>
                <c:pt idx="0">
                  <c:v>4056285023</c:v>
                </c:pt>
                <c:pt idx="1">
                  <c:v>4218488045</c:v>
                </c:pt>
                <c:pt idx="2">
                  <c:v>4644533486</c:v>
                </c:pt>
                <c:pt idx="3">
                  <c:v>5216557155</c:v>
                </c:pt>
                <c:pt idx="4">
                  <c:v>5072794694</c:v>
                </c:pt>
                <c:pt idx="5">
                  <c:v>4926838121</c:v>
                </c:pt>
              </c:numCache>
            </c:numRef>
          </c:val>
        </c:ser>
        <c:ser>
          <c:idx val="0"/>
          <c:order val="1"/>
          <c:tx>
            <c:strRef>
              <c:f>[Book1]Sheet1!$C$1</c:f>
              <c:strCache>
                <c:ptCount val="1"/>
                <c:pt idx="0">
                  <c:v>Committed Amount</c:v>
                </c:pt>
              </c:strCache>
            </c:strRef>
          </c:tx>
          <c:spPr>
            <a:solidFill>
              <a:schemeClr val="accent6">
                <a:lumMod val="60000"/>
                <a:lumOff val="40000"/>
              </a:schemeClr>
            </a:solidFill>
            <a:ln>
              <a:noFill/>
            </a:ln>
            <a:effectLst/>
          </c:spPr>
          <c:invertIfNegative val="0"/>
          <c:cat>
            <c:numRef>
              <c:f>[Book1]Sheet1!$A$2:$A$7</c:f>
              <c:numCache>
                <c:formatCode>General</c:formatCode>
                <c:ptCount val="6"/>
                <c:pt idx="0">
                  <c:v>2009</c:v>
                </c:pt>
                <c:pt idx="1">
                  <c:v>2010</c:v>
                </c:pt>
                <c:pt idx="2">
                  <c:v>2011</c:v>
                </c:pt>
                <c:pt idx="3">
                  <c:v>2012</c:v>
                </c:pt>
                <c:pt idx="4">
                  <c:v>2013</c:v>
                </c:pt>
                <c:pt idx="5">
                  <c:v>2014</c:v>
                </c:pt>
              </c:numCache>
            </c:numRef>
          </c:cat>
          <c:val>
            <c:numRef>
              <c:f>[Book1]Sheet1!$C$2:$C$7</c:f>
              <c:numCache>
                <c:formatCode>General</c:formatCode>
                <c:ptCount val="6"/>
                <c:pt idx="0">
                  <c:v>2813591399</c:v>
                </c:pt>
                <c:pt idx="1">
                  <c:v>3004872267</c:v>
                </c:pt>
                <c:pt idx="2">
                  <c:v>2646157774</c:v>
                </c:pt>
                <c:pt idx="3">
                  <c:v>2960042451</c:v>
                </c:pt>
                <c:pt idx="4">
                  <c:v>2177098338</c:v>
                </c:pt>
                <c:pt idx="5">
                  <c:v>2298105319</c:v>
                </c:pt>
              </c:numCache>
            </c:numRef>
          </c:val>
        </c:ser>
        <c:dLbls>
          <c:showLegendKey val="0"/>
          <c:showVal val="0"/>
          <c:showCatName val="0"/>
          <c:showSerName val="0"/>
          <c:showPercent val="0"/>
          <c:showBubbleSize val="0"/>
        </c:dLbls>
        <c:gapWidth val="219"/>
        <c:overlap val="-27"/>
        <c:axId val="144745536"/>
        <c:axId val="147238600"/>
      </c:barChart>
      <c:catAx>
        <c:axId val="14474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38600"/>
        <c:crosses val="autoZero"/>
        <c:auto val="1"/>
        <c:lblAlgn val="ctr"/>
        <c:lblOffset val="100"/>
        <c:noMultiLvlLbl val="0"/>
      </c:catAx>
      <c:valAx>
        <c:axId val="14723860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45536"/>
        <c:crosses val="autoZero"/>
        <c:crossBetween val="between"/>
        <c:dispUnits>
          <c:builtInUnit val="billion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3"/>
                <c:pt idx="0">
                  <c:v>2013</c:v>
                </c:pt>
                <c:pt idx="1">
                  <c:v>2015</c:v>
                </c:pt>
                <c:pt idx="2">
                  <c:v>2016</c:v>
                </c:pt>
              </c:numCache>
              <c:extLst/>
            </c:numRef>
          </c:cat>
          <c:val>
            <c:numRef>
              <c:f>Sheet1!$B$2:$B$5</c:f>
              <c:numCache>
                <c:formatCode>"$"#,##0.00_);[Red]\("$"#,##0.00\)</c:formatCode>
                <c:ptCount val="3"/>
                <c:pt idx="0">
                  <c:v>22</c:v>
                </c:pt>
                <c:pt idx="1">
                  <c:v>11.73</c:v>
                </c:pt>
                <c:pt idx="2">
                  <c:v>7.05</c:v>
                </c:pt>
              </c:numCache>
              <c:extLst/>
            </c:numRef>
          </c:val>
        </c:ser>
        <c:dLbls>
          <c:showLegendKey val="0"/>
          <c:showVal val="0"/>
          <c:showCatName val="0"/>
          <c:showSerName val="0"/>
          <c:showPercent val="0"/>
          <c:showBubbleSize val="0"/>
        </c:dLbls>
        <c:gapWidth val="219"/>
        <c:overlap val="-27"/>
        <c:axId val="147239384"/>
        <c:axId val="14723977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numRef>
                    <c:extLst>
                      <c:ext uri="{02D57815-91ED-43cb-92C2-25804820EDAC}">
                        <c15:formulaRef>
                          <c15:sqref>Sheet1!$A$2:$A$5</c15:sqref>
                        </c15:formulaRef>
                      </c:ext>
                    </c:extLst>
                    <c:numCache>
                      <c:formatCode>General</c:formatCode>
                      <c:ptCount val="3"/>
                      <c:pt idx="0">
                        <c:v>2013</c:v>
                      </c:pt>
                      <c:pt idx="1">
                        <c:v>2015</c:v>
                      </c:pt>
                      <c:pt idx="2">
                        <c:v>2016</c:v>
                      </c:pt>
                    </c:numCache>
                  </c:numRef>
                </c:cat>
                <c:val>
                  <c:numRef>
                    <c:extLst>
                      <c:ext uri="{02D57815-91ED-43cb-92C2-25804820EDAC}">
                        <c15:formulaRef>
                          <c15:sqref>Sheet1!$C$2:$C$5</c15:sqref>
                        </c15:formulaRef>
                      </c:ext>
                    </c:extLst>
                    <c:numCache>
                      <c:formatCode>General</c:formatCode>
                      <c:ptCount val="3"/>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Sheet1!$A$2:$A$5</c15:sqref>
                        </c15:formulaRef>
                      </c:ext>
                    </c:extLst>
                    <c:numCache>
                      <c:formatCode>General</c:formatCode>
                      <c:ptCount val="3"/>
                      <c:pt idx="0">
                        <c:v>2013</c:v>
                      </c:pt>
                      <c:pt idx="1">
                        <c:v>2015</c:v>
                      </c:pt>
                      <c:pt idx="2">
                        <c:v>2016</c:v>
                      </c:pt>
                    </c:numCache>
                  </c:num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3"/>
                    </c:numCache>
                  </c:numRef>
                </c:val>
              </c15:ser>
            </c15:filteredBarSeries>
          </c:ext>
        </c:extLst>
      </c:barChart>
      <c:catAx>
        <c:axId val="14723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39776"/>
        <c:crosses val="autoZero"/>
        <c:auto val="1"/>
        <c:lblAlgn val="ctr"/>
        <c:lblOffset val="100"/>
        <c:noMultiLvlLbl val="0"/>
      </c:catAx>
      <c:valAx>
        <c:axId val="1472397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39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2015</c:v>
                </c:pt>
              </c:strCache>
            </c:strRef>
          </c:tx>
          <c:spPr>
            <a:solidFill>
              <a:schemeClr val="accent1"/>
            </a:solidFill>
            <a:ln>
              <a:noFill/>
            </a:ln>
            <a:effectLst/>
          </c:spPr>
          <c:invertIfNegative val="0"/>
          <c:dLbls>
            <c:dLbl>
              <c:idx val="0"/>
              <c:layout/>
              <c:tx>
                <c:rich>
                  <a:bodyPr/>
                  <a:lstStyle/>
                  <a:p>
                    <a:r>
                      <a:rPr lang="en-US"/>
                      <a:t>449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$4,527</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Bandwidth</c:v>
                </c:pt>
                <c:pt idx="1">
                  <c:v>Monthly Recurring Cost</c:v>
                </c:pt>
              </c:strCache>
            </c:strRef>
          </c:cat>
          <c:val>
            <c:numRef>
              <c:f>Sheet1!$B$2:$B$5</c:f>
              <c:numCache>
                <c:formatCode>General</c:formatCode>
                <c:ptCount val="2"/>
                <c:pt idx="0">
                  <c:v>1</c:v>
                </c:pt>
                <c:pt idx="1">
                  <c:v>1</c:v>
                </c:pt>
              </c:numCache>
            </c:numRef>
          </c:val>
        </c:ser>
        <c:ser>
          <c:idx val="1"/>
          <c:order val="1"/>
          <c:tx>
            <c:strRef>
              <c:f>Sheet1!$C$1</c:f>
              <c:strCache>
                <c:ptCount val="1"/>
                <c:pt idx="0">
                  <c:v>2016</c:v>
                </c:pt>
              </c:strCache>
            </c:strRef>
          </c:tx>
          <c:spPr>
            <a:solidFill>
              <a:schemeClr val="accent2"/>
            </a:solidFill>
            <a:ln>
              <a:noFill/>
            </a:ln>
            <a:effectLst/>
          </c:spPr>
          <c:invertIfNegative val="0"/>
          <c:dLbls>
            <c:dLbl>
              <c:idx val="0"/>
              <c:layout/>
              <c:tx>
                <c:rich>
                  <a:bodyPr/>
                  <a:lstStyle/>
                  <a:p>
                    <a:r>
                      <a:rPr lang="en-US"/>
                      <a:t>1,336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$4,862</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Bandwidth</c:v>
                </c:pt>
                <c:pt idx="1">
                  <c:v>Monthly Recurring Cost</c:v>
                </c:pt>
              </c:strCache>
            </c:strRef>
          </c:cat>
          <c:val>
            <c:numRef>
              <c:f>Sheet1!$C$2:$C$5</c:f>
              <c:numCache>
                <c:formatCode>General</c:formatCode>
                <c:ptCount val="2"/>
                <c:pt idx="0">
                  <c:v>2.9755011135857461</c:v>
                </c:pt>
                <c:pt idx="1">
                  <c:v>1.074000441793683</c:v>
                </c:pt>
              </c:numCache>
            </c:numRef>
          </c:val>
        </c:ser>
        <c:dLbls>
          <c:dLblPos val="outEnd"/>
          <c:showLegendKey val="0"/>
          <c:showVal val="1"/>
          <c:showCatName val="0"/>
          <c:showSerName val="0"/>
          <c:showPercent val="0"/>
          <c:showBubbleSize val="0"/>
        </c:dLbls>
        <c:gapWidth val="219"/>
        <c:overlap val="-27"/>
        <c:axId val="147240560"/>
        <c:axId val="14724095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2"/>
                      <c:pt idx="0">
                        <c:v>Bandwidth</c:v>
                      </c:pt>
                      <c:pt idx="1">
                        <c:v>Monthly Recurring Cost</c:v>
                      </c:pt>
                    </c:strCache>
                  </c:strRef>
                </c:cat>
                <c:val>
                  <c:numRef>
                    <c:extLst>
                      <c:ext uri="{02D57815-91ED-43cb-92C2-25804820EDAC}">
                        <c15:formulaRef>
                          <c15:sqref>Sheet1!$D$2:$D$5</c15:sqref>
                        </c15:formulaRef>
                      </c:ext>
                    </c:extLst>
                    <c:numCache>
                      <c:formatCode>General</c:formatCode>
                      <c:ptCount val="2"/>
                      <c:pt idx="0">
                        <c:v>2</c:v>
                      </c:pt>
                      <c:pt idx="1">
                        <c:v>2</c:v>
                      </c:pt>
                    </c:numCache>
                  </c:numRef>
                </c:val>
              </c15:ser>
            </c15:filteredBarSeries>
          </c:ext>
        </c:extLst>
      </c:barChart>
      <c:catAx>
        <c:axId val="14724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40952"/>
        <c:crosses val="autoZero"/>
        <c:auto val="1"/>
        <c:lblAlgn val="ctr"/>
        <c:lblOffset val="100"/>
        <c:noMultiLvlLbl val="0"/>
      </c:catAx>
      <c:valAx>
        <c:axId val="147240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240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3DACC2DC174ECF9CDCDD796683DFCC"/>
        <w:category>
          <w:name w:val="General"/>
          <w:gallery w:val="placeholder"/>
        </w:category>
        <w:types>
          <w:type w:val="bbPlcHdr"/>
        </w:types>
        <w:behaviors>
          <w:behavior w:val="content"/>
        </w:behaviors>
        <w:guid w:val="{BD9820A2-7E73-4EF5-97DD-DE206B32579C}"/>
      </w:docPartPr>
      <w:docPartBody>
        <w:p w:rsidR="006F70E4" w:rsidRDefault="00946EEF" w:rsidP="00946EEF">
          <w:pPr>
            <w:pStyle w:val="573DACC2DC174ECF9CDCDD796683DFCC"/>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EF"/>
    <w:rsid w:val="006F70E4"/>
    <w:rsid w:val="0094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DACC2DC174ECF9CDCDD796683DFCC">
    <w:name w:val="573DACC2DC174ECF9CDCDD796683DFCC"/>
    <w:rsid w:val="00946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453F-2A4D-4E9E-8206-F4843676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2017-01-17T16:14:00Z</dcterms:created>
  <dcterms:modified xsi:type="dcterms:W3CDTF">2017-01-18T18:18:00Z</dcterms:modified>
</cp:coreProperties>
</file>