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6F124E43" w14:textId="77777777" w:rsidTr="006D5D22">
        <w:trPr>
          <w:trHeight w:val="2181"/>
        </w:trPr>
        <w:tc>
          <w:tcPr>
            <w:tcW w:w="8856" w:type="dxa"/>
          </w:tcPr>
          <w:p w14:paraId="0536D1FE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75C388D" wp14:editId="37F2662B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2AA02" w14:textId="77777777" w:rsidR="00426518" w:rsidRDefault="00426518" w:rsidP="00B57131">
            <w:pPr>
              <w:rPr>
                <w:b/>
                <w:bCs/>
              </w:rPr>
            </w:pPr>
          </w:p>
          <w:p w14:paraId="03E0D311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630DD976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255C7D1A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6838243C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4CD3112D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5846BD18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CD12214" w14:textId="77777777" w:rsidR="000E049E" w:rsidRDefault="000E049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483F08">
              <w:rPr>
                <w:b/>
                <w:bCs/>
                <w:sz w:val="26"/>
                <w:szCs w:val="26"/>
              </w:rPr>
              <w:t>SETTLES INVESTIGATION OF RELAY SERVICE PROVIDERS</w:t>
            </w:r>
          </w:p>
          <w:p w14:paraId="3BFABFA4" w14:textId="23DD37F8" w:rsidR="00CC5E08" w:rsidRPr="008A3940" w:rsidRDefault="00483F08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Agreement </w:t>
            </w:r>
            <w:r w:rsidR="00A45D2B">
              <w:rPr>
                <w:b/>
                <w:bCs/>
                <w:i/>
              </w:rPr>
              <w:t>Address</w:t>
            </w:r>
            <w:r w:rsidR="009A756C">
              <w:rPr>
                <w:b/>
                <w:bCs/>
                <w:i/>
              </w:rPr>
              <w:t>es</w:t>
            </w:r>
            <w:r w:rsidR="00A45D2B">
              <w:rPr>
                <w:b/>
                <w:bCs/>
                <w:i/>
              </w:rPr>
              <w:t xml:space="preserve"> Violations that Lead to Waste, Fraud, and Abuse of the Fund</w:t>
            </w:r>
            <w:r w:rsidR="009A756C">
              <w:rPr>
                <w:b/>
                <w:bCs/>
                <w:i/>
              </w:rPr>
              <w:t xml:space="preserve"> That Supports Services for Consumers with Hearing and Speech Disabilities</w:t>
            </w:r>
          </w:p>
          <w:p w14:paraId="1D96BF09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7B6273E7" w14:textId="68A940CE" w:rsidR="007C4602" w:rsidRDefault="00FF1C0B" w:rsidP="007C4602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483F08">
              <w:rPr>
                <w:sz w:val="22"/>
                <w:szCs w:val="22"/>
              </w:rPr>
              <w:t>February</w:t>
            </w:r>
            <w:r w:rsidR="000E049E">
              <w:rPr>
                <w:sz w:val="22"/>
                <w:szCs w:val="22"/>
              </w:rPr>
              <w:t xml:space="preserve"> </w:t>
            </w:r>
            <w:r w:rsidR="00631B45">
              <w:rPr>
                <w:sz w:val="22"/>
                <w:szCs w:val="22"/>
              </w:rPr>
              <w:t>15</w:t>
            </w:r>
            <w:r w:rsidR="0070589A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0E049E" w:rsidRP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483F08">
              <w:rPr>
                <w:sz w:val="22"/>
                <w:szCs w:val="22"/>
              </w:rPr>
              <w:t xml:space="preserve">announced a $9.1 million settlement with two </w:t>
            </w:r>
            <w:r w:rsidR="00483F08" w:rsidRPr="00437B67">
              <w:rPr>
                <w:sz w:val="22"/>
                <w:szCs w:val="22"/>
              </w:rPr>
              <w:t>companies which provide</w:t>
            </w:r>
            <w:r w:rsidR="004F3980" w:rsidRPr="00437B67">
              <w:rPr>
                <w:sz w:val="22"/>
                <w:szCs w:val="22"/>
              </w:rPr>
              <w:t xml:space="preserve"> </w:t>
            </w:r>
            <w:r w:rsidR="00C1533F">
              <w:rPr>
                <w:sz w:val="22"/>
                <w:szCs w:val="22"/>
              </w:rPr>
              <w:t>t</w:t>
            </w:r>
            <w:r w:rsidR="00AB6B26">
              <w:rPr>
                <w:sz w:val="22"/>
                <w:szCs w:val="22"/>
              </w:rPr>
              <w:t xml:space="preserve">elecommunications </w:t>
            </w:r>
            <w:r w:rsidR="00C1533F">
              <w:rPr>
                <w:sz w:val="22"/>
                <w:szCs w:val="22"/>
              </w:rPr>
              <w:t>s</w:t>
            </w:r>
            <w:r w:rsidR="00483F08">
              <w:rPr>
                <w:sz w:val="22"/>
                <w:szCs w:val="22"/>
              </w:rPr>
              <w:t>ervices</w:t>
            </w:r>
            <w:r w:rsidR="00AB6B26">
              <w:rPr>
                <w:sz w:val="22"/>
                <w:szCs w:val="22"/>
              </w:rPr>
              <w:t xml:space="preserve"> </w:t>
            </w:r>
            <w:r w:rsidR="00483F08">
              <w:rPr>
                <w:sz w:val="22"/>
                <w:szCs w:val="22"/>
              </w:rPr>
              <w:t>to consumers with he</w:t>
            </w:r>
            <w:r w:rsidR="004F3980">
              <w:rPr>
                <w:sz w:val="22"/>
                <w:szCs w:val="22"/>
              </w:rPr>
              <w:t>aring and speech disabilities.</w:t>
            </w:r>
            <w:r w:rsidR="007C4602">
              <w:rPr>
                <w:sz w:val="22"/>
                <w:szCs w:val="22"/>
              </w:rPr>
              <w:t xml:space="preserve"> </w:t>
            </w:r>
            <w:r w:rsidR="00027235">
              <w:rPr>
                <w:sz w:val="22"/>
                <w:szCs w:val="22"/>
              </w:rPr>
              <w:t xml:space="preserve"> </w:t>
            </w:r>
            <w:r w:rsidR="00171489">
              <w:rPr>
                <w:sz w:val="22"/>
                <w:szCs w:val="22"/>
              </w:rPr>
              <w:t xml:space="preserve">In addition to </w:t>
            </w:r>
            <w:r w:rsidR="001B4A34">
              <w:rPr>
                <w:sz w:val="22"/>
                <w:szCs w:val="22"/>
              </w:rPr>
              <w:t>a</w:t>
            </w:r>
            <w:r w:rsidR="00171489">
              <w:rPr>
                <w:sz w:val="22"/>
                <w:szCs w:val="22"/>
              </w:rPr>
              <w:t xml:space="preserve"> monetary </w:t>
            </w:r>
            <w:r w:rsidR="00386CEF">
              <w:rPr>
                <w:sz w:val="22"/>
                <w:szCs w:val="22"/>
              </w:rPr>
              <w:t>penalty for improper billing</w:t>
            </w:r>
            <w:r w:rsidR="00171489">
              <w:rPr>
                <w:sz w:val="22"/>
                <w:szCs w:val="22"/>
              </w:rPr>
              <w:t>, t</w:t>
            </w:r>
            <w:r w:rsidR="00483F08">
              <w:rPr>
                <w:sz w:val="22"/>
                <w:szCs w:val="22"/>
              </w:rPr>
              <w:t>he settlement with</w:t>
            </w:r>
            <w:r w:rsidR="001C2940">
              <w:rPr>
                <w:sz w:val="22"/>
                <w:szCs w:val="22"/>
              </w:rPr>
              <w:t xml:space="preserve"> </w:t>
            </w:r>
            <w:r w:rsidR="00552110">
              <w:rPr>
                <w:sz w:val="22"/>
                <w:szCs w:val="22"/>
              </w:rPr>
              <w:t xml:space="preserve">telecommunications </w:t>
            </w:r>
            <w:r w:rsidR="001C2940">
              <w:rPr>
                <w:sz w:val="22"/>
                <w:szCs w:val="22"/>
              </w:rPr>
              <w:t>relay service (TRS) providers</w:t>
            </w:r>
            <w:r w:rsidR="00483F08">
              <w:rPr>
                <w:sz w:val="22"/>
                <w:szCs w:val="22"/>
              </w:rPr>
              <w:t xml:space="preserve"> Purple Communications and </w:t>
            </w:r>
            <w:r w:rsidR="001C2940" w:rsidRPr="001C2940">
              <w:rPr>
                <w:sz w:val="22"/>
                <w:szCs w:val="22"/>
              </w:rPr>
              <w:t>CSDVRS</w:t>
            </w:r>
            <w:r w:rsidR="001C2940">
              <w:rPr>
                <w:sz w:val="22"/>
                <w:szCs w:val="22"/>
              </w:rPr>
              <w:t xml:space="preserve"> repays </w:t>
            </w:r>
            <w:r w:rsidR="004F3980">
              <w:rPr>
                <w:sz w:val="22"/>
                <w:szCs w:val="22"/>
              </w:rPr>
              <w:t xml:space="preserve">the </w:t>
            </w:r>
            <w:r w:rsidR="001C2940">
              <w:rPr>
                <w:sz w:val="22"/>
                <w:szCs w:val="22"/>
              </w:rPr>
              <w:t>TRS Fund</w:t>
            </w:r>
            <w:r w:rsidR="00C1533F">
              <w:rPr>
                <w:sz w:val="22"/>
                <w:szCs w:val="22"/>
              </w:rPr>
              <w:t xml:space="preserve"> and </w:t>
            </w:r>
            <w:r w:rsidR="009E4FA1">
              <w:rPr>
                <w:sz w:val="22"/>
                <w:szCs w:val="22"/>
              </w:rPr>
              <w:t>establishes</w:t>
            </w:r>
            <w:r w:rsidR="001C2940">
              <w:rPr>
                <w:sz w:val="22"/>
                <w:szCs w:val="22"/>
              </w:rPr>
              <w:t xml:space="preserve"> a </w:t>
            </w:r>
            <w:r w:rsidR="00552110">
              <w:rPr>
                <w:sz w:val="22"/>
                <w:szCs w:val="22"/>
              </w:rPr>
              <w:t xml:space="preserve">5-year </w:t>
            </w:r>
            <w:r w:rsidR="001C2940">
              <w:rPr>
                <w:sz w:val="22"/>
                <w:szCs w:val="22"/>
              </w:rPr>
              <w:t>compliance p</w:t>
            </w:r>
            <w:r w:rsidR="004F3980">
              <w:rPr>
                <w:sz w:val="22"/>
                <w:szCs w:val="22"/>
              </w:rPr>
              <w:t xml:space="preserve">lan to ensure </w:t>
            </w:r>
            <w:r w:rsidR="00055876">
              <w:rPr>
                <w:sz w:val="22"/>
                <w:szCs w:val="22"/>
              </w:rPr>
              <w:t xml:space="preserve">that </w:t>
            </w:r>
            <w:r w:rsidR="004F3980">
              <w:rPr>
                <w:sz w:val="22"/>
                <w:szCs w:val="22"/>
              </w:rPr>
              <w:t>service</w:t>
            </w:r>
            <w:r w:rsidR="00055876">
              <w:rPr>
                <w:sz w:val="22"/>
                <w:szCs w:val="22"/>
              </w:rPr>
              <w:t>s going forward incorporate</w:t>
            </w:r>
            <w:r w:rsidR="001C2940">
              <w:rPr>
                <w:sz w:val="22"/>
                <w:szCs w:val="22"/>
              </w:rPr>
              <w:t xml:space="preserve"> </w:t>
            </w:r>
            <w:r w:rsidR="00055876">
              <w:rPr>
                <w:sz w:val="22"/>
                <w:szCs w:val="22"/>
              </w:rPr>
              <w:t>the required checks.</w:t>
            </w:r>
            <w:r w:rsidR="001C2940">
              <w:rPr>
                <w:sz w:val="22"/>
                <w:szCs w:val="22"/>
              </w:rPr>
              <w:t xml:space="preserve"> </w:t>
            </w:r>
            <w:r w:rsidR="007C4602">
              <w:rPr>
                <w:sz w:val="22"/>
                <w:szCs w:val="22"/>
              </w:rPr>
              <w:t xml:space="preserve"> </w:t>
            </w:r>
          </w:p>
          <w:p w14:paraId="3B2B888C" w14:textId="6D5ED178" w:rsidR="00807533" w:rsidRDefault="0080753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7946465" w14:textId="5C390B74" w:rsidR="00F713FA" w:rsidRDefault="007C4602" w:rsidP="007C4602">
            <w:pPr>
              <w:rPr>
                <w:sz w:val="22"/>
                <w:szCs w:val="22"/>
              </w:rPr>
            </w:pPr>
            <w:r w:rsidRPr="00483F08">
              <w:rPr>
                <w:sz w:val="22"/>
                <w:szCs w:val="22"/>
              </w:rPr>
              <w:t xml:space="preserve">The TRS Fund reimburses telephone carriers and other providers for providing relay services </w:t>
            </w:r>
            <w:r>
              <w:rPr>
                <w:sz w:val="22"/>
                <w:szCs w:val="22"/>
              </w:rPr>
              <w:t xml:space="preserve">to </w:t>
            </w:r>
            <w:r w:rsidRPr="00483F08">
              <w:rPr>
                <w:sz w:val="22"/>
                <w:szCs w:val="22"/>
              </w:rPr>
              <w:t xml:space="preserve">consumers with hearing and speech disabilities. </w:t>
            </w:r>
            <w:r w:rsidR="00027235">
              <w:rPr>
                <w:sz w:val="22"/>
                <w:szCs w:val="22"/>
              </w:rPr>
              <w:t xml:space="preserve"> </w:t>
            </w:r>
            <w:r w:rsidRPr="00483F08">
              <w:rPr>
                <w:sz w:val="22"/>
                <w:szCs w:val="22"/>
              </w:rPr>
              <w:t xml:space="preserve">To ensure that TRS is used for its intended purpose and that providers are only compensated for service provided to eligible individuals, </w:t>
            </w:r>
            <w:r>
              <w:rPr>
                <w:sz w:val="22"/>
                <w:szCs w:val="22"/>
              </w:rPr>
              <w:t xml:space="preserve">for some forms of TRS, </w:t>
            </w:r>
            <w:r w:rsidRPr="00483F08">
              <w:rPr>
                <w:sz w:val="22"/>
                <w:szCs w:val="22"/>
              </w:rPr>
              <w:t>providers must verify the registration information of</w:t>
            </w:r>
            <w:r>
              <w:rPr>
                <w:sz w:val="22"/>
                <w:szCs w:val="22"/>
              </w:rPr>
              <w:t xml:space="preserve"> </w:t>
            </w:r>
            <w:r w:rsidRPr="00483F08">
              <w:rPr>
                <w:sz w:val="22"/>
                <w:szCs w:val="22"/>
              </w:rPr>
              <w:t>TRS users before issuing those users the ten-digit numbers</w:t>
            </w:r>
            <w:r w:rsidR="00F713FA">
              <w:rPr>
                <w:sz w:val="22"/>
                <w:szCs w:val="22"/>
              </w:rPr>
              <w:t xml:space="preserve"> necessary to use the service. </w:t>
            </w:r>
            <w:r w:rsidR="00027235">
              <w:rPr>
                <w:sz w:val="22"/>
                <w:szCs w:val="22"/>
              </w:rPr>
              <w:t xml:space="preserve"> </w:t>
            </w:r>
            <w:r w:rsidRPr="00483F08">
              <w:rPr>
                <w:sz w:val="22"/>
                <w:szCs w:val="22"/>
              </w:rPr>
              <w:t xml:space="preserve">The Commission established a clear legal standard for </w:t>
            </w:r>
            <w:r>
              <w:rPr>
                <w:sz w:val="22"/>
                <w:szCs w:val="22"/>
              </w:rPr>
              <w:t xml:space="preserve">this </w:t>
            </w:r>
            <w:r w:rsidRPr="00483F08">
              <w:rPr>
                <w:sz w:val="22"/>
                <w:szCs w:val="22"/>
              </w:rPr>
              <w:t>verification in a 2008 order.</w:t>
            </w:r>
            <w:r w:rsidR="00EE5878">
              <w:rPr>
                <w:sz w:val="22"/>
                <w:szCs w:val="22"/>
              </w:rPr>
              <w:t xml:space="preserve"> </w:t>
            </w:r>
          </w:p>
          <w:p w14:paraId="2C76FBA3" w14:textId="77777777" w:rsidR="00F713FA" w:rsidRDefault="00F713FA" w:rsidP="007C4602">
            <w:pPr>
              <w:rPr>
                <w:sz w:val="22"/>
                <w:szCs w:val="22"/>
              </w:rPr>
            </w:pPr>
          </w:p>
          <w:p w14:paraId="25395D5A" w14:textId="2E179280" w:rsidR="00F713FA" w:rsidRDefault="00EE5878" w:rsidP="00F7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December 2015, the Commission fined Purple for </w:t>
            </w:r>
            <w:r w:rsidR="003076CF">
              <w:rPr>
                <w:sz w:val="22"/>
                <w:szCs w:val="22"/>
              </w:rPr>
              <w:t xml:space="preserve">failing to properly verify customers and for submitting </w:t>
            </w:r>
            <w:r>
              <w:rPr>
                <w:sz w:val="22"/>
                <w:szCs w:val="22"/>
              </w:rPr>
              <w:t>improper bill</w:t>
            </w:r>
            <w:r w:rsidR="003076CF">
              <w:rPr>
                <w:sz w:val="22"/>
                <w:szCs w:val="22"/>
              </w:rPr>
              <w:t>s for reimbursement from</w:t>
            </w:r>
            <w:r>
              <w:rPr>
                <w:sz w:val="22"/>
                <w:szCs w:val="22"/>
              </w:rPr>
              <w:t xml:space="preserve"> the TRS Fund. </w:t>
            </w:r>
            <w:r w:rsidR="000272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settlement resolves that proceeding, as well as additional investigations</w:t>
            </w:r>
            <w:r w:rsidR="003076CF">
              <w:rPr>
                <w:sz w:val="22"/>
                <w:szCs w:val="22"/>
              </w:rPr>
              <w:t xml:space="preserve"> and pending matters</w:t>
            </w:r>
            <w:r>
              <w:rPr>
                <w:sz w:val="22"/>
                <w:szCs w:val="22"/>
              </w:rPr>
              <w:t xml:space="preserve"> against the companies. </w:t>
            </w:r>
            <w:r w:rsidR="00027235">
              <w:rPr>
                <w:sz w:val="22"/>
                <w:szCs w:val="22"/>
              </w:rPr>
              <w:t xml:space="preserve"> </w:t>
            </w:r>
            <w:r w:rsidR="00807533">
              <w:rPr>
                <w:sz w:val="22"/>
                <w:szCs w:val="22"/>
              </w:rPr>
              <w:t xml:space="preserve">Today’s action by the Commission </w:t>
            </w:r>
            <w:r w:rsidR="00246175">
              <w:rPr>
                <w:sz w:val="22"/>
                <w:szCs w:val="22"/>
              </w:rPr>
              <w:t xml:space="preserve">approves a settlement </w:t>
            </w:r>
            <w:r w:rsidR="001157AF">
              <w:rPr>
                <w:sz w:val="22"/>
                <w:szCs w:val="22"/>
              </w:rPr>
              <w:t xml:space="preserve">that </w:t>
            </w:r>
            <w:r w:rsidR="007C4602">
              <w:rPr>
                <w:sz w:val="22"/>
                <w:szCs w:val="22"/>
              </w:rPr>
              <w:t xml:space="preserve">resolves all </w:t>
            </w:r>
            <w:r w:rsidR="001157AF">
              <w:rPr>
                <w:sz w:val="22"/>
                <w:szCs w:val="22"/>
              </w:rPr>
              <w:t xml:space="preserve">pending </w:t>
            </w:r>
            <w:r w:rsidR="007C4602">
              <w:rPr>
                <w:sz w:val="22"/>
                <w:szCs w:val="22"/>
              </w:rPr>
              <w:t>enforcement matters involving Purple and CSDVRS.</w:t>
            </w:r>
            <w:r w:rsidR="001157AF">
              <w:rPr>
                <w:sz w:val="22"/>
                <w:szCs w:val="22"/>
              </w:rPr>
              <w:t xml:space="preserve"> </w:t>
            </w:r>
          </w:p>
          <w:p w14:paraId="4D6CCA07" w14:textId="77777777" w:rsidR="00F713FA" w:rsidRDefault="00F713FA" w:rsidP="00F713FA">
            <w:pPr>
              <w:rPr>
                <w:sz w:val="22"/>
                <w:szCs w:val="22"/>
              </w:rPr>
            </w:pPr>
          </w:p>
          <w:p w14:paraId="3F6C5572" w14:textId="24BEF940" w:rsidR="00246175" w:rsidRDefault="007C4602" w:rsidP="00F71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Commission’s adoption of this settlement </w:t>
            </w:r>
            <w:r w:rsidR="003C5315">
              <w:rPr>
                <w:sz w:val="22"/>
                <w:szCs w:val="22"/>
              </w:rPr>
              <w:t xml:space="preserve">reflects </w:t>
            </w:r>
            <w:r w:rsidR="00246175">
              <w:rPr>
                <w:sz w:val="22"/>
                <w:szCs w:val="22"/>
              </w:rPr>
              <w:t xml:space="preserve">FCC Chairman Ajit Pai’s </w:t>
            </w:r>
            <w:r w:rsidR="004F3980">
              <w:rPr>
                <w:sz w:val="22"/>
                <w:szCs w:val="22"/>
              </w:rPr>
              <w:t>recent</w:t>
            </w:r>
            <w:r w:rsidR="003C5315">
              <w:rPr>
                <w:sz w:val="22"/>
                <w:szCs w:val="22"/>
              </w:rPr>
              <w:t>ly announced</w:t>
            </w:r>
            <w:r w:rsidR="004F3980">
              <w:rPr>
                <w:sz w:val="22"/>
                <w:szCs w:val="22"/>
              </w:rPr>
              <w:t xml:space="preserve"> </w:t>
            </w:r>
            <w:r w:rsidR="00246175">
              <w:rPr>
                <w:sz w:val="22"/>
                <w:szCs w:val="22"/>
              </w:rPr>
              <w:t xml:space="preserve">process </w:t>
            </w:r>
            <w:r w:rsidR="003C5315">
              <w:rPr>
                <w:sz w:val="22"/>
                <w:szCs w:val="22"/>
              </w:rPr>
              <w:t xml:space="preserve">change that </w:t>
            </w:r>
            <w:r w:rsidR="001157AF">
              <w:rPr>
                <w:sz w:val="22"/>
                <w:szCs w:val="22"/>
              </w:rPr>
              <w:t xml:space="preserve">any </w:t>
            </w:r>
            <w:r w:rsidR="00835C9E">
              <w:rPr>
                <w:sz w:val="22"/>
                <w:szCs w:val="22"/>
              </w:rPr>
              <w:t xml:space="preserve">settlement </w:t>
            </w:r>
            <w:r w:rsidR="00835C9E" w:rsidRPr="00835C9E">
              <w:rPr>
                <w:sz w:val="22"/>
                <w:szCs w:val="22"/>
              </w:rPr>
              <w:t>(formally called a “Consent Decree”)</w:t>
            </w:r>
            <w:r w:rsidR="003C5315">
              <w:rPr>
                <w:sz w:val="22"/>
                <w:szCs w:val="22"/>
              </w:rPr>
              <w:t xml:space="preserve"> stemming from</w:t>
            </w:r>
            <w:r w:rsidR="00AB6B26">
              <w:rPr>
                <w:sz w:val="22"/>
                <w:szCs w:val="22"/>
              </w:rPr>
              <w:t xml:space="preserve"> a</w:t>
            </w:r>
            <w:r w:rsidR="003C5315">
              <w:rPr>
                <w:sz w:val="22"/>
                <w:szCs w:val="22"/>
              </w:rPr>
              <w:t xml:space="preserve"> Commission action will be voted on by the Commission</w:t>
            </w:r>
            <w:r w:rsidR="00246175">
              <w:rPr>
                <w:sz w:val="22"/>
                <w:szCs w:val="22"/>
              </w:rPr>
              <w:t>.</w:t>
            </w:r>
            <w:r w:rsidR="002D4DCE">
              <w:rPr>
                <w:sz w:val="22"/>
                <w:szCs w:val="22"/>
              </w:rPr>
              <w:t xml:space="preserve"> </w:t>
            </w:r>
          </w:p>
          <w:p w14:paraId="11C995B5" w14:textId="77777777" w:rsidR="002D4DCE" w:rsidRDefault="002D4DCE" w:rsidP="00DA7B44">
            <w:pPr>
              <w:rPr>
                <w:sz w:val="22"/>
                <w:szCs w:val="22"/>
              </w:rPr>
            </w:pPr>
          </w:p>
          <w:p w14:paraId="7D80ECBC" w14:textId="6CD94D43" w:rsidR="002D4DCE" w:rsidRPr="004A297B" w:rsidRDefault="002D4DCE" w:rsidP="002D4DCE">
            <w:pPr>
              <w:rPr>
                <w:sz w:val="22"/>
                <w:szCs w:val="22"/>
              </w:rPr>
            </w:pPr>
            <w:r w:rsidRPr="004A297B">
              <w:rPr>
                <w:sz w:val="22"/>
                <w:szCs w:val="22"/>
              </w:rPr>
              <w:t xml:space="preserve">Action by the Commission </w:t>
            </w:r>
            <w:r>
              <w:rPr>
                <w:sz w:val="22"/>
                <w:szCs w:val="22"/>
              </w:rPr>
              <w:t>February</w:t>
            </w:r>
            <w:r w:rsidRPr="004A297B">
              <w:rPr>
                <w:sz w:val="22"/>
                <w:szCs w:val="22"/>
              </w:rPr>
              <w:t xml:space="preserve"> </w:t>
            </w:r>
            <w:r w:rsidR="00631B45">
              <w:rPr>
                <w:sz w:val="22"/>
                <w:szCs w:val="22"/>
              </w:rPr>
              <w:t>13</w:t>
            </w:r>
            <w:r w:rsidRPr="004A297B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 xml:space="preserve">7 by </w:t>
            </w:r>
            <w:r w:rsidRPr="000D0476">
              <w:rPr>
                <w:sz w:val="22"/>
                <w:szCs w:val="22"/>
              </w:rPr>
              <w:t>Order</w:t>
            </w:r>
            <w:r>
              <w:rPr>
                <w:sz w:val="22"/>
                <w:szCs w:val="22"/>
              </w:rPr>
              <w:t xml:space="preserve"> (FCC 17</w:t>
            </w:r>
            <w:r w:rsidRPr="004A297B">
              <w:rPr>
                <w:sz w:val="22"/>
                <w:szCs w:val="22"/>
              </w:rPr>
              <w:t>-</w:t>
            </w:r>
            <w:r w:rsidR="00631B45">
              <w:rPr>
                <w:sz w:val="22"/>
                <w:szCs w:val="22"/>
              </w:rPr>
              <w:t>10</w:t>
            </w:r>
            <w:r w:rsidRPr="004A297B">
              <w:rPr>
                <w:sz w:val="22"/>
                <w:szCs w:val="22"/>
              </w:rPr>
              <w:t xml:space="preserve">).  </w:t>
            </w:r>
            <w:r w:rsidRPr="000D0476">
              <w:rPr>
                <w:sz w:val="22"/>
                <w:szCs w:val="22"/>
              </w:rPr>
              <w:t>Chairman Pai, Commissioner</w:t>
            </w:r>
            <w:r w:rsidR="00567F13" w:rsidRPr="000D0476">
              <w:rPr>
                <w:sz w:val="22"/>
                <w:szCs w:val="22"/>
              </w:rPr>
              <w:t>s</w:t>
            </w:r>
            <w:r w:rsidRPr="000D0476">
              <w:rPr>
                <w:sz w:val="22"/>
                <w:szCs w:val="22"/>
              </w:rPr>
              <w:t xml:space="preserve"> Clyburn </w:t>
            </w:r>
            <w:r w:rsidR="00567F13" w:rsidRPr="000D0476">
              <w:rPr>
                <w:sz w:val="22"/>
                <w:szCs w:val="22"/>
              </w:rPr>
              <w:t xml:space="preserve">and O’Rielly </w:t>
            </w:r>
            <w:r w:rsidRPr="000D0476">
              <w:rPr>
                <w:sz w:val="22"/>
                <w:szCs w:val="22"/>
              </w:rPr>
              <w:t>approving.</w:t>
            </w:r>
            <w:r w:rsidR="000D0476">
              <w:rPr>
                <w:sz w:val="22"/>
                <w:szCs w:val="22"/>
              </w:rPr>
              <w:t xml:space="preserve"> </w:t>
            </w:r>
            <w:r w:rsidR="00631B45">
              <w:rPr>
                <w:sz w:val="22"/>
                <w:szCs w:val="22"/>
              </w:rPr>
              <w:t xml:space="preserve"> Commissioner O’Rielly issuing a separate statement.</w:t>
            </w:r>
          </w:p>
          <w:p w14:paraId="5606DA09" w14:textId="77777777" w:rsidR="002D4DCE" w:rsidRDefault="002D4DCE" w:rsidP="002D4DC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FE78148" w14:textId="5B2213FD" w:rsidR="004F3980" w:rsidRDefault="004F3980" w:rsidP="002D4DC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copy of today’s Consent Decree is available at </w:t>
            </w:r>
            <w:hyperlink r:id="rId9" w:history="1">
              <w:r w:rsidR="00027235" w:rsidRPr="00027235">
                <w:rPr>
                  <w:rStyle w:val="Hyperlink"/>
                  <w:sz w:val="22"/>
                  <w:szCs w:val="22"/>
                </w:rPr>
                <w:t>https://apps.fcc.gov/edocs_public/attachmatch/FCC-17-10A1.pdf</w:t>
              </w:r>
            </w:hyperlink>
          </w:p>
          <w:p w14:paraId="4F578437" w14:textId="77777777" w:rsidR="004F3980" w:rsidRPr="00E32F49" w:rsidRDefault="004F3980" w:rsidP="002D4DC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B7822BF" w14:textId="0D8E06B8" w:rsidR="002D4DCE" w:rsidRDefault="002D4DCE" w:rsidP="002D4DC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copy of the 2015 Forfeiture O</w:t>
            </w:r>
            <w:r w:rsidRPr="00E32F49">
              <w:rPr>
                <w:sz w:val="22"/>
                <w:szCs w:val="22"/>
              </w:rPr>
              <w:t xml:space="preserve">rder is available at </w:t>
            </w:r>
            <w:hyperlink r:id="rId10" w:history="1">
              <w:r w:rsidRPr="003A328E">
                <w:rPr>
                  <w:rStyle w:val="Hyperlink"/>
                  <w:sz w:val="22"/>
                  <w:szCs w:val="22"/>
                </w:rPr>
                <w:t>http://go.usa.gov/ckQwp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7AD9E162" w14:textId="77777777" w:rsidR="002D4DCE" w:rsidRPr="00E32F49" w:rsidRDefault="002D4DCE" w:rsidP="002D4DC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3A8714D" w14:textId="2100CA61" w:rsidR="002D4DCE" w:rsidRDefault="002D4DCE" w:rsidP="002D4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copy of t</w:t>
            </w:r>
            <w:r w:rsidRPr="00E32F49"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>2014 N</w:t>
            </w:r>
            <w:r w:rsidRPr="00E32F49">
              <w:rPr>
                <w:sz w:val="22"/>
                <w:szCs w:val="22"/>
              </w:rPr>
              <w:t xml:space="preserve">otice of </w:t>
            </w:r>
            <w:r>
              <w:rPr>
                <w:sz w:val="22"/>
                <w:szCs w:val="22"/>
              </w:rPr>
              <w:t>A</w:t>
            </w:r>
            <w:r w:rsidRPr="00E32F49">
              <w:rPr>
                <w:sz w:val="22"/>
                <w:szCs w:val="22"/>
              </w:rPr>
              <w:t xml:space="preserve">pparent </w:t>
            </w:r>
            <w:r>
              <w:rPr>
                <w:sz w:val="22"/>
                <w:szCs w:val="22"/>
              </w:rPr>
              <w:t>L</w:t>
            </w:r>
            <w:r w:rsidRPr="00E32F49">
              <w:rPr>
                <w:sz w:val="22"/>
                <w:szCs w:val="22"/>
              </w:rPr>
              <w:t xml:space="preserve">iability is available </w:t>
            </w:r>
            <w:r>
              <w:rPr>
                <w:sz w:val="22"/>
                <w:szCs w:val="22"/>
              </w:rPr>
              <w:t xml:space="preserve">at </w:t>
            </w:r>
            <w:hyperlink r:id="rId11" w:history="1">
              <w:r w:rsidRPr="00822C57">
                <w:rPr>
                  <w:rStyle w:val="Hyperlink"/>
                  <w:sz w:val="22"/>
                  <w:szCs w:val="22"/>
                </w:rPr>
                <w:t>http://go.usa.gov/ck8gS</w:t>
              </w:r>
            </w:hyperlink>
            <w:r>
              <w:rPr>
                <w:rStyle w:val="Hyperlink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400F64D3" w14:textId="77777777" w:rsidR="002D4DCE" w:rsidRDefault="002D4DCE" w:rsidP="002D4DCE">
            <w:pPr>
              <w:rPr>
                <w:sz w:val="22"/>
                <w:szCs w:val="22"/>
              </w:rPr>
            </w:pPr>
          </w:p>
          <w:p w14:paraId="299BC1EE" w14:textId="120E69D0" w:rsidR="002D4DCE" w:rsidRDefault="002D4DCE" w:rsidP="002D4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consumer guide on the Telephone </w:t>
            </w:r>
            <w:r w:rsidR="00027235">
              <w:rPr>
                <w:sz w:val="22"/>
                <w:szCs w:val="22"/>
              </w:rPr>
              <w:t>Relay Service is available at</w:t>
            </w:r>
            <w:r>
              <w:rPr>
                <w:sz w:val="22"/>
                <w:szCs w:val="22"/>
              </w:rPr>
              <w:t xml:space="preserve"> </w:t>
            </w:r>
            <w:hyperlink r:id="rId12" w:history="1">
              <w:r w:rsidRPr="00610C32">
                <w:rPr>
                  <w:rStyle w:val="Hyperlink"/>
                  <w:sz w:val="22"/>
                  <w:szCs w:val="22"/>
                </w:rPr>
                <w:t>http://go.usa.gov/ckkXX</w:t>
              </w:r>
            </w:hyperlink>
          </w:p>
          <w:p w14:paraId="576B81AE" w14:textId="77777777" w:rsidR="00483F08" w:rsidRPr="009972BC" w:rsidRDefault="00483F0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525ACF38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00CC7D7A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FF65489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6815F3D8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2D38963D" w14:textId="7A4EDEF2" w:rsidR="00CC5E08" w:rsidRDefault="00852E20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3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6EE863CB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64496771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2C5155FB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51B91" w14:textId="77777777" w:rsidR="0099049C" w:rsidRDefault="0099049C" w:rsidP="0099049C">
      <w:r>
        <w:separator/>
      </w:r>
    </w:p>
  </w:endnote>
  <w:endnote w:type="continuationSeparator" w:id="0">
    <w:p w14:paraId="3AD40C71" w14:textId="77777777" w:rsidR="0099049C" w:rsidRDefault="0099049C" w:rsidP="0099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62AA8" w14:textId="77777777" w:rsidR="0099049C" w:rsidRDefault="00990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0EC1" w14:textId="77777777" w:rsidR="0099049C" w:rsidRDefault="009904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B2B70" w14:textId="77777777" w:rsidR="0099049C" w:rsidRDefault="00990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947ED" w14:textId="77777777" w:rsidR="0099049C" w:rsidRDefault="0099049C" w:rsidP="0099049C">
      <w:r>
        <w:separator/>
      </w:r>
    </w:p>
  </w:footnote>
  <w:footnote w:type="continuationSeparator" w:id="0">
    <w:p w14:paraId="466F20B2" w14:textId="77777777" w:rsidR="0099049C" w:rsidRDefault="0099049C" w:rsidP="00990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5647A" w14:textId="77777777" w:rsidR="0099049C" w:rsidRDefault="00990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E16C7" w14:textId="77777777" w:rsidR="0099049C" w:rsidRDefault="009904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8483" w14:textId="77777777" w:rsidR="0099049C" w:rsidRDefault="00990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56"/>
    <w:rsid w:val="0002500C"/>
    <w:rsid w:val="00027235"/>
    <w:rsid w:val="000311FC"/>
    <w:rsid w:val="00040127"/>
    <w:rsid w:val="00055876"/>
    <w:rsid w:val="00081232"/>
    <w:rsid w:val="00091E65"/>
    <w:rsid w:val="00096D4A"/>
    <w:rsid w:val="000A38EA"/>
    <w:rsid w:val="000C1E47"/>
    <w:rsid w:val="000C26F3"/>
    <w:rsid w:val="000D0476"/>
    <w:rsid w:val="000E049E"/>
    <w:rsid w:val="0010799B"/>
    <w:rsid w:val="001157AF"/>
    <w:rsid w:val="00117DB2"/>
    <w:rsid w:val="0012037E"/>
    <w:rsid w:val="00123ED2"/>
    <w:rsid w:val="00125BE0"/>
    <w:rsid w:val="00142C13"/>
    <w:rsid w:val="00152776"/>
    <w:rsid w:val="00153222"/>
    <w:rsid w:val="001577D3"/>
    <w:rsid w:val="00171489"/>
    <w:rsid w:val="001733A6"/>
    <w:rsid w:val="001865A9"/>
    <w:rsid w:val="00187DB2"/>
    <w:rsid w:val="001B20BB"/>
    <w:rsid w:val="001B4A34"/>
    <w:rsid w:val="001C2940"/>
    <w:rsid w:val="001C307A"/>
    <w:rsid w:val="001C4370"/>
    <w:rsid w:val="001D3779"/>
    <w:rsid w:val="001D6306"/>
    <w:rsid w:val="001F0469"/>
    <w:rsid w:val="00203A98"/>
    <w:rsid w:val="00206EDD"/>
    <w:rsid w:val="0021247E"/>
    <w:rsid w:val="002146F6"/>
    <w:rsid w:val="00231C32"/>
    <w:rsid w:val="00240345"/>
    <w:rsid w:val="002421F0"/>
    <w:rsid w:val="00246175"/>
    <w:rsid w:val="00247274"/>
    <w:rsid w:val="00266966"/>
    <w:rsid w:val="00294C0C"/>
    <w:rsid w:val="002A0934"/>
    <w:rsid w:val="002B1013"/>
    <w:rsid w:val="002D03E5"/>
    <w:rsid w:val="002D4DCE"/>
    <w:rsid w:val="002E3F1D"/>
    <w:rsid w:val="002F31D0"/>
    <w:rsid w:val="00300359"/>
    <w:rsid w:val="003076CF"/>
    <w:rsid w:val="0031773E"/>
    <w:rsid w:val="00347716"/>
    <w:rsid w:val="003506E1"/>
    <w:rsid w:val="0036453D"/>
    <w:rsid w:val="003727E3"/>
    <w:rsid w:val="00385A93"/>
    <w:rsid w:val="00386CEF"/>
    <w:rsid w:val="003910F1"/>
    <w:rsid w:val="003C5315"/>
    <w:rsid w:val="003E42FC"/>
    <w:rsid w:val="003E5991"/>
    <w:rsid w:val="003F344A"/>
    <w:rsid w:val="00401CA5"/>
    <w:rsid w:val="00403FF0"/>
    <w:rsid w:val="0042046D"/>
    <w:rsid w:val="0042116E"/>
    <w:rsid w:val="00425AEF"/>
    <w:rsid w:val="00426518"/>
    <w:rsid w:val="00427B06"/>
    <w:rsid w:val="00437B67"/>
    <w:rsid w:val="00441F59"/>
    <w:rsid w:val="00444E07"/>
    <w:rsid w:val="00444FA9"/>
    <w:rsid w:val="00473E9C"/>
    <w:rsid w:val="00480099"/>
    <w:rsid w:val="00483F08"/>
    <w:rsid w:val="00497858"/>
    <w:rsid w:val="004B4FEA"/>
    <w:rsid w:val="004C0ADA"/>
    <w:rsid w:val="004C134D"/>
    <w:rsid w:val="004C433E"/>
    <w:rsid w:val="004C4512"/>
    <w:rsid w:val="004C4F36"/>
    <w:rsid w:val="004D3D85"/>
    <w:rsid w:val="004E2BD8"/>
    <w:rsid w:val="004F0F1F"/>
    <w:rsid w:val="004F3980"/>
    <w:rsid w:val="005022AA"/>
    <w:rsid w:val="00504845"/>
    <w:rsid w:val="0050757F"/>
    <w:rsid w:val="00516AD2"/>
    <w:rsid w:val="00545DAE"/>
    <w:rsid w:val="00552110"/>
    <w:rsid w:val="00567F13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5CE5"/>
    <w:rsid w:val="00617B94"/>
    <w:rsid w:val="00620BED"/>
    <w:rsid w:val="00631B45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1797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C4602"/>
    <w:rsid w:val="007D21BF"/>
    <w:rsid w:val="007F3C12"/>
    <w:rsid w:val="007F5205"/>
    <w:rsid w:val="00807533"/>
    <w:rsid w:val="008215E7"/>
    <w:rsid w:val="00830FC6"/>
    <w:rsid w:val="00835C9E"/>
    <w:rsid w:val="00852E20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049C"/>
    <w:rsid w:val="00993C47"/>
    <w:rsid w:val="009972BC"/>
    <w:rsid w:val="009A756C"/>
    <w:rsid w:val="009B4B16"/>
    <w:rsid w:val="009E4FA1"/>
    <w:rsid w:val="009E54A1"/>
    <w:rsid w:val="009F4E25"/>
    <w:rsid w:val="009F5B1F"/>
    <w:rsid w:val="00A121ED"/>
    <w:rsid w:val="00A35DFD"/>
    <w:rsid w:val="00A45D2B"/>
    <w:rsid w:val="00A702DF"/>
    <w:rsid w:val="00A775A3"/>
    <w:rsid w:val="00A81B5B"/>
    <w:rsid w:val="00A82FAD"/>
    <w:rsid w:val="00A9673A"/>
    <w:rsid w:val="00A96EF2"/>
    <w:rsid w:val="00AA5C35"/>
    <w:rsid w:val="00AA5ED9"/>
    <w:rsid w:val="00AB6B26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304A"/>
    <w:rsid w:val="00BA6350"/>
    <w:rsid w:val="00BB4E29"/>
    <w:rsid w:val="00BB74C9"/>
    <w:rsid w:val="00BC3AB6"/>
    <w:rsid w:val="00BD19E8"/>
    <w:rsid w:val="00BD4273"/>
    <w:rsid w:val="00C1533F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2EC"/>
    <w:rsid w:val="00D02AC6"/>
    <w:rsid w:val="00D03F0C"/>
    <w:rsid w:val="00D04312"/>
    <w:rsid w:val="00D16A7F"/>
    <w:rsid w:val="00D16AD2"/>
    <w:rsid w:val="00D16DC9"/>
    <w:rsid w:val="00D22596"/>
    <w:rsid w:val="00D22691"/>
    <w:rsid w:val="00D24C3D"/>
    <w:rsid w:val="00D46CB1"/>
    <w:rsid w:val="00D55A56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5878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13FA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8D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B6B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6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6B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6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6B2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B6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6B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5D2B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990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049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90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04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B6B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6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6B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6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6B2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B6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6B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5D2B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990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049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90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04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cc.gov/office-media-relations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o.usa.gov/ckkX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.usa.gov/ck8g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o.usa.gov/ckQw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pps.fcc.gov/edocs_public/attachmatch/FCC-17-10A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2431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2017-02-14T17:06:00Z</dcterms:created>
  <dcterms:modified xsi:type="dcterms:W3CDTF">2017-02-14T17:06:00Z</dcterms:modified>
  <cp:category> </cp:category>
  <cp:contentStatus> </cp:contentStatus>
</cp:coreProperties>
</file>