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86"/>
      </w:tblGrid>
      <w:tr w:rsidR="004F0F1F" w:rsidRPr="008F78D8" w14:paraId="4112F864" w14:textId="77777777" w:rsidTr="00730928">
        <w:trPr>
          <w:trHeight w:val="68"/>
        </w:trPr>
        <w:tc>
          <w:tcPr>
            <w:tcW w:w="8640" w:type="dxa"/>
          </w:tcPr>
          <w:p w14:paraId="7F1AD5E6" w14:textId="77777777" w:rsidR="00FF232D" w:rsidRDefault="00730928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C81D88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15B6976" wp14:editId="0AE9C443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CD742" w14:textId="0C197086" w:rsidR="00426518" w:rsidRDefault="00426518" w:rsidP="00B57131">
            <w:pPr>
              <w:rPr>
                <w:b/>
                <w:bCs/>
              </w:rPr>
            </w:pPr>
          </w:p>
          <w:p w14:paraId="0D2ADED0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0B29140" w14:textId="77777777" w:rsidR="007A44F8" w:rsidRPr="00083CB1" w:rsidRDefault="00FD1837" w:rsidP="00BB4E29">
            <w:pPr>
              <w:rPr>
                <w:bCs/>
                <w:sz w:val="22"/>
                <w:szCs w:val="22"/>
              </w:rPr>
            </w:pPr>
            <w:r w:rsidRPr="00083CB1">
              <w:rPr>
                <w:bCs/>
                <w:sz w:val="22"/>
                <w:szCs w:val="22"/>
              </w:rPr>
              <w:t>Cecilia Sulhoff</w:t>
            </w:r>
            <w:r w:rsidR="007F499C" w:rsidRPr="00083CB1">
              <w:rPr>
                <w:bCs/>
                <w:sz w:val="22"/>
                <w:szCs w:val="22"/>
              </w:rPr>
              <w:t>, 202-418-05</w:t>
            </w:r>
            <w:r w:rsidRPr="00083CB1">
              <w:rPr>
                <w:bCs/>
                <w:sz w:val="22"/>
                <w:szCs w:val="22"/>
              </w:rPr>
              <w:t>87</w:t>
            </w:r>
          </w:p>
          <w:p w14:paraId="1982CFE8" w14:textId="477EDA41" w:rsidR="007A44F8" w:rsidRPr="00083CB1" w:rsidRDefault="00083CB1" w:rsidP="00BB4E29">
            <w:pPr>
              <w:rPr>
                <w:sz w:val="22"/>
                <w:szCs w:val="22"/>
              </w:rPr>
            </w:pPr>
            <w:r w:rsidRPr="00083CB1">
              <w:rPr>
                <w:sz w:val="22"/>
                <w:szCs w:val="22"/>
              </w:rPr>
              <w:t>c</w:t>
            </w:r>
            <w:r w:rsidR="00A3341A" w:rsidRPr="00083CB1">
              <w:rPr>
                <w:sz w:val="22"/>
                <w:szCs w:val="22"/>
              </w:rPr>
              <w:t>ecilia.sulhoff@fcc.gov</w:t>
            </w:r>
          </w:p>
          <w:p w14:paraId="5BAB003E" w14:textId="77777777" w:rsidR="00A3341A" w:rsidRPr="008A3940" w:rsidRDefault="00A3341A" w:rsidP="00BB4E29">
            <w:pPr>
              <w:rPr>
                <w:bCs/>
                <w:sz w:val="22"/>
                <w:szCs w:val="22"/>
              </w:rPr>
            </w:pPr>
          </w:p>
          <w:p w14:paraId="4A6EB5D9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14431303" w14:textId="77777777" w:rsidR="007A44F8" w:rsidRPr="00083CB1" w:rsidRDefault="007A44F8" w:rsidP="00BB4E29">
            <w:pPr>
              <w:jc w:val="center"/>
              <w:rPr>
                <w:b/>
                <w:bCs/>
              </w:rPr>
            </w:pPr>
          </w:p>
          <w:p w14:paraId="12CE1923" w14:textId="0A4DA261" w:rsidR="0091477B" w:rsidRPr="00083CB1" w:rsidRDefault="0091477B" w:rsidP="00322EB1">
            <w:pPr>
              <w:jc w:val="center"/>
              <w:rPr>
                <w:b/>
                <w:bCs/>
              </w:rPr>
            </w:pPr>
            <w:r w:rsidRPr="00083CB1">
              <w:rPr>
                <w:b/>
                <w:bCs/>
              </w:rPr>
              <w:t xml:space="preserve">FCC ADVANCES SEAMLESS NATIONWIDE ACCESS TO MOBILE VOICE </w:t>
            </w:r>
          </w:p>
          <w:p w14:paraId="299E47B2" w14:textId="07A7088B" w:rsidR="00942D0E" w:rsidRPr="00083CB1" w:rsidRDefault="0091477B" w:rsidP="00322EB1">
            <w:pPr>
              <w:jc w:val="center"/>
              <w:rPr>
                <w:b/>
                <w:bCs/>
              </w:rPr>
            </w:pPr>
            <w:r w:rsidRPr="00083CB1">
              <w:rPr>
                <w:b/>
                <w:bCs/>
              </w:rPr>
              <w:t>AND BROADBAND SERVICE THROUGH MOBILITY FUND II</w:t>
            </w:r>
          </w:p>
          <w:p w14:paraId="0DAE6644" w14:textId="55051ACE" w:rsidR="0091477B" w:rsidRPr="00322EB1" w:rsidRDefault="00F228ED" w:rsidP="0091477B">
            <w:pPr>
              <w:tabs>
                <w:tab w:val="left" w:pos="8625"/>
              </w:tabs>
              <w:jc w:val="center"/>
              <w:rPr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91477B">
              <w:rPr>
                <w:b/>
                <w:bCs/>
                <w:sz w:val="22"/>
                <w:szCs w:val="22"/>
              </w:rPr>
              <w:t xml:space="preserve">  </w:t>
            </w:r>
            <w:r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2865CDF1" w14:textId="6D85EBE2" w:rsidR="00172462" w:rsidRPr="0091477B" w:rsidRDefault="00FF1C0B" w:rsidP="00042D98">
            <w:p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 xml:space="preserve">WASHINGTON, </w:t>
            </w:r>
            <w:r w:rsidR="00657186">
              <w:rPr>
                <w:sz w:val="22"/>
                <w:szCs w:val="22"/>
              </w:rPr>
              <w:t>February 23, 2017</w:t>
            </w:r>
            <w:r w:rsidR="002B1013" w:rsidRPr="0091477B">
              <w:rPr>
                <w:sz w:val="22"/>
                <w:szCs w:val="22"/>
              </w:rPr>
              <w:t xml:space="preserve"> –</w:t>
            </w:r>
            <w:r w:rsidR="002B1013" w:rsidRPr="001E0C54">
              <w:rPr>
                <w:sz w:val="22"/>
                <w:szCs w:val="22"/>
              </w:rPr>
              <w:t xml:space="preserve"> </w:t>
            </w:r>
            <w:r w:rsidR="00730928" w:rsidRPr="001E0C54">
              <w:rPr>
                <w:sz w:val="22"/>
                <w:szCs w:val="22"/>
              </w:rPr>
              <w:t xml:space="preserve">Today, the FCC took </w:t>
            </w:r>
            <w:r w:rsidR="00042D98" w:rsidRPr="001E0C54">
              <w:rPr>
                <w:sz w:val="22"/>
                <w:szCs w:val="22"/>
              </w:rPr>
              <w:t xml:space="preserve">steps to help </w:t>
            </w:r>
            <w:r w:rsidR="001E0C54" w:rsidRPr="00322EB1">
              <w:rPr>
                <w:sz w:val="22"/>
                <w:szCs w:val="22"/>
              </w:rPr>
              <w:t>expand and preserve 4G</w:t>
            </w:r>
            <w:r w:rsidR="00322EB1">
              <w:rPr>
                <w:sz w:val="22"/>
                <w:szCs w:val="22"/>
              </w:rPr>
              <w:t xml:space="preserve"> </w:t>
            </w:r>
            <w:r w:rsidR="001E0C54" w:rsidRPr="00322EB1">
              <w:rPr>
                <w:sz w:val="22"/>
                <w:szCs w:val="22"/>
              </w:rPr>
              <w:t xml:space="preserve">LTE mobile coverage across rural American and in Tribal lands by providing </w:t>
            </w:r>
            <w:r w:rsidR="00296231">
              <w:rPr>
                <w:sz w:val="22"/>
                <w:szCs w:val="22"/>
              </w:rPr>
              <w:t>$453</w:t>
            </w:r>
            <w:r w:rsidR="00042D98" w:rsidRPr="001E0C54">
              <w:rPr>
                <w:sz w:val="22"/>
                <w:szCs w:val="22"/>
              </w:rPr>
              <w:t xml:space="preserve"> million in annual </w:t>
            </w:r>
            <w:r w:rsidR="00345E75" w:rsidRPr="001E0C54">
              <w:rPr>
                <w:sz w:val="22"/>
                <w:szCs w:val="22"/>
              </w:rPr>
              <w:t xml:space="preserve">universal service </w:t>
            </w:r>
            <w:r w:rsidR="00042D98" w:rsidRPr="001E0C54">
              <w:rPr>
                <w:sz w:val="22"/>
                <w:szCs w:val="22"/>
              </w:rPr>
              <w:t>support through the FCC’s Mobility Fund</w:t>
            </w:r>
            <w:r w:rsidR="002A3075" w:rsidRPr="001E0C54">
              <w:rPr>
                <w:sz w:val="22"/>
                <w:szCs w:val="22"/>
              </w:rPr>
              <w:t xml:space="preserve"> Phase II</w:t>
            </w:r>
            <w:r w:rsidR="00BA0B31">
              <w:rPr>
                <w:sz w:val="22"/>
                <w:szCs w:val="22"/>
              </w:rPr>
              <w:t xml:space="preserve"> for a period of ten years</w:t>
            </w:r>
            <w:r w:rsidR="00042D98" w:rsidRPr="001E0C54">
              <w:rPr>
                <w:sz w:val="22"/>
                <w:szCs w:val="22"/>
              </w:rPr>
              <w:t>.</w:t>
            </w:r>
          </w:p>
          <w:p w14:paraId="29B46B8C" w14:textId="77777777" w:rsidR="00042D98" w:rsidRPr="0091477B" w:rsidRDefault="00042D98" w:rsidP="00042D98">
            <w:pPr>
              <w:rPr>
                <w:sz w:val="22"/>
                <w:szCs w:val="22"/>
              </w:rPr>
            </w:pPr>
          </w:p>
          <w:p w14:paraId="14D847B0" w14:textId="1F5E2808" w:rsidR="00042D98" w:rsidRPr="0091477B" w:rsidRDefault="00042D98" w:rsidP="00042D98">
            <w:p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 xml:space="preserve">The Mobility Fund was created in 2011 to preserve and extend mobile broadband and voice services in </w:t>
            </w:r>
            <w:r w:rsidR="000452F4" w:rsidRPr="0091477B">
              <w:rPr>
                <w:sz w:val="22"/>
                <w:szCs w:val="22"/>
              </w:rPr>
              <w:t>unserved and underserved areas</w:t>
            </w:r>
            <w:r w:rsidRPr="0091477B">
              <w:rPr>
                <w:sz w:val="22"/>
                <w:szCs w:val="22"/>
              </w:rPr>
              <w:t xml:space="preserve">. Mobility Fund I offered providers </w:t>
            </w:r>
            <w:r w:rsidR="001259C8">
              <w:rPr>
                <w:sz w:val="22"/>
                <w:szCs w:val="22"/>
              </w:rPr>
              <w:t>up to</w:t>
            </w:r>
            <w:r w:rsidR="001259C8" w:rsidRPr="0091477B">
              <w:rPr>
                <w:sz w:val="22"/>
                <w:szCs w:val="22"/>
              </w:rPr>
              <w:t xml:space="preserve"> </w:t>
            </w:r>
            <w:r w:rsidRPr="0091477B">
              <w:rPr>
                <w:sz w:val="22"/>
                <w:szCs w:val="22"/>
              </w:rPr>
              <w:t>$3</w:t>
            </w:r>
            <w:r w:rsidR="00345E75" w:rsidRPr="0091477B">
              <w:rPr>
                <w:sz w:val="22"/>
                <w:szCs w:val="22"/>
              </w:rPr>
              <w:t>50</w:t>
            </w:r>
            <w:r w:rsidRPr="0091477B">
              <w:rPr>
                <w:sz w:val="22"/>
                <w:szCs w:val="22"/>
              </w:rPr>
              <w:t xml:space="preserve"> million in one-time funding to </w:t>
            </w:r>
            <w:r w:rsidR="00C0078C" w:rsidRPr="0091477B">
              <w:rPr>
                <w:sz w:val="22"/>
                <w:szCs w:val="22"/>
              </w:rPr>
              <w:t xml:space="preserve">spur </w:t>
            </w:r>
            <w:r w:rsidR="00345E75" w:rsidRPr="0091477B">
              <w:rPr>
                <w:sz w:val="22"/>
                <w:szCs w:val="22"/>
              </w:rPr>
              <w:t>deployment</w:t>
            </w:r>
            <w:r w:rsidR="00C0078C" w:rsidRPr="0091477B">
              <w:rPr>
                <w:sz w:val="22"/>
                <w:szCs w:val="22"/>
              </w:rPr>
              <w:t xml:space="preserve"> of advanced wireless </w:t>
            </w:r>
            <w:r w:rsidR="00345E75" w:rsidRPr="0091477B">
              <w:rPr>
                <w:sz w:val="22"/>
                <w:szCs w:val="22"/>
              </w:rPr>
              <w:t>services in unserved areas, including Tribal lands</w:t>
            </w:r>
            <w:r w:rsidRPr="0091477B">
              <w:rPr>
                <w:sz w:val="22"/>
                <w:szCs w:val="22"/>
              </w:rPr>
              <w:t>. Despite that support</w:t>
            </w:r>
            <w:r w:rsidR="00C100A0" w:rsidRPr="0091477B">
              <w:rPr>
                <w:sz w:val="22"/>
                <w:szCs w:val="22"/>
              </w:rPr>
              <w:t xml:space="preserve"> </w:t>
            </w:r>
            <w:r w:rsidRPr="0091477B">
              <w:rPr>
                <w:sz w:val="22"/>
                <w:szCs w:val="22"/>
              </w:rPr>
              <w:t>and</w:t>
            </w:r>
            <w:r w:rsidR="00C100A0" w:rsidRPr="0091477B">
              <w:rPr>
                <w:sz w:val="22"/>
                <w:szCs w:val="22"/>
              </w:rPr>
              <w:t xml:space="preserve"> </w:t>
            </w:r>
            <w:r w:rsidRPr="0091477B">
              <w:rPr>
                <w:sz w:val="22"/>
                <w:szCs w:val="22"/>
              </w:rPr>
              <w:t xml:space="preserve">extensive </w:t>
            </w:r>
            <w:r w:rsidR="00345E75" w:rsidRPr="0091477B">
              <w:rPr>
                <w:sz w:val="22"/>
                <w:szCs w:val="22"/>
              </w:rPr>
              <w:t xml:space="preserve">4G </w:t>
            </w:r>
            <w:r w:rsidRPr="0091477B">
              <w:rPr>
                <w:sz w:val="22"/>
                <w:szCs w:val="22"/>
              </w:rPr>
              <w:t xml:space="preserve">LTE deployment by industry, approximately </w:t>
            </w:r>
            <w:r w:rsidR="001259C8">
              <w:rPr>
                <w:sz w:val="22"/>
                <w:szCs w:val="22"/>
              </w:rPr>
              <w:t xml:space="preserve">575,000 square miles </w:t>
            </w:r>
            <w:r w:rsidR="00C100A0" w:rsidRPr="0091477B">
              <w:rPr>
                <w:sz w:val="22"/>
                <w:szCs w:val="22"/>
              </w:rPr>
              <w:t xml:space="preserve">either </w:t>
            </w:r>
            <w:r w:rsidRPr="0091477B">
              <w:rPr>
                <w:sz w:val="22"/>
                <w:szCs w:val="22"/>
              </w:rPr>
              <w:t>still lack</w:t>
            </w:r>
            <w:r w:rsidR="001259C8">
              <w:rPr>
                <w:sz w:val="22"/>
                <w:szCs w:val="22"/>
              </w:rPr>
              <w:t>s</w:t>
            </w:r>
            <w:r w:rsidRPr="0091477B">
              <w:rPr>
                <w:sz w:val="22"/>
                <w:szCs w:val="22"/>
              </w:rPr>
              <w:t xml:space="preserve"> access to </w:t>
            </w:r>
            <w:r w:rsidR="002A3075" w:rsidRPr="0091477B">
              <w:rPr>
                <w:sz w:val="22"/>
                <w:szCs w:val="22"/>
              </w:rPr>
              <w:t>4G LTE</w:t>
            </w:r>
            <w:r w:rsidRPr="0091477B">
              <w:rPr>
                <w:sz w:val="22"/>
                <w:szCs w:val="22"/>
              </w:rPr>
              <w:t xml:space="preserve"> service or </w:t>
            </w:r>
            <w:r w:rsidR="002A3075" w:rsidRPr="0091477B">
              <w:rPr>
                <w:sz w:val="22"/>
                <w:szCs w:val="22"/>
              </w:rPr>
              <w:t>only ha</w:t>
            </w:r>
            <w:r w:rsidR="001259C8">
              <w:rPr>
                <w:sz w:val="22"/>
                <w:szCs w:val="22"/>
              </w:rPr>
              <w:t>s</w:t>
            </w:r>
            <w:r w:rsidR="002A3075" w:rsidRPr="0091477B">
              <w:rPr>
                <w:sz w:val="22"/>
                <w:szCs w:val="22"/>
              </w:rPr>
              <w:t xml:space="preserve"> 4G LTE coverage because of universal service support</w:t>
            </w:r>
            <w:r w:rsidRPr="0091477B">
              <w:rPr>
                <w:sz w:val="22"/>
                <w:szCs w:val="22"/>
              </w:rPr>
              <w:t>.</w:t>
            </w:r>
            <w:r w:rsidR="0091477B">
              <w:rPr>
                <w:sz w:val="22"/>
                <w:szCs w:val="22"/>
              </w:rPr>
              <w:t xml:space="preserve"> The rules adopted today help close that gap.</w:t>
            </w:r>
            <w:r w:rsidR="00DD3DD3">
              <w:rPr>
                <w:sz w:val="22"/>
                <w:szCs w:val="22"/>
              </w:rPr>
              <w:t xml:space="preserve">  </w:t>
            </w:r>
          </w:p>
          <w:p w14:paraId="6F4FD94D" w14:textId="77777777" w:rsidR="000452F4" w:rsidRPr="0091477B" w:rsidRDefault="000452F4" w:rsidP="00042D98">
            <w:pPr>
              <w:rPr>
                <w:sz w:val="22"/>
                <w:szCs w:val="22"/>
              </w:rPr>
            </w:pPr>
          </w:p>
          <w:p w14:paraId="65505415" w14:textId="05C9834B" w:rsidR="000452F4" w:rsidRPr="0091477B" w:rsidRDefault="000452F4" w:rsidP="00042D98">
            <w:p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 xml:space="preserve">The </w:t>
            </w:r>
            <w:r w:rsidR="00524F4C" w:rsidRPr="0091477B">
              <w:rPr>
                <w:sz w:val="22"/>
                <w:szCs w:val="22"/>
              </w:rPr>
              <w:t>actions taken in the Order adopted today will:</w:t>
            </w:r>
          </w:p>
          <w:p w14:paraId="1EBE784A" w14:textId="77777777" w:rsidR="00524F4C" w:rsidRPr="0091477B" w:rsidRDefault="00524F4C" w:rsidP="00042D98">
            <w:pPr>
              <w:rPr>
                <w:sz w:val="22"/>
                <w:szCs w:val="22"/>
              </w:rPr>
            </w:pPr>
          </w:p>
          <w:p w14:paraId="3746EAC7" w14:textId="77777777" w:rsidR="00524F4C" w:rsidRPr="0091477B" w:rsidRDefault="00524F4C" w:rsidP="00524F4C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 xml:space="preserve">Close Coverage Gaps Through a Mobility Fund II Auction </w:t>
            </w:r>
          </w:p>
          <w:p w14:paraId="25568DDD" w14:textId="1D39DED1" w:rsidR="00524F4C" w:rsidRPr="0091477B" w:rsidRDefault="00524F4C" w:rsidP="00524F4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>$4</w:t>
            </w:r>
            <w:r w:rsidR="00296231">
              <w:rPr>
                <w:sz w:val="22"/>
                <w:szCs w:val="22"/>
              </w:rPr>
              <w:t>5</w:t>
            </w:r>
            <w:r w:rsidR="001259C8">
              <w:rPr>
                <w:sz w:val="22"/>
                <w:szCs w:val="22"/>
              </w:rPr>
              <w:t>3</w:t>
            </w:r>
            <w:r w:rsidRPr="0091477B">
              <w:rPr>
                <w:sz w:val="22"/>
                <w:szCs w:val="22"/>
              </w:rPr>
              <w:t xml:space="preserve"> million in annual support for winning bidders to preserve and extend 4G LTE in areas where the market can’t sustain or extend service absent government support</w:t>
            </w:r>
            <w:r w:rsidR="0091477B">
              <w:rPr>
                <w:sz w:val="22"/>
                <w:szCs w:val="22"/>
              </w:rPr>
              <w:t>.</w:t>
            </w:r>
          </w:p>
          <w:p w14:paraId="34A8AC92" w14:textId="7B42FCF6" w:rsidR="00524F4C" w:rsidRPr="0091477B" w:rsidRDefault="00524F4C" w:rsidP="00524F4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 xml:space="preserve">A total of </w:t>
            </w:r>
            <w:r w:rsidR="001259C8">
              <w:rPr>
                <w:sz w:val="22"/>
                <w:szCs w:val="22"/>
              </w:rPr>
              <w:t>ten</w:t>
            </w:r>
            <w:r w:rsidR="001259C8" w:rsidRPr="0091477B">
              <w:rPr>
                <w:sz w:val="22"/>
                <w:szCs w:val="22"/>
              </w:rPr>
              <w:t xml:space="preserve"> </w:t>
            </w:r>
            <w:r w:rsidRPr="0091477B">
              <w:rPr>
                <w:sz w:val="22"/>
                <w:szCs w:val="22"/>
              </w:rPr>
              <w:t xml:space="preserve">years of support, disbursed </w:t>
            </w:r>
            <w:r w:rsidR="00345E75" w:rsidRPr="0091477B">
              <w:rPr>
                <w:sz w:val="22"/>
                <w:szCs w:val="22"/>
              </w:rPr>
              <w:t xml:space="preserve">in </w:t>
            </w:r>
            <w:r w:rsidRPr="0091477B">
              <w:rPr>
                <w:sz w:val="22"/>
                <w:szCs w:val="22"/>
              </w:rPr>
              <w:t xml:space="preserve">monthly </w:t>
            </w:r>
            <w:r w:rsidR="00345E75" w:rsidRPr="0091477B">
              <w:rPr>
                <w:sz w:val="22"/>
                <w:szCs w:val="22"/>
              </w:rPr>
              <w:t>installments</w:t>
            </w:r>
            <w:r w:rsidR="0091477B">
              <w:rPr>
                <w:sz w:val="22"/>
                <w:szCs w:val="22"/>
              </w:rPr>
              <w:t>.</w:t>
            </w:r>
          </w:p>
          <w:p w14:paraId="4EB12B7E" w14:textId="77777777" w:rsidR="00524F4C" w:rsidRPr="0091477B" w:rsidRDefault="00524F4C" w:rsidP="00524F4C">
            <w:pPr>
              <w:rPr>
                <w:sz w:val="22"/>
                <w:szCs w:val="22"/>
              </w:rPr>
            </w:pPr>
          </w:p>
          <w:p w14:paraId="7DDE5909" w14:textId="235D5D30" w:rsidR="00524F4C" w:rsidRPr="0091477B" w:rsidRDefault="00524F4C" w:rsidP="00524F4C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 xml:space="preserve">Target Areas Needing Support </w:t>
            </w:r>
          </w:p>
          <w:p w14:paraId="72ABEB83" w14:textId="2113EA69" w:rsidR="00524F4C" w:rsidRPr="0091477B" w:rsidRDefault="00524F4C" w:rsidP="00524F4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>Eligible areas include any portion of a census block not fully covered by unsubsidized 4G LTE coverage</w:t>
            </w:r>
            <w:r w:rsidR="00DD3DD3">
              <w:rPr>
                <w:sz w:val="22"/>
                <w:szCs w:val="22"/>
              </w:rPr>
              <w:t xml:space="preserve"> with a minimum</w:t>
            </w:r>
            <w:r w:rsidR="00BA0B31">
              <w:rPr>
                <w:sz w:val="22"/>
                <w:szCs w:val="22"/>
              </w:rPr>
              <w:t xml:space="preserve"> advertised download speed of 5 Mbps.</w:t>
            </w:r>
          </w:p>
          <w:p w14:paraId="16863305" w14:textId="7BE8138F" w:rsidR="00524F4C" w:rsidRPr="0091477B" w:rsidRDefault="00524F4C" w:rsidP="00524F4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 xml:space="preserve">Eligible areas to be identified </w:t>
            </w:r>
            <w:r w:rsidR="002A3075" w:rsidRPr="0091477B">
              <w:rPr>
                <w:sz w:val="22"/>
                <w:szCs w:val="22"/>
              </w:rPr>
              <w:t>using carrier-</w:t>
            </w:r>
            <w:r w:rsidRPr="0091477B">
              <w:rPr>
                <w:sz w:val="22"/>
                <w:szCs w:val="22"/>
              </w:rPr>
              <w:t>certified coverage data (Form 477)</w:t>
            </w:r>
            <w:r w:rsidR="002A3075" w:rsidRPr="0091477B">
              <w:rPr>
                <w:sz w:val="22"/>
                <w:szCs w:val="22"/>
              </w:rPr>
              <w:t xml:space="preserve">.  A </w:t>
            </w:r>
            <w:r w:rsidR="00C100A0" w:rsidRPr="0091477B">
              <w:rPr>
                <w:sz w:val="22"/>
                <w:szCs w:val="22"/>
              </w:rPr>
              <w:t xml:space="preserve">robust </w:t>
            </w:r>
            <w:r w:rsidR="002A3075" w:rsidRPr="0091477B">
              <w:rPr>
                <w:sz w:val="22"/>
                <w:szCs w:val="22"/>
              </w:rPr>
              <w:t>challenge process</w:t>
            </w:r>
            <w:r w:rsidR="00532261">
              <w:rPr>
                <w:sz w:val="22"/>
                <w:szCs w:val="22"/>
              </w:rPr>
              <w:t>, the parameters of which will be determined by the Commission after consideration of comments received in response to the Further Notice included with today’s Order,</w:t>
            </w:r>
            <w:r w:rsidR="002A3075" w:rsidRPr="0091477B">
              <w:rPr>
                <w:sz w:val="22"/>
                <w:szCs w:val="22"/>
              </w:rPr>
              <w:t xml:space="preserve"> will give all interested parties the opportunity to </w:t>
            </w:r>
            <w:r w:rsidR="000823E2" w:rsidRPr="0091477B">
              <w:rPr>
                <w:sz w:val="22"/>
                <w:szCs w:val="22"/>
              </w:rPr>
              <w:t>bring additional data to the FCC</w:t>
            </w:r>
            <w:r w:rsidR="002A3075" w:rsidRPr="0091477B">
              <w:rPr>
                <w:sz w:val="22"/>
                <w:szCs w:val="22"/>
              </w:rPr>
              <w:t xml:space="preserve"> before the eligible areas list is finalized.</w:t>
            </w:r>
          </w:p>
          <w:p w14:paraId="5EC122CE" w14:textId="5025B0B9" w:rsidR="00524F4C" w:rsidRDefault="00BA0B31" w:rsidP="00524F4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Adopt plans to r</w:t>
            </w:r>
            <w:r w:rsidR="00DD3DD3">
              <w:rPr>
                <w:sz w:val="22"/>
                <w:szCs w:val="22"/>
              </w:rPr>
              <w:t>apidly p</w:t>
            </w:r>
            <w:r w:rsidR="00524F4C" w:rsidRPr="0091477B">
              <w:rPr>
                <w:sz w:val="22"/>
                <w:szCs w:val="22"/>
              </w:rPr>
              <w:t xml:space="preserve">hase out </w:t>
            </w:r>
            <w:r>
              <w:rPr>
                <w:sz w:val="22"/>
                <w:szCs w:val="22"/>
              </w:rPr>
              <w:t xml:space="preserve">unnecessary </w:t>
            </w:r>
            <w:r w:rsidR="00524F4C" w:rsidRPr="0091477B">
              <w:rPr>
                <w:sz w:val="22"/>
                <w:szCs w:val="22"/>
              </w:rPr>
              <w:t xml:space="preserve">legacy </w:t>
            </w:r>
            <w:r w:rsidR="002A3075" w:rsidRPr="0091477B">
              <w:rPr>
                <w:sz w:val="22"/>
                <w:szCs w:val="22"/>
              </w:rPr>
              <w:t xml:space="preserve">CETC </w:t>
            </w:r>
            <w:r w:rsidR="00524F4C" w:rsidRPr="0091477B">
              <w:rPr>
                <w:sz w:val="22"/>
                <w:szCs w:val="22"/>
              </w:rPr>
              <w:t xml:space="preserve">support from the FCC’s Universal Service Fund, </w:t>
            </w:r>
            <w:r w:rsidR="00D93600">
              <w:rPr>
                <w:sz w:val="22"/>
                <w:szCs w:val="22"/>
              </w:rPr>
              <w:t xml:space="preserve">commencing </w:t>
            </w:r>
            <w:r w:rsidR="00532261">
              <w:rPr>
                <w:sz w:val="22"/>
                <w:szCs w:val="22"/>
              </w:rPr>
              <w:t>the first day of the month following the close of the auction</w:t>
            </w:r>
            <w:r>
              <w:rPr>
                <w:sz w:val="22"/>
                <w:szCs w:val="22"/>
              </w:rPr>
              <w:t xml:space="preserve">, with unneeded CETC support </w:t>
            </w:r>
            <w:r w:rsidR="00524F4C" w:rsidRPr="0091477B">
              <w:rPr>
                <w:sz w:val="22"/>
                <w:szCs w:val="22"/>
              </w:rPr>
              <w:t xml:space="preserve">ending </w:t>
            </w:r>
            <w:r w:rsidR="003424CE">
              <w:rPr>
                <w:sz w:val="22"/>
                <w:szCs w:val="22"/>
              </w:rPr>
              <w:t>after two years</w:t>
            </w:r>
            <w:r w:rsidR="00524F4C" w:rsidRPr="0091477B">
              <w:rPr>
                <w:sz w:val="22"/>
                <w:szCs w:val="22"/>
              </w:rPr>
              <w:t xml:space="preserve">. </w:t>
            </w:r>
          </w:p>
          <w:p w14:paraId="621345F3" w14:textId="77777777" w:rsidR="0091477B" w:rsidRPr="0091477B" w:rsidRDefault="0091477B" w:rsidP="00322EB1">
            <w:pPr>
              <w:pStyle w:val="ListParagraph"/>
              <w:rPr>
                <w:sz w:val="22"/>
                <w:szCs w:val="22"/>
              </w:rPr>
            </w:pPr>
          </w:p>
          <w:p w14:paraId="23336DC2" w14:textId="77777777" w:rsidR="00524F4C" w:rsidRPr="0091477B" w:rsidRDefault="00524F4C" w:rsidP="00524F4C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 xml:space="preserve">Set Service Requirements </w:t>
            </w:r>
          </w:p>
          <w:p w14:paraId="5304B246" w14:textId="62B4FDAC" w:rsidR="00524F4C" w:rsidRPr="0091477B" w:rsidRDefault="002A3075" w:rsidP="00524F4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 xml:space="preserve">Median </w:t>
            </w:r>
            <w:r w:rsidR="00524F4C" w:rsidRPr="0091477B">
              <w:rPr>
                <w:sz w:val="22"/>
                <w:szCs w:val="22"/>
              </w:rPr>
              <w:t>data speeds of 10/1 Megabits per second (Mbps)</w:t>
            </w:r>
            <w:r w:rsidR="0091477B">
              <w:rPr>
                <w:sz w:val="22"/>
                <w:szCs w:val="22"/>
              </w:rPr>
              <w:t>.</w:t>
            </w:r>
          </w:p>
          <w:p w14:paraId="6086A3DA" w14:textId="020F3CA8" w:rsidR="00524F4C" w:rsidRPr="0091477B" w:rsidRDefault="00524F4C" w:rsidP="00524F4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>Latency of less than 100 milliseconds (ms)</w:t>
            </w:r>
            <w:r w:rsidR="0091477B">
              <w:rPr>
                <w:sz w:val="22"/>
                <w:szCs w:val="22"/>
              </w:rPr>
              <w:t>.</w:t>
            </w:r>
            <w:r w:rsidRPr="0091477B">
              <w:rPr>
                <w:sz w:val="22"/>
                <w:szCs w:val="22"/>
              </w:rPr>
              <w:t xml:space="preserve"> </w:t>
            </w:r>
          </w:p>
          <w:p w14:paraId="5498368E" w14:textId="1D96B1D4" w:rsidR="00427D89" w:rsidRDefault="00524F4C" w:rsidP="00524F4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>Rates that are reasonably comparable to urban rates</w:t>
            </w:r>
            <w:r w:rsidR="0091477B">
              <w:rPr>
                <w:sz w:val="22"/>
                <w:szCs w:val="22"/>
              </w:rPr>
              <w:t>.</w:t>
            </w:r>
          </w:p>
          <w:p w14:paraId="186F684D" w14:textId="77777777" w:rsidR="0091477B" w:rsidRPr="0091477B" w:rsidRDefault="0091477B" w:rsidP="00322EB1">
            <w:pPr>
              <w:pStyle w:val="ListParagraph"/>
              <w:rPr>
                <w:sz w:val="22"/>
                <w:szCs w:val="22"/>
              </w:rPr>
            </w:pPr>
          </w:p>
          <w:p w14:paraId="29E6E126" w14:textId="4D97185C" w:rsidR="00427D89" w:rsidRPr="0091477B" w:rsidRDefault="00524F4C" w:rsidP="00427D89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 xml:space="preserve">Establish an Auction Framework </w:t>
            </w:r>
          </w:p>
          <w:p w14:paraId="2370B0A0" w14:textId="0C07A578" w:rsidR="00D93600" w:rsidRDefault="00D93600" w:rsidP="00427D8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distributed through a market-based, multi-round reverse auction.</w:t>
            </w:r>
          </w:p>
          <w:p w14:paraId="06E0629B" w14:textId="35CDA9C1" w:rsidR="00BE5416" w:rsidRPr="0091477B" w:rsidRDefault="00524F4C" w:rsidP="00427D8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 xml:space="preserve">Bidding and performance assessed by </w:t>
            </w:r>
            <w:r w:rsidR="00DD3DD3">
              <w:rPr>
                <w:sz w:val="22"/>
                <w:szCs w:val="22"/>
              </w:rPr>
              <w:t>square</w:t>
            </w:r>
            <w:r w:rsidR="00DD3DD3" w:rsidRPr="0091477B">
              <w:rPr>
                <w:sz w:val="22"/>
                <w:szCs w:val="22"/>
              </w:rPr>
              <w:t xml:space="preserve"> </w:t>
            </w:r>
            <w:r w:rsidRPr="0091477B">
              <w:rPr>
                <w:sz w:val="22"/>
                <w:szCs w:val="22"/>
              </w:rPr>
              <w:t>miles covered</w:t>
            </w:r>
            <w:r w:rsidR="0091477B">
              <w:rPr>
                <w:sz w:val="22"/>
                <w:szCs w:val="22"/>
              </w:rPr>
              <w:t>.</w:t>
            </w:r>
            <w:r w:rsidRPr="0091477B">
              <w:rPr>
                <w:sz w:val="22"/>
                <w:szCs w:val="22"/>
              </w:rPr>
              <w:t xml:space="preserve"> </w:t>
            </w:r>
          </w:p>
          <w:p w14:paraId="0E3C3F13" w14:textId="63B46971" w:rsidR="00524F4C" w:rsidRDefault="00524F4C" w:rsidP="00524F4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 xml:space="preserve">Oversight and accountability provisions to provide financial security and protect against default. </w:t>
            </w:r>
          </w:p>
          <w:p w14:paraId="6AB2475E" w14:textId="58E14B02" w:rsidR="00524F4C" w:rsidRPr="0091477B" w:rsidRDefault="00524F4C" w:rsidP="00524F4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>Reserves up to</w:t>
            </w:r>
            <w:r w:rsidR="00BA0B31">
              <w:rPr>
                <w:sz w:val="22"/>
                <w:szCs w:val="22"/>
              </w:rPr>
              <w:t xml:space="preserve"> an estimated</w:t>
            </w:r>
            <w:r w:rsidRPr="0091477B">
              <w:rPr>
                <w:sz w:val="22"/>
                <w:szCs w:val="22"/>
              </w:rPr>
              <w:t xml:space="preserve"> $</w:t>
            </w:r>
            <w:r w:rsidR="00DD3DD3">
              <w:rPr>
                <w:sz w:val="22"/>
                <w:szCs w:val="22"/>
              </w:rPr>
              <w:t>34</w:t>
            </w:r>
            <w:r w:rsidRPr="0091477B">
              <w:rPr>
                <w:sz w:val="22"/>
                <w:szCs w:val="22"/>
              </w:rPr>
              <w:t xml:space="preserve"> million of the total $4</w:t>
            </w:r>
            <w:r w:rsidR="00296231">
              <w:rPr>
                <w:sz w:val="22"/>
                <w:szCs w:val="22"/>
              </w:rPr>
              <w:t>5</w:t>
            </w:r>
            <w:r w:rsidR="00DD3DD3">
              <w:rPr>
                <w:sz w:val="22"/>
                <w:szCs w:val="22"/>
              </w:rPr>
              <w:t>3</w:t>
            </w:r>
            <w:r w:rsidRPr="0091477B">
              <w:rPr>
                <w:sz w:val="22"/>
                <w:szCs w:val="22"/>
              </w:rPr>
              <w:t xml:space="preserve"> million of annual support for 4G LTE on eligible Tribal lands</w:t>
            </w:r>
            <w:r w:rsidR="0091477B">
              <w:rPr>
                <w:sz w:val="22"/>
                <w:szCs w:val="22"/>
              </w:rPr>
              <w:t>.</w:t>
            </w:r>
            <w:r w:rsidRPr="0091477B">
              <w:rPr>
                <w:sz w:val="22"/>
                <w:szCs w:val="22"/>
              </w:rPr>
              <w:t xml:space="preserve"> </w:t>
            </w:r>
          </w:p>
          <w:p w14:paraId="4842F92A" w14:textId="77777777" w:rsidR="00042D98" w:rsidRPr="0091477B" w:rsidRDefault="00042D98" w:rsidP="00042D98">
            <w:pPr>
              <w:rPr>
                <w:sz w:val="22"/>
                <w:szCs w:val="22"/>
              </w:rPr>
            </w:pPr>
          </w:p>
          <w:p w14:paraId="4C5D8C03" w14:textId="0445D403" w:rsidR="00042D98" w:rsidRPr="0091477B" w:rsidRDefault="00DA06FD" w:rsidP="00042D98">
            <w:p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>Today’s action</w:t>
            </w:r>
            <w:r w:rsidR="00C0078C" w:rsidRPr="0091477B">
              <w:rPr>
                <w:sz w:val="22"/>
                <w:szCs w:val="22"/>
              </w:rPr>
              <w:t xml:space="preserve"> </w:t>
            </w:r>
            <w:r w:rsidR="00345E75" w:rsidRPr="0091477B">
              <w:rPr>
                <w:sz w:val="22"/>
                <w:szCs w:val="22"/>
              </w:rPr>
              <w:t>is</w:t>
            </w:r>
            <w:r w:rsidR="00C0078C" w:rsidRPr="0091477B">
              <w:rPr>
                <w:sz w:val="22"/>
                <w:szCs w:val="22"/>
              </w:rPr>
              <w:t xml:space="preserve"> crucial to further</w:t>
            </w:r>
            <w:r w:rsidRPr="0091477B">
              <w:rPr>
                <w:sz w:val="22"/>
                <w:szCs w:val="22"/>
              </w:rPr>
              <w:t xml:space="preserve"> the Commission’s goal </w:t>
            </w:r>
            <w:r w:rsidR="00345E75" w:rsidRPr="0091477B">
              <w:rPr>
                <w:sz w:val="22"/>
                <w:szCs w:val="22"/>
              </w:rPr>
              <w:t>of</w:t>
            </w:r>
            <w:r w:rsidRPr="0091477B">
              <w:rPr>
                <w:sz w:val="22"/>
                <w:szCs w:val="22"/>
              </w:rPr>
              <w:t xml:space="preserve"> provid</w:t>
            </w:r>
            <w:r w:rsidR="00345E75" w:rsidRPr="0091477B">
              <w:rPr>
                <w:sz w:val="22"/>
                <w:szCs w:val="22"/>
              </w:rPr>
              <w:t>ing</w:t>
            </w:r>
            <w:r w:rsidRPr="0091477B">
              <w:rPr>
                <w:sz w:val="22"/>
                <w:szCs w:val="22"/>
              </w:rPr>
              <w:t xml:space="preserve"> seamless consumer access to robust mobile broadband and vo</w:t>
            </w:r>
            <w:r w:rsidR="00C0078C" w:rsidRPr="0091477B">
              <w:rPr>
                <w:sz w:val="22"/>
                <w:szCs w:val="22"/>
              </w:rPr>
              <w:t>ice services across the country, where consumers live, work and travel.</w:t>
            </w:r>
          </w:p>
          <w:p w14:paraId="3BD11B11" w14:textId="77777777" w:rsidR="00042D98" w:rsidRDefault="00042D98" w:rsidP="00042D98">
            <w:pPr>
              <w:rPr>
                <w:sz w:val="22"/>
                <w:szCs w:val="22"/>
              </w:rPr>
            </w:pPr>
          </w:p>
          <w:p w14:paraId="2814C97A" w14:textId="77777777" w:rsidR="00083CB1" w:rsidRPr="0091477B" w:rsidRDefault="00083CB1" w:rsidP="00042D98">
            <w:pPr>
              <w:rPr>
                <w:sz w:val="22"/>
                <w:szCs w:val="22"/>
              </w:rPr>
            </w:pPr>
          </w:p>
          <w:p w14:paraId="301B4ED2" w14:textId="2B405A27" w:rsidR="00325867" w:rsidRDefault="00E83BB1" w:rsidP="00325867">
            <w:pPr>
              <w:rPr>
                <w:sz w:val="22"/>
                <w:szCs w:val="22"/>
              </w:rPr>
            </w:pPr>
            <w:r w:rsidRPr="00E83BB1">
              <w:rPr>
                <w:sz w:val="22"/>
                <w:szCs w:val="22"/>
              </w:rPr>
              <w:t>Action by the Commission February 23, 2017 by Report and Order and Further Notice of Proposed Rulemaking (FCC 17-11). Chairman Pai, Commissioners Clyburn and O’Rielly approving and issuing separate statements.</w:t>
            </w:r>
          </w:p>
          <w:p w14:paraId="5ECF5731" w14:textId="77777777" w:rsidR="00E83BB1" w:rsidRPr="00325867" w:rsidRDefault="00E83BB1" w:rsidP="00325867">
            <w:pPr>
              <w:rPr>
                <w:sz w:val="22"/>
                <w:szCs w:val="22"/>
              </w:rPr>
            </w:pPr>
          </w:p>
          <w:p w14:paraId="01C8C904" w14:textId="22AB9121" w:rsidR="00424801" w:rsidRDefault="00325867" w:rsidP="00325867">
            <w:pPr>
              <w:autoSpaceDE w:val="0"/>
              <w:autoSpaceDN w:val="0"/>
              <w:rPr>
                <w:sz w:val="22"/>
                <w:szCs w:val="22"/>
              </w:rPr>
            </w:pPr>
            <w:r w:rsidRPr="00325867">
              <w:rPr>
                <w:sz w:val="22"/>
                <w:szCs w:val="22"/>
              </w:rPr>
              <w:t>WC Docket No. 10-90; GN Docket No. 09-51; WC Docket No. 07-135; WC Docket No. 05-337; CC Docket No. 01-92; CC Docket No. 96-45; WC Docket No. 03-109; WT Docket No. 10-208</w:t>
            </w:r>
          </w:p>
          <w:p w14:paraId="2AEB535D" w14:textId="77777777" w:rsidR="00325867" w:rsidRPr="00172462" w:rsidRDefault="00325867" w:rsidP="00325867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14:paraId="2A115933" w14:textId="77777777" w:rsidR="004F0F1F" w:rsidRPr="008A3940" w:rsidRDefault="00F708E3" w:rsidP="002E41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7697BE4F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66CD329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07EDAC7B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43FEA354" w14:textId="262A00B9" w:rsidR="00CC5E08" w:rsidRDefault="008F5B71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1ACCB3A5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3A148A86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7F499C" w:rsidRPr="008F78D8" w14:paraId="38A88582" w14:textId="77777777" w:rsidTr="00730928">
        <w:trPr>
          <w:trHeight w:val="2181"/>
        </w:trPr>
        <w:tc>
          <w:tcPr>
            <w:tcW w:w="8640" w:type="dxa"/>
          </w:tcPr>
          <w:p w14:paraId="0FCFF9A2" w14:textId="77777777" w:rsidR="007F499C" w:rsidRDefault="007F499C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341694E8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 w:rsidSect="009147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B2E67" w14:textId="77777777" w:rsidR="00A84837" w:rsidRDefault="00A84837" w:rsidP="00733019">
      <w:r>
        <w:separator/>
      </w:r>
    </w:p>
  </w:endnote>
  <w:endnote w:type="continuationSeparator" w:id="0">
    <w:p w14:paraId="4A237EFC" w14:textId="77777777" w:rsidR="00A84837" w:rsidRDefault="00A84837" w:rsidP="00733019">
      <w:r>
        <w:continuationSeparator/>
      </w:r>
    </w:p>
  </w:endnote>
  <w:endnote w:type="continuationNotice" w:id="1">
    <w:p w14:paraId="6D264DD2" w14:textId="77777777" w:rsidR="00A84837" w:rsidRDefault="00A84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51CC5" w14:textId="77777777" w:rsidR="00B23D11" w:rsidRDefault="00B23D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B8D3F" w14:textId="77777777" w:rsidR="00B23D11" w:rsidRDefault="00B23D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6663F" w14:textId="77777777" w:rsidR="00B23D11" w:rsidRDefault="00B23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54E6E" w14:textId="77777777" w:rsidR="00A84837" w:rsidRDefault="00A84837" w:rsidP="00733019">
      <w:r>
        <w:separator/>
      </w:r>
    </w:p>
  </w:footnote>
  <w:footnote w:type="continuationSeparator" w:id="0">
    <w:p w14:paraId="63E9A704" w14:textId="77777777" w:rsidR="00A84837" w:rsidRDefault="00A84837" w:rsidP="00733019">
      <w:r>
        <w:continuationSeparator/>
      </w:r>
    </w:p>
  </w:footnote>
  <w:footnote w:type="continuationNotice" w:id="1">
    <w:p w14:paraId="7E695FC3" w14:textId="77777777" w:rsidR="00A84837" w:rsidRDefault="00A848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E4B5" w14:textId="77777777" w:rsidR="00B23D11" w:rsidRDefault="00B23D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9FF44" w14:textId="77777777" w:rsidR="00B23D11" w:rsidRDefault="00B23D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37E0" w14:textId="77777777" w:rsidR="00B23D11" w:rsidRDefault="00B23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4A9"/>
    <w:multiLevelType w:val="hybridMultilevel"/>
    <w:tmpl w:val="6234F15A"/>
    <w:lvl w:ilvl="0" w:tplc="DCDA38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2ACA"/>
    <w:multiLevelType w:val="hybridMultilevel"/>
    <w:tmpl w:val="6B0E57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C7060E"/>
    <w:multiLevelType w:val="hybridMultilevel"/>
    <w:tmpl w:val="F1FC0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66FCC"/>
    <w:multiLevelType w:val="hybridMultilevel"/>
    <w:tmpl w:val="49BAE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40A1254C"/>
    <w:multiLevelType w:val="hybridMultilevel"/>
    <w:tmpl w:val="09D45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2E0928"/>
    <w:multiLevelType w:val="hybridMultilevel"/>
    <w:tmpl w:val="F6BE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6C42D9"/>
    <w:multiLevelType w:val="hybridMultilevel"/>
    <w:tmpl w:val="8006C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9">
    <w:nsid w:val="6D75632D"/>
    <w:multiLevelType w:val="hybridMultilevel"/>
    <w:tmpl w:val="CB32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D3F88"/>
    <w:multiLevelType w:val="hybridMultilevel"/>
    <w:tmpl w:val="116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55BE"/>
    <w:rsid w:val="00006BCF"/>
    <w:rsid w:val="0001146A"/>
    <w:rsid w:val="00020BCB"/>
    <w:rsid w:val="0002500C"/>
    <w:rsid w:val="000311FC"/>
    <w:rsid w:val="0003167F"/>
    <w:rsid w:val="00040127"/>
    <w:rsid w:val="00042D98"/>
    <w:rsid w:val="000452F4"/>
    <w:rsid w:val="00055B66"/>
    <w:rsid w:val="00071A8D"/>
    <w:rsid w:val="00073473"/>
    <w:rsid w:val="000758EC"/>
    <w:rsid w:val="00081232"/>
    <w:rsid w:val="000823E2"/>
    <w:rsid w:val="00083CB1"/>
    <w:rsid w:val="00091E65"/>
    <w:rsid w:val="00096D4A"/>
    <w:rsid w:val="000A0818"/>
    <w:rsid w:val="000A0A2E"/>
    <w:rsid w:val="000A38EA"/>
    <w:rsid w:val="000C1E47"/>
    <w:rsid w:val="000C23A2"/>
    <w:rsid w:val="000C26F3"/>
    <w:rsid w:val="000D1EF3"/>
    <w:rsid w:val="000D583A"/>
    <w:rsid w:val="000D5FF0"/>
    <w:rsid w:val="000D6580"/>
    <w:rsid w:val="000E049E"/>
    <w:rsid w:val="000E527B"/>
    <w:rsid w:val="0010799B"/>
    <w:rsid w:val="00117DB2"/>
    <w:rsid w:val="001230F2"/>
    <w:rsid w:val="00123ED2"/>
    <w:rsid w:val="001259C8"/>
    <w:rsid w:val="00125BE0"/>
    <w:rsid w:val="00142C13"/>
    <w:rsid w:val="00142D15"/>
    <w:rsid w:val="00144204"/>
    <w:rsid w:val="00146E6F"/>
    <w:rsid w:val="0015254B"/>
    <w:rsid w:val="00152776"/>
    <w:rsid w:val="00152B1D"/>
    <w:rsid w:val="00153222"/>
    <w:rsid w:val="00155DDD"/>
    <w:rsid w:val="001577D3"/>
    <w:rsid w:val="00170247"/>
    <w:rsid w:val="00172462"/>
    <w:rsid w:val="001733A6"/>
    <w:rsid w:val="0017440D"/>
    <w:rsid w:val="001865A9"/>
    <w:rsid w:val="00187DB2"/>
    <w:rsid w:val="001A46B4"/>
    <w:rsid w:val="001B20BB"/>
    <w:rsid w:val="001B69B9"/>
    <w:rsid w:val="001B7DC5"/>
    <w:rsid w:val="001C15B1"/>
    <w:rsid w:val="001C435D"/>
    <w:rsid w:val="001C4370"/>
    <w:rsid w:val="001D02B7"/>
    <w:rsid w:val="001D29CE"/>
    <w:rsid w:val="001D3779"/>
    <w:rsid w:val="001E0C54"/>
    <w:rsid w:val="001E0F3F"/>
    <w:rsid w:val="001E50A2"/>
    <w:rsid w:val="001F0469"/>
    <w:rsid w:val="00203A98"/>
    <w:rsid w:val="00206EDD"/>
    <w:rsid w:val="0021247E"/>
    <w:rsid w:val="002146F6"/>
    <w:rsid w:val="0021734D"/>
    <w:rsid w:val="00222E4E"/>
    <w:rsid w:val="00227006"/>
    <w:rsid w:val="00231C32"/>
    <w:rsid w:val="0023640C"/>
    <w:rsid w:val="00240345"/>
    <w:rsid w:val="002421F0"/>
    <w:rsid w:val="00247274"/>
    <w:rsid w:val="002474DC"/>
    <w:rsid w:val="00266966"/>
    <w:rsid w:val="002675DF"/>
    <w:rsid w:val="00277CD5"/>
    <w:rsid w:val="0029008E"/>
    <w:rsid w:val="00292D2F"/>
    <w:rsid w:val="0029309A"/>
    <w:rsid w:val="00294C0C"/>
    <w:rsid w:val="00296231"/>
    <w:rsid w:val="002A0934"/>
    <w:rsid w:val="002A3075"/>
    <w:rsid w:val="002B1013"/>
    <w:rsid w:val="002B1FAA"/>
    <w:rsid w:val="002C4423"/>
    <w:rsid w:val="002D03E5"/>
    <w:rsid w:val="002D574D"/>
    <w:rsid w:val="002E1FA6"/>
    <w:rsid w:val="002E3F1D"/>
    <w:rsid w:val="002E4182"/>
    <w:rsid w:val="002F0A1A"/>
    <w:rsid w:val="002F31D0"/>
    <w:rsid w:val="00300359"/>
    <w:rsid w:val="00315495"/>
    <w:rsid w:val="0031773E"/>
    <w:rsid w:val="00322A1C"/>
    <w:rsid w:val="00322EB1"/>
    <w:rsid w:val="00325867"/>
    <w:rsid w:val="00330741"/>
    <w:rsid w:val="003311BE"/>
    <w:rsid w:val="00331E58"/>
    <w:rsid w:val="003410A7"/>
    <w:rsid w:val="003424CE"/>
    <w:rsid w:val="00345D49"/>
    <w:rsid w:val="00345E75"/>
    <w:rsid w:val="00347716"/>
    <w:rsid w:val="003506E1"/>
    <w:rsid w:val="0035472E"/>
    <w:rsid w:val="00356FDC"/>
    <w:rsid w:val="0036743C"/>
    <w:rsid w:val="00370120"/>
    <w:rsid w:val="0037074F"/>
    <w:rsid w:val="003727E3"/>
    <w:rsid w:val="00375D9A"/>
    <w:rsid w:val="00377445"/>
    <w:rsid w:val="00385A93"/>
    <w:rsid w:val="00390642"/>
    <w:rsid w:val="0039101B"/>
    <w:rsid w:val="003910F1"/>
    <w:rsid w:val="003A1DB1"/>
    <w:rsid w:val="003D2736"/>
    <w:rsid w:val="003D5DE3"/>
    <w:rsid w:val="003E1BDB"/>
    <w:rsid w:val="003E42FC"/>
    <w:rsid w:val="003E5991"/>
    <w:rsid w:val="003F344A"/>
    <w:rsid w:val="003F4391"/>
    <w:rsid w:val="003F6BBB"/>
    <w:rsid w:val="00403FF0"/>
    <w:rsid w:val="0042046D"/>
    <w:rsid w:val="004247C9"/>
    <w:rsid w:val="00424801"/>
    <w:rsid w:val="004256B4"/>
    <w:rsid w:val="00425AEF"/>
    <w:rsid w:val="00426518"/>
    <w:rsid w:val="00427B06"/>
    <w:rsid w:val="00427D89"/>
    <w:rsid w:val="00431640"/>
    <w:rsid w:val="004356AD"/>
    <w:rsid w:val="00436192"/>
    <w:rsid w:val="00441F59"/>
    <w:rsid w:val="00443D9F"/>
    <w:rsid w:val="00444E07"/>
    <w:rsid w:val="00444FA9"/>
    <w:rsid w:val="004616E3"/>
    <w:rsid w:val="00464876"/>
    <w:rsid w:val="0046549E"/>
    <w:rsid w:val="00473E9C"/>
    <w:rsid w:val="004775EC"/>
    <w:rsid w:val="00480099"/>
    <w:rsid w:val="004920CA"/>
    <w:rsid w:val="00497858"/>
    <w:rsid w:val="004A0643"/>
    <w:rsid w:val="004A08A9"/>
    <w:rsid w:val="004A369A"/>
    <w:rsid w:val="004B3AB6"/>
    <w:rsid w:val="004B4FEA"/>
    <w:rsid w:val="004C0ADA"/>
    <w:rsid w:val="004C433E"/>
    <w:rsid w:val="004C4512"/>
    <w:rsid w:val="004C4F36"/>
    <w:rsid w:val="004D3D85"/>
    <w:rsid w:val="004E0518"/>
    <w:rsid w:val="004E2BD8"/>
    <w:rsid w:val="004E4B0E"/>
    <w:rsid w:val="004F0F1F"/>
    <w:rsid w:val="00500FAF"/>
    <w:rsid w:val="00501C9A"/>
    <w:rsid w:val="005022AA"/>
    <w:rsid w:val="00504006"/>
    <w:rsid w:val="00504845"/>
    <w:rsid w:val="0050757F"/>
    <w:rsid w:val="00516AD2"/>
    <w:rsid w:val="00524F4C"/>
    <w:rsid w:val="00532261"/>
    <w:rsid w:val="00545563"/>
    <w:rsid w:val="00545DAE"/>
    <w:rsid w:val="00550AF5"/>
    <w:rsid w:val="00551000"/>
    <w:rsid w:val="00551D41"/>
    <w:rsid w:val="00570197"/>
    <w:rsid w:val="00570459"/>
    <w:rsid w:val="00571B83"/>
    <w:rsid w:val="00575A00"/>
    <w:rsid w:val="00576625"/>
    <w:rsid w:val="0058001C"/>
    <w:rsid w:val="0058673C"/>
    <w:rsid w:val="005963C3"/>
    <w:rsid w:val="005A50F7"/>
    <w:rsid w:val="005A7972"/>
    <w:rsid w:val="005B17E7"/>
    <w:rsid w:val="005B2643"/>
    <w:rsid w:val="005B4624"/>
    <w:rsid w:val="005C213E"/>
    <w:rsid w:val="005C5DCA"/>
    <w:rsid w:val="005D0719"/>
    <w:rsid w:val="005D17FD"/>
    <w:rsid w:val="005D2E51"/>
    <w:rsid w:val="005E18F9"/>
    <w:rsid w:val="005E3B2B"/>
    <w:rsid w:val="005E46A2"/>
    <w:rsid w:val="005F0D55"/>
    <w:rsid w:val="005F183E"/>
    <w:rsid w:val="005F1F79"/>
    <w:rsid w:val="005F7B57"/>
    <w:rsid w:val="00600DDA"/>
    <w:rsid w:val="00601E31"/>
    <w:rsid w:val="00604211"/>
    <w:rsid w:val="00613498"/>
    <w:rsid w:val="00616C24"/>
    <w:rsid w:val="00617B94"/>
    <w:rsid w:val="00620BED"/>
    <w:rsid w:val="00622324"/>
    <w:rsid w:val="00625A78"/>
    <w:rsid w:val="006415B4"/>
    <w:rsid w:val="00642086"/>
    <w:rsid w:val="00644E3D"/>
    <w:rsid w:val="00651B9E"/>
    <w:rsid w:val="00652019"/>
    <w:rsid w:val="006522A2"/>
    <w:rsid w:val="00657186"/>
    <w:rsid w:val="00657EC9"/>
    <w:rsid w:val="00665633"/>
    <w:rsid w:val="00674C86"/>
    <w:rsid w:val="0068015E"/>
    <w:rsid w:val="00680421"/>
    <w:rsid w:val="00683923"/>
    <w:rsid w:val="0068412D"/>
    <w:rsid w:val="00685085"/>
    <w:rsid w:val="006861AB"/>
    <w:rsid w:val="00686B89"/>
    <w:rsid w:val="0069420F"/>
    <w:rsid w:val="00695A32"/>
    <w:rsid w:val="006A2FC5"/>
    <w:rsid w:val="006A7D75"/>
    <w:rsid w:val="006B0A70"/>
    <w:rsid w:val="006B606A"/>
    <w:rsid w:val="006C33AF"/>
    <w:rsid w:val="006C62A0"/>
    <w:rsid w:val="006C72C7"/>
    <w:rsid w:val="006C7485"/>
    <w:rsid w:val="006D5D22"/>
    <w:rsid w:val="006E0324"/>
    <w:rsid w:val="006E39A9"/>
    <w:rsid w:val="006E4A76"/>
    <w:rsid w:val="006E7741"/>
    <w:rsid w:val="006F1DBD"/>
    <w:rsid w:val="00700556"/>
    <w:rsid w:val="00705179"/>
    <w:rsid w:val="007053F6"/>
    <w:rsid w:val="007167DD"/>
    <w:rsid w:val="00722ADE"/>
    <w:rsid w:val="0072478B"/>
    <w:rsid w:val="00730928"/>
    <w:rsid w:val="00733019"/>
    <w:rsid w:val="0073414D"/>
    <w:rsid w:val="00734567"/>
    <w:rsid w:val="00743635"/>
    <w:rsid w:val="007440BE"/>
    <w:rsid w:val="0075235E"/>
    <w:rsid w:val="007528A5"/>
    <w:rsid w:val="007732CC"/>
    <w:rsid w:val="00774079"/>
    <w:rsid w:val="0077752B"/>
    <w:rsid w:val="007817AC"/>
    <w:rsid w:val="0078643D"/>
    <w:rsid w:val="00790D22"/>
    <w:rsid w:val="00793D6F"/>
    <w:rsid w:val="00794090"/>
    <w:rsid w:val="007A0BE3"/>
    <w:rsid w:val="007A1445"/>
    <w:rsid w:val="007A44F8"/>
    <w:rsid w:val="007B078D"/>
    <w:rsid w:val="007B673B"/>
    <w:rsid w:val="007B70E2"/>
    <w:rsid w:val="007C6EF8"/>
    <w:rsid w:val="007D21BF"/>
    <w:rsid w:val="007D2A8F"/>
    <w:rsid w:val="007D71D0"/>
    <w:rsid w:val="007E1CDC"/>
    <w:rsid w:val="007E4CA7"/>
    <w:rsid w:val="007F0415"/>
    <w:rsid w:val="007F3C12"/>
    <w:rsid w:val="007F499C"/>
    <w:rsid w:val="007F5205"/>
    <w:rsid w:val="007F6B5F"/>
    <w:rsid w:val="00802889"/>
    <w:rsid w:val="008118CC"/>
    <w:rsid w:val="008215E7"/>
    <w:rsid w:val="00830E92"/>
    <w:rsid w:val="00830FC6"/>
    <w:rsid w:val="00831C4A"/>
    <w:rsid w:val="00831D45"/>
    <w:rsid w:val="00835B06"/>
    <w:rsid w:val="00840133"/>
    <w:rsid w:val="00850435"/>
    <w:rsid w:val="00852DC1"/>
    <w:rsid w:val="00865EAA"/>
    <w:rsid w:val="00866F06"/>
    <w:rsid w:val="00871E17"/>
    <w:rsid w:val="00871F68"/>
    <w:rsid w:val="008728F5"/>
    <w:rsid w:val="008824C2"/>
    <w:rsid w:val="00882BCF"/>
    <w:rsid w:val="008960E4"/>
    <w:rsid w:val="008A3940"/>
    <w:rsid w:val="008B13C9"/>
    <w:rsid w:val="008B533E"/>
    <w:rsid w:val="008C248C"/>
    <w:rsid w:val="008C5432"/>
    <w:rsid w:val="008C55BB"/>
    <w:rsid w:val="008C662B"/>
    <w:rsid w:val="008C7BF1"/>
    <w:rsid w:val="008D00D6"/>
    <w:rsid w:val="008D1337"/>
    <w:rsid w:val="008D3133"/>
    <w:rsid w:val="008D4D00"/>
    <w:rsid w:val="008D4E5E"/>
    <w:rsid w:val="008D6CBB"/>
    <w:rsid w:val="008D7ABD"/>
    <w:rsid w:val="008E19E3"/>
    <w:rsid w:val="008E1F7B"/>
    <w:rsid w:val="008E4855"/>
    <w:rsid w:val="008E55A2"/>
    <w:rsid w:val="008E7393"/>
    <w:rsid w:val="008F1609"/>
    <w:rsid w:val="008F334E"/>
    <w:rsid w:val="008F4D61"/>
    <w:rsid w:val="008F5B71"/>
    <w:rsid w:val="008F78D8"/>
    <w:rsid w:val="00911AA8"/>
    <w:rsid w:val="00913B23"/>
    <w:rsid w:val="0091477B"/>
    <w:rsid w:val="0091535F"/>
    <w:rsid w:val="0091538A"/>
    <w:rsid w:val="00920CEA"/>
    <w:rsid w:val="0093449D"/>
    <w:rsid w:val="009421E7"/>
    <w:rsid w:val="00942D0E"/>
    <w:rsid w:val="00961620"/>
    <w:rsid w:val="009652C4"/>
    <w:rsid w:val="009734B6"/>
    <w:rsid w:val="00977ABB"/>
    <w:rsid w:val="0098096F"/>
    <w:rsid w:val="00982B6A"/>
    <w:rsid w:val="009841B6"/>
    <w:rsid w:val="0098437A"/>
    <w:rsid w:val="00986C92"/>
    <w:rsid w:val="0099169C"/>
    <w:rsid w:val="00992CD8"/>
    <w:rsid w:val="00993C47"/>
    <w:rsid w:val="009B0CCA"/>
    <w:rsid w:val="009B0D24"/>
    <w:rsid w:val="009B4B16"/>
    <w:rsid w:val="009D462E"/>
    <w:rsid w:val="009D4F30"/>
    <w:rsid w:val="009E53CA"/>
    <w:rsid w:val="009E54A1"/>
    <w:rsid w:val="009F1233"/>
    <w:rsid w:val="009F1702"/>
    <w:rsid w:val="009F4E25"/>
    <w:rsid w:val="009F5B1F"/>
    <w:rsid w:val="00A03C96"/>
    <w:rsid w:val="00A1436D"/>
    <w:rsid w:val="00A23928"/>
    <w:rsid w:val="00A30636"/>
    <w:rsid w:val="00A30AE4"/>
    <w:rsid w:val="00A32632"/>
    <w:rsid w:val="00A3326D"/>
    <w:rsid w:val="00A3341A"/>
    <w:rsid w:val="00A35DFD"/>
    <w:rsid w:val="00A5022F"/>
    <w:rsid w:val="00A63057"/>
    <w:rsid w:val="00A63E1B"/>
    <w:rsid w:val="00A65789"/>
    <w:rsid w:val="00A701AA"/>
    <w:rsid w:val="00A702DF"/>
    <w:rsid w:val="00A719AA"/>
    <w:rsid w:val="00A775A3"/>
    <w:rsid w:val="00A81B5B"/>
    <w:rsid w:val="00A82512"/>
    <w:rsid w:val="00A82FAD"/>
    <w:rsid w:val="00A84837"/>
    <w:rsid w:val="00A9673A"/>
    <w:rsid w:val="00A96EF2"/>
    <w:rsid w:val="00AA24D2"/>
    <w:rsid w:val="00AA5C35"/>
    <w:rsid w:val="00AA5ED9"/>
    <w:rsid w:val="00AB6650"/>
    <w:rsid w:val="00AC0A38"/>
    <w:rsid w:val="00AC0F1C"/>
    <w:rsid w:val="00AC4E0E"/>
    <w:rsid w:val="00AC517B"/>
    <w:rsid w:val="00AD0D19"/>
    <w:rsid w:val="00AD1A69"/>
    <w:rsid w:val="00AE2E1B"/>
    <w:rsid w:val="00AE5DE4"/>
    <w:rsid w:val="00AF051B"/>
    <w:rsid w:val="00AF78FE"/>
    <w:rsid w:val="00B032B8"/>
    <w:rsid w:val="00B037A2"/>
    <w:rsid w:val="00B14B83"/>
    <w:rsid w:val="00B23D11"/>
    <w:rsid w:val="00B31870"/>
    <w:rsid w:val="00B320B8"/>
    <w:rsid w:val="00B35EE2"/>
    <w:rsid w:val="00B36DEF"/>
    <w:rsid w:val="00B420D4"/>
    <w:rsid w:val="00B45342"/>
    <w:rsid w:val="00B53750"/>
    <w:rsid w:val="00B57131"/>
    <w:rsid w:val="00B62F2C"/>
    <w:rsid w:val="00B67B45"/>
    <w:rsid w:val="00B727C9"/>
    <w:rsid w:val="00B735C8"/>
    <w:rsid w:val="00B743B0"/>
    <w:rsid w:val="00B748B8"/>
    <w:rsid w:val="00B76A63"/>
    <w:rsid w:val="00B8154A"/>
    <w:rsid w:val="00B824C6"/>
    <w:rsid w:val="00B86F03"/>
    <w:rsid w:val="00B928E8"/>
    <w:rsid w:val="00BA0B31"/>
    <w:rsid w:val="00BA6350"/>
    <w:rsid w:val="00BB4E29"/>
    <w:rsid w:val="00BB74C9"/>
    <w:rsid w:val="00BC3AB6"/>
    <w:rsid w:val="00BD19E8"/>
    <w:rsid w:val="00BD4273"/>
    <w:rsid w:val="00BE1292"/>
    <w:rsid w:val="00BE5416"/>
    <w:rsid w:val="00BE7979"/>
    <w:rsid w:val="00BF2875"/>
    <w:rsid w:val="00C0078C"/>
    <w:rsid w:val="00C049D8"/>
    <w:rsid w:val="00C100A0"/>
    <w:rsid w:val="00C1050C"/>
    <w:rsid w:val="00C37E46"/>
    <w:rsid w:val="00C432E4"/>
    <w:rsid w:val="00C445C4"/>
    <w:rsid w:val="00C56EA4"/>
    <w:rsid w:val="00C70C26"/>
    <w:rsid w:val="00C72001"/>
    <w:rsid w:val="00C7432B"/>
    <w:rsid w:val="00C770CF"/>
    <w:rsid w:val="00C772B7"/>
    <w:rsid w:val="00C80347"/>
    <w:rsid w:val="00C804C6"/>
    <w:rsid w:val="00C81255"/>
    <w:rsid w:val="00C81D88"/>
    <w:rsid w:val="00C862DE"/>
    <w:rsid w:val="00C9163C"/>
    <w:rsid w:val="00CB316A"/>
    <w:rsid w:val="00CB7C1A"/>
    <w:rsid w:val="00CC5E08"/>
    <w:rsid w:val="00CD69EF"/>
    <w:rsid w:val="00CF1802"/>
    <w:rsid w:val="00CF6860"/>
    <w:rsid w:val="00CF795D"/>
    <w:rsid w:val="00D02AC6"/>
    <w:rsid w:val="00D03F0C"/>
    <w:rsid w:val="00D04312"/>
    <w:rsid w:val="00D16A7F"/>
    <w:rsid w:val="00D16AD2"/>
    <w:rsid w:val="00D22596"/>
    <w:rsid w:val="00D22691"/>
    <w:rsid w:val="00D22F17"/>
    <w:rsid w:val="00D24C3D"/>
    <w:rsid w:val="00D32171"/>
    <w:rsid w:val="00D32C47"/>
    <w:rsid w:val="00D46CB1"/>
    <w:rsid w:val="00D54E4A"/>
    <w:rsid w:val="00D57984"/>
    <w:rsid w:val="00D723F0"/>
    <w:rsid w:val="00D8133F"/>
    <w:rsid w:val="00D87799"/>
    <w:rsid w:val="00D93600"/>
    <w:rsid w:val="00D93AB5"/>
    <w:rsid w:val="00D94650"/>
    <w:rsid w:val="00D95B05"/>
    <w:rsid w:val="00D97E2D"/>
    <w:rsid w:val="00DA06F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3DD3"/>
    <w:rsid w:val="00DE27AB"/>
    <w:rsid w:val="00DE4FB8"/>
    <w:rsid w:val="00E05C3B"/>
    <w:rsid w:val="00E349AA"/>
    <w:rsid w:val="00E41390"/>
    <w:rsid w:val="00E41CA0"/>
    <w:rsid w:val="00E4366B"/>
    <w:rsid w:val="00E50A4A"/>
    <w:rsid w:val="00E56ABD"/>
    <w:rsid w:val="00E606DE"/>
    <w:rsid w:val="00E644FE"/>
    <w:rsid w:val="00E712FF"/>
    <w:rsid w:val="00E72733"/>
    <w:rsid w:val="00E735A5"/>
    <w:rsid w:val="00E742FA"/>
    <w:rsid w:val="00E75BE4"/>
    <w:rsid w:val="00E76816"/>
    <w:rsid w:val="00E83BB1"/>
    <w:rsid w:val="00E83DBF"/>
    <w:rsid w:val="00E87C13"/>
    <w:rsid w:val="00E91DF7"/>
    <w:rsid w:val="00E94CD9"/>
    <w:rsid w:val="00E95D06"/>
    <w:rsid w:val="00EA0BFF"/>
    <w:rsid w:val="00EA1A76"/>
    <w:rsid w:val="00EA290B"/>
    <w:rsid w:val="00EB7ED5"/>
    <w:rsid w:val="00EC61FD"/>
    <w:rsid w:val="00EE0E90"/>
    <w:rsid w:val="00EE47B8"/>
    <w:rsid w:val="00EF3BCA"/>
    <w:rsid w:val="00F01B0D"/>
    <w:rsid w:val="00F04A42"/>
    <w:rsid w:val="00F1238F"/>
    <w:rsid w:val="00F16485"/>
    <w:rsid w:val="00F228ED"/>
    <w:rsid w:val="00F26E31"/>
    <w:rsid w:val="00F27C6C"/>
    <w:rsid w:val="00F34A8D"/>
    <w:rsid w:val="00F5023B"/>
    <w:rsid w:val="00F50D25"/>
    <w:rsid w:val="00F5160B"/>
    <w:rsid w:val="00F5348A"/>
    <w:rsid w:val="00F535D8"/>
    <w:rsid w:val="00F61155"/>
    <w:rsid w:val="00F64BF2"/>
    <w:rsid w:val="00F66FE9"/>
    <w:rsid w:val="00F708E3"/>
    <w:rsid w:val="00F72A61"/>
    <w:rsid w:val="00F76561"/>
    <w:rsid w:val="00F828BD"/>
    <w:rsid w:val="00F84736"/>
    <w:rsid w:val="00F8697D"/>
    <w:rsid w:val="00FA274E"/>
    <w:rsid w:val="00FA55A8"/>
    <w:rsid w:val="00FB4A93"/>
    <w:rsid w:val="00FC6C29"/>
    <w:rsid w:val="00FD1837"/>
    <w:rsid w:val="00FD2274"/>
    <w:rsid w:val="00FD58E0"/>
    <w:rsid w:val="00FD623A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3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3082</Characters>
  <Application>Microsoft Office Word</Application>
  <DocSecurity>0</DocSecurity>
  <Lines>77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3643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2015-11-19T15:00:00Z</cp:lastPrinted>
  <dcterms:created xsi:type="dcterms:W3CDTF">2017-02-23T16:16:00Z</dcterms:created>
  <dcterms:modified xsi:type="dcterms:W3CDTF">2017-02-23T16:16:00Z</dcterms:modified>
  <cp:category> </cp:category>
  <cp:contentStatus> </cp:contentStatus>
</cp:coreProperties>
</file>