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87" w:rsidRPr="00467DE9" w:rsidRDefault="004F3687" w:rsidP="008A1F33">
      <w:pPr>
        <w:jc w:val="center"/>
        <w:rPr>
          <w:b/>
          <w:szCs w:val="22"/>
        </w:rPr>
      </w:pPr>
      <w:bookmarkStart w:id="0" w:name="_GoBack"/>
      <w:bookmarkEnd w:id="0"/>
      <w:r w:rsidRPr="00467DE9">
        <w:rPr>
          <w:b/>
          <w:szCs w:val="22"/>
        </w:rPr>
        <w:t>STATEMENT OF</w:t>
      </w:r>
    </w:p>
    <w:p w:rsidR="004F3687" w:rsidRPr="00467DE9" w:rsidRDefault="004F3687" w:rsidP="008A1F33">
      <w:pPr>
        <w:jc w:val="center"/>
        <w:rPr>
          <w:b/>
          <w:szCs w:val="22"/>
        </w:rPr>
      </w:pPr>
      <w:r w:rsidRPr="00467DE9">
        <w:rPr>
          <w:b/>
          <w:szCs w:val="22"/>
        </w:rPr>
        <w:t>COMMISSIONER MIGNON L. CLYBURN</w:t>
      </w:r>
    </w:p>
    <w:p w:rsidR="00C70AC2" w:rsidRPr="00467DE9" w:rsidRDefault="00C70AC2" w:rsidP="008A1F33">
      <w:pPr>
        <w:jc w:val="center"/>
        <w:rPr>
          <w:b/>
          <w:szCs w:val="22"/>
        </w:rPr>
      </w:pPr>
      <w:r w:rsidRPr="00467DE9">
        <w:rPr>
          <w:b/>
          <w:szCs w:val="22"/>
        </w:rPr>
        <w:t>APPROVING IN PART AND CONCURRING IN PART</w:t>
      </w:r>
    </w:p>
    <w:p w:rsidR="004F3687" w:rsidRPr="00467DE9" w:rsidRDefault="004F3687" w:rsidP="008A1F33">
      <w:pPr>
        <w:rPr>
          <w:szCs w:val="22"/>
        </w:rPr>
      </w:pPr>
    </w:p>
    <w:p w:rsidR="00467DE9" w:rsidRPr="00467DE9" w:rsidRDefault="00467DE9" w:rsidP="00467DE9">
      <w:pPr>
        <w:autoSpaceDE w:val="0"/>
        <w:autoSpaceDN w:val="0"/>
        <w:adjustRightInd w:val="0"/>
        <w:ind w:left="720" w:hanging="720"/>
        <w:rPr>
          <w:szCs w:val="22"/>
        </w:rPr>
      </w:pPr>
      <w:r w:rsidRPr="00467DE9">
        <w:rPr>
          <w:szCs w:val="22"/>
        </w:rPr>
        <w:t>Re:</w:t>
      </w:r>
      <w:r w:rsidRPr="00467DE9">
        <w:rPr>
          <w:szCs w:val="22"/>
        </w:rPr>
        <w:tab/>
      </w:r>
      <w:r w:rsidRPr="00467DE9">
        <w:rPr>
          <w:i/>
          <w:color w:val="000000" w:themeColor="text1"/>
          <w:szCs w:val="22"/>
        </w:rPr>
        <w:t>Comprehensive Review of the Part 32 Uniform System of Accounts, WC Docket No. 14-130; Jurisdictional Separations and Referral to the Federal-State Joint Board, CC Docket No. 80-286</w:t>
      </w:r>
      <w:r w:rsidRPr="00467DE9">
        <w:rPr>
          <w:szCs w:val="22"/>
        </w:rPr>
        <w:t>.</w:t>
      </w:r>
    </w:p>
    <w:p w:rsidR="00FB62C8" w:rsidRPr="00467DE9" w:rsidRDefault="00FB62C8" w:rsidP="008A1F33">
      <w:pPr>
        <w:rPr>
          <w:szCs w:val="22"/>
        </w:rPr>
      </w:pPr>
    </w:p>
    <w:p w:rsidR="005E542D" w:rsidRPr="00467DE9" w:rsidRDefault="00DC36D0" w:rsidP="00467DE9">
      <w:pPr>
        <w:spacing w:after="120"/>
        <w:ind w:firstLine="720"/>
        <w:rPr>
          <w:szCs w:val="22"/>
        </w:rPr>
      </w:pPr>
      <w:r w:rsidRPr="00467DE9">
        <w:rPr>
          <w:szCs w:val="22"/>
        </w:rPr>
        <w:t>Until today</w:t>
      </w:r>
      <w:r w:rsidR="00CB6803" w:rsidRPr="00467DE9">
        <w:rPr>
          <w:szCs w:val="22"/>
        </w:rPr>
        <w:t>,</w:t>
      </w:r>
      <w:r w:rsidRPr="00467DE9">
        <w:rPr>
          <w:szCs w:val="22"/>
        </w:rPr>
        <w:t xml:space="preserve"> </w:t>
      </w:r>
      <w:r w:rsidR="008C55A3" w:rsidRPr="00467DE9">
        <w:rPr>
          <w:szCs w:val="22"/>
        </w:rPr>
        <w:t xml:space="preserve">Section 220 of the Communications Act required all regulated </w:t>
      </w:r>
      <w:r w:rsidRPr="00467DE9">
        <w:rPr>
          <w:szCs w:val="22"/>
        </w:rPr>
        <w:t>t</w:t>
      </w:r>
      <w:r w:rsidR="0031460D" w:rsidRPr="00467DE9">
        <w:rPr>
          <w:szCs w:val="22"/>
        </w:rPr>
        <w:t xml:space="preserve">elephone companies </w:t>
      </w:r>
      <w:r w:rsidRPr="00467DE9">
        <w:rPr>
          <w:szCs w:val="22"/>
        </w:rPr>
        <w:t xml:space="preserve">to </w:t>
      </w:r>
      <w:r w:rsidR="0031460D" w:rsidRPr="00467DE9">
        <w:rPr>
          <w:szCs w:val="22"/>
        </w:rPr>
        <w:t xml:space="preserve">keep their </w:t>
      </w:r>
      <w:r w:rsidR="008C55A3" w:rsidRPr="00467DE9">
        <w:rPr>
          <w:szCs w:val="22"/>
        </w:rPr>
        <w:t xml:space="preserve">accounting </w:t>
      </w:r>
      <w:r w:rsidR="0031460D" w:rsidRPr="00467DE9">
        <w:rPr>
          <w:szCs w:val="22"/>
        </w:rPr>
        <w:t>books in a uniform</w:t>
      </w:r>
      <w:r w:rsidR="00C10CA1" w:rsidRPr="00467DE9">
        <w:rPr>
          <w:szCs w:val="22"/>
        </w:rPr>
        <w:t xml:space="preserve"> manner</w:t>
      </w:r>
      <w:r w:rsidR="0031460D" w:rsidRPr="00467DE9">
        <w:rPr>
          <w:szCs w:val="22"/>
        </w:rPr>
        <w:t xml:space="preserve">. </w:t>
      </w:r>
      <w:r w:rsidR="005F6CC8" w:rsidRPr="00467DE9">
        <w:rPr>
          <w:szCs w:val="22"/>
        </w:rPr>
        <w:t xml:space="preserve">This </w:t>
      </w:r>
      <w:r w:rsidR="008C55A3" w:rsidRPr="00467DE9">
        <w:rPr>
          <w:szCs w:val="22"/>
        </w:rPr>
        <w:t xml:space="preserve">in and of itself </w:t>
      </w:r>
      <w:r w:rsidR="00BC5A4B" w:rsidRPr="00467DE9">
        <w:rPr>
          <w:szCs w:val="22"/>
        </w:rPr>
        <w:t xml:space="preserve">is </w:t>
      </w:r>
      <w:r w:rsidR="005F6CC8" w:rsidRPr="00467DE9">
        <w:rPr>
          <w:szCs w:val="22"/>
        </w:rPr>
        <w:t xml:space="preserve">not an unusual </w:t>
      </w:r>
      <w:r w:rsidR="008C55A3" w:rsidRPr="00467DE9">
        <w:rPr>
          <w:szCs w:val="22"/>
        </w:rPr>
        <w:t>condition</w:t>
      </w:r>
      <w:r w:rsidR="00F55BA3" w:rsidRPr="00467DE9">
        <w:rPr>
          <w:szCs w:val="22"/>
        </w:rPr>
        <w:t>,</w:t>
      </w:r>
      <w:r w:rsidR="00BC5A4B" w:rsidRPr="00467DE9">
        <w:rPr>
          <w:szCs w:val="22"/>
        </w:rPr>
        <w:t xml:space="preserve"> for there are m</w:t>
      </w:r>
      <w:r w:rsidR="00851A70" w:rsidRPr="00467DE9">
        <w:rPr>
          <w:szCs w:val="22"/>
        </w:rPr>
        <w:t>any other industries,</w:t>
      </w:r>
      <w:r w:rsidRPr="00467DE9">
        <w:rPr>
          <w:szCs w:val="22"/>
        </w:rPr>
        <w:t xml:space="preserve"> both regulated and unregulated </w:t>
      </w:r>
      <w:r w:rsidR="00BC5A4B" w:rsidRPr="00467DE9">
        <w:rPr>
          <w:szCs w:val="22"/>
        </w:rPr>
        <w:t>that</w:t>
      </w:r>
      <w:r w:rsidRPr="00467DE9">
        <w:rPr>
          <w:szCs w:val="22"/>
        </w:rPr>
        <w:t xml:space="preserve"> </w:t>
      </w:r>
      <w:r w:rsidR="007B7C44" w:rsidRPr="00467DE9">
        <w:rPr>
          <w:szCs w:val="22"/>
        </w:rPr>
        <w:t xml:space="preserve">use </w:t>
      </w:r>
      <w:r w:rsidR="008C55A3" w:rsidRPr="00467DE9">
        <w:rPr>
          <w:szCs w:val="22"/>
        </w:rPr>
        <w:t xml:space="preserve">this </w:t>
      </w:r>
      <w:r w:rsidR="00090E16" w:rsidRPr="00467DE9">
        <w:rPr>
          <w:szCs w:val="22"/>
        </w:rPr>
        <w:t xml:space="preserve">system of </w:t>
      </w:r>
      <w:r w:rsidR="008C55A3" w:rsidRPr="00467DE9">
        <w:rPr>
          <w:szCs w:val="22"/>
        </w:rPr>
        <w:t>uniformity</w:t>
      </w:r>
      <w:r w:rsidR="008A1F33" w:rsidRPr="00467DE9">
        <w:rPr>
          <w:szCs w:val="22"/>
        </w:rPr>
        <w:t>,</w:t>
      </w:r>
      <w:r w:rsidR="00851A70" w:rsidRPr="00467DE9">
        <w:rPr>
          <w:szCs w:val="22"/>
        </w:rPr>
        <w:t xml:space="preserve"> </w:t>
      </w:r>
      <w:r w:rsidR="00BC5A4B" w:rsidRPr="00467DE9">
        <w:rPr>
          <w:szCs w:val="22"/>
        </w:rPr>
        <w:t xml:space="preserve">to include </w:t>
      </w:r>
      <w:r w:rsidR="00F53C64" w:rsidRPr="00467DE9">
        <w:rPr>
          <w:szCs w:val="22"/>
        </w:rPr>
        <w:t xml:space="preserve">hotels, </w:t>
      </w:r>
      <w:r w:rsidR="00851A70" w:rsidRPr="00467DE9">
        <w:rPr>
          <w:szCs w:val="22"/>
        </w:rPr>
        <w:t>restaurants, marinas and boatyards</w:t>
      </w:r>
      <w:r w:rsidR="00CC0833" w:rsidRPr="00467DE9">
        <w:rPr>
          <w:szCs w:val="22"/>
        </w:rPr>
        <w:t>.</w:t>
      </w:r>
      <w:r w:rsidR="00F53C64" w:rsidRPr="00467DE9">
        <w:rPr>
          <w:szCs w:val="22"/>
        </w:rPr>
        <w:t xml:space="preserve"> </w:t>
      </w:r>
      <w:r w:rsidR="00851A70" w:rsidRPr="00467DE9">
        <w:rPr>
          <w:szCs w:val="22"/>
        </w:rPr>
        <w:t>Even the “destination marketing” industry (yes, that is a real term), has a uniform system of accounts</w:t>
      </w:r>
      <w:r w:rsidR="00E35558" w:rsidRPr="00467DE9">
        <w:rPr>
          <w:szCs w:val="22"/>
        </w:rPr>
        <w:t xml:space="preserve"> that diverges in certain respects from generally accepted accounting principles, or GAAP</w:t>
      </w:r>
      <w:r w:rsidR="00851A70" w:rsidRPr="00467DE9">
        <w:rPr>
          <w:szCs w:val="22"/>
        </w:rPr>
        <w:t xml:space="preserve">. So </w:t>
      </w:r>
      <w:r w:rsidR="007602FD" w:rsidRPr="00467DE9">
        <w:rPr>
          <w:szCs w:val="22"/>
        </w:rPr>
        <w:t>it is worth mentioning</w:t>
      </w:r>
      <w:r w:rsidR="00F55BA3" w:rsidRPr="00467DE9">
        <w:rPr>
          <w:szCs w:val="22"/>
        </w:rPr>
        <w:t>,</w:t>
      </w:r>
      <w:r w:rsidR="007602FD" w:rsidRPr="00467DE9">
        <w:rPr>
          <w:szCs w:val="22"/>
        </w:rPr>
        <w:t xml:space="preserve"> that</w:t>
      </w:r>
      <w:r w:rsidR="00851A70" w:rsidRPr="00467DE9">
        <w:rPr>
          <w:szCs w:val="22"/>
        </w:rPr>
        <w:t xml:space="preserve"> price cap telephone companies</w:t>
      </w:r>
      <w:r w:rsidR="00DD61AF" w:rsidRPr="00467DE9">
        <w:rPr>
          <w:szCs w:val="22"/>
        </w:rPr>
        <w:t xml:space="preserve"> asked</w:t>
      </w:r>
      <w:r w:rsidR="00851A70" w:rsidRPr="00467DE9">
        <w:rPr>
          <w:szCs w:val="22"/>
        </w:rPr>
        <w:t xml:space="preserve"> </w:t>
      </w:r>
      <w:r w:rsidR="005F6CC8" w:rsidRPr="00467DE9">
        <w:rPr>
          <w:szCs w:val="22"/>
        </w:rPr>
        <w:t xml:space="preserve">to be exempted from an accounting </w:t>
      </w:r>
      <w:r w:rsidR="00B64241" w:rsidRPr="00467DE9">
        <w:rPr>
          <w:szCs w:val="22"/>
        </w:rPr>
        <w:t>system</w:t>
      </w:r>
      <w:r w:rsidR="00851A70" w:rsidRPr="00467DE9">
        <w:rPr>
          <w:szCs w:val="22"/>
        </w:rPr>
        <w:t xml:space="preserve"> that </w:t>
      </w:r>
      <w:r w:rsidR="005F6CC8" w:rsidRPr="00467DE9">
        <w:rPr>
          <w:szCs w:val="22"/>
        </w:rPr>
        <w:t>many</w:t>
      </w:r>
      <w:r w:rsidR="00851A70" w:rsidRPr="00467DE9">
        <w:rPr>
          <w:szCs w:val="22"/>
        </w:rPr>
        <w:t xml:space="preserve"> other industries </w:t>
      </w:r>
      <w:r w:rsidR="00FF5DD2" w:rsidRPr="00467DE9">
        <w:rPr>
          <w:szCs w:val="22"/>
        </w:rPr>
        <w:t xml:space="preserve">readily </w:t>
      </w:r>
      <w:r w:rsidR="00DD61AF" w:rsidRPr="00467DE9">
        <w:rPr>
          <w:szCs w:val="22"/>
        </w:rPr>
        <w:t>employ to ensure uniformity</w:t>
      </w:r>
      <w:r w:rsidR="005E542D" w:rsidRPr="00467DE9">
        <w:rPr>
          <w:szCs w:val="22"/>
        </w:rPr>
        <w:t>.</w:t>
      </w:r>
    </w:p>
    <w:p w:rsidR="00A16775" w:rsidRPr="00467DE9" w:rsidRDefault="00BC5A4B" w:rsidP="00467DE9">
      <w:pPr>
        <w:spacing w:after="120"/>
        <w:ind w:firstLine="720"/>
        <w:rPr>
          <w:szCs w:val="22"/>
        </w:rPr>
      </w:pPr>
      <w:r w:rsidRPr="00467DE9">
        <w:rPr>
          <w:szCs w:val="22"/>
        </w:rPr>
        <w:t xml:space="preserve">But we </w:t>
      </w:r>
      <w:r w:rsidR="00A16775" w:rsidRPr="00467DE9">
        <w:rPr>
          <w:szCs w:val="22"/>
        </w:rPr>
        <w:t xml:space="preserve">have </w:t>
      </w:r>
      <w:r w:rsidRPr="00467DE9">
        <w:rPr>
          <w:szCs w:val="22"/>
        </w:rPr>
        <w:t xml:space="preserve">met at this juncture </w:t>
      </w:r>
      <w:r w:rsidR="00A16775" w:rsidRPr="00467DE9">
        <w:rPr>
          <w:szCs w:val="22"/>
        </w:rPr>
        <w:t>before. When first faced with whether to forbear from requiring this data in 2013, I agreed that forbearance was unwarranted</w:t>
      </w:r>
      <w:r w:rsidR="00DD61AF" w:rsidRPr="00467DE9">
        <w:rPr>
          <w:szCs w:val="22"/>
        </w:rPr>
        <w:t>,</w:t>
      </w:r>
      <w:r w:rsidRPr="00467DE9">
        <w:rPr>
          <w:szCs w:val="22"/>
        </w:rPr>
        <w:t xml:space="preserve"> and it is also worth mentioning that t</w:t>
      </w:r>
      <w:r w:rsidR="00A16775" w:rsidRPr="00467DE9">
        <w:rPr>
          <w:szCs w:val="22"/>
        </w:rPr>
        <w:t>he Commission’s view was upheld by the court. The mere existence of data can act as an insurance policy against bad behavior. Today, we are cancelling that policy.</w:t>
      </w:r>
    </w:p>
    <w:p w:rsidR="00A16775" w:rsidRPr="00467DE9" w:rsidRDefault="00A16775" w:rsidP="00467DE9">
      <w:pPr>
        <w:spacing w:after="120"/>
        <w:ind w:firstLine="720"/>
        <w:rPr>
          <w:szCs w:val="22"/>
        </w:rPr>
      </w:pPr>
      <w:r w:rsidRPr="00467DE9">
        <w:rPr>
          <w:szCs w:val="22"/>
        </w:rPr>
        <w:t>I am concerned that we are acting too soon. While the majority cites our reforms of intercarrier compensation</w:t>
      </w:r>
      <w:r w:rsidR="00F55BA3" w:rsidRPr="00467DE9">
        <w:rPr>
          <w:szCs w:val="22"/>
        </w:rPr>
        <w:t>,</w:t>
      </w:r>
      <w:r w:rsidRPr="00467DE9">
        <w:rPr>
          <w:szCs w:val="22"/>
        </w:rPr>
        <w:t xml:space="preserve"> as justification for no longer needing uniform bookkeeping, we are still years away from bill-and-keep for terminating access charges. And </w:t>
      </w:r>
      <w:r w:rsidR="00BC5A4B" w:rsidRPr="00467DE9">
        <w:rPr>
          <w:szCs w:val="22"/>
        </w:rPr>
        <w:t>might I note,</w:t>
      </w:r>
      <w:r w:rsidRPr="00467DE9">
        <w:rPr>
          <w:szCs w:val="22"/>
        </w:rPr>
        <w:t xml:space="preserve"> that the Commission has yet to reform originating access charges. </w:t>
      </w:r>
    </w:p>
    <w:p w:rsidR="001D1D3A" w:rsidRPr="00467DE9" w:rsidRDefault="00A16775" w:rsidP="00467DE9">
      <w:pPr>
        <w:spacing w:after="120"/>
        <w:ind w:firstLine="720"/>
        <w:rPr>
          <w:szCs w:val="22"/>
        </w:rPr>
      </w:pPr>
      <w:r w:rsidRPr="00467DE9">
        <w:rPr>
          <w:szCs w:val="22"/>
        </w:rPr>
        <w:t xml:space="preserve">I </w:t>
      </w:r>
      <w:r w:rsidR="00DD61AF" w:rsidRPr="00467DE9">
        <w:rPr>
          <w:szCs w:val="22"/>
        </w:rPr>
        <w:t xml:space="preserve">also </w:t>
      </w:r>
      <w:r w:rsidRPr="00467DE9">
        <w:rPr>
          <w:szCs w:val="22"/>
        </w:rPr>
        <w:t xml:space="preserve">fear that our action will be cited to our state counterparts as </w:t>
      </w:r>
      <w:r w:rsidR="00BC5A4B" w:rsidRPr="00467DE9">
        <w:rPr>
          <w:szCs w:val="22"/>
        </w:rPr>
        <w:t xml:space="preserve">the main </w:t>
      </w:r>
      <w:r w:rsidRPr="00467DE9">
        <w:rPr>
          <w:szCs w:val="22"/>
        </w:rPr>
        <w:t>reason why they will no longer need a uniform system of accounts in their state regulatory structure. Just as we have seen state legislatures deregulate in the face of promises</w:t>
      </w:r>
      <w:r w:rsidR="00F55BA3" w:rsidRPr="00467DE9">
        <w:rPr>
          <w:szCs w:val="22"/>
        </w:rPr>
        <w:t>,</w:t>
      </w:r>
      <w:r w:rsidRPr="00467DE9">
        <w:rPr>
          <w:szCs w:val="22"/>
        </w:rPr>
        <w:t xml:space="preserve"> that federal rules will protect consumers, federal deregulation has</w:t>
      </w:r>
      <w:r w:rsidR="00C54630" w:rsidRPr="00467DE9">
        <w:rPr>
          <w:szCs w:val="22"/>
        </w:rPr>
        <w:t xml:space="preserve"> also</w:t>
      </w:r>
      <w:r w:rsidRPr="00467DE9">
        <w:rPr>
          <w:szCs w:val="22"/>
        </w:rPr>
        <w:t xml:space="preserve"> been used to leverage state deregulation. This is especially problematic here, whe</w:t>
      </w:r>
      <w:r w:rsidR="000B5F26" w:rsidRPr="00467DE9">
        <w:rPr>
          <w:szCs w:val="22"/>
        </w:rPr>
        <w:t>re</w:t>
      </w:r>
      <w:r w:rsidRPr="00467DE9">
        <w:rPr>
          <w:szCs w:val="22"/>
        </w:rPr>
        <w:t xml:space="preserve"> the lack of a federal need, does not equate to a lack of state need for such regulation. In fact, quite the opposite is true.  </w:t>
      </w:r>
    </w:p>
    <w:p w:rsidR="0020259F" w:rsidRPr="00467DE9" w:rsidRDefault="00C54630" w:rsidP="00467DE9">
      <w:pPr>
        <w:spacing w:after="120"/>
        <w:ind w:firstLine="720"/>
        <w:rPr>
          <w:szCs w:val="22"/>
        </w:rPr>
      </w:pPr>
      <w:r w:rsidRPr="00467DE9">
        <w:rPr>
          <w:szCs w:val="22"/>
        </w:rPr>
        <w:t xml:space="preserve">Let me </w:t>
      </w:r>
      <w:r w:rsidR="004D13EA" w:rsidRPr="00467DE9">
        <w:rPr>
          <w:szCs w:val="22"/>
        </w:rPr>
        <w:t xml:space="preserve">be clear, I believe that it is high time </w:t>
      </w:r>
      <w:r w:rsidR="0020259F" w:rsidRPr="00467DE9">
        <w:rPr>
          <w:szCs w:val="22"/>
        </w:rPr>
        <w:t>we reform Part 32</w:t>
      </w:r>
      <w:r w:rsidR="00211B01" w:rsidRPr="00467DE9">
        <w:rPr>
          <w:szCs w:val="22"/>
        </w:rPr>
        <w:t xml:space="preserve"> of our rules</w:t>
      </w:r>
      <w:r w:rsidR="005A6056" w:rsidRPr="00467DE9">
        <w:rPr>
          <w:szCs w:val="22"/>
        </w:rPr>
        <w:t xml:space="preserve">: </w:t>
      </w:r>
      <w:r w:rsidR="00090E16" w:rsidRPr="00467DE9">
        <w:rPr>
          <w:szCs w:val="22"/>
        </w:rPr>
        <w:t>the</w:t>
      </w:r>
      <w:r w:rsidR="005A6056" w:rsidRPr="00467DE9">
        <w:rPr>
          <w:szCs w:val="22"/>
        </w:rPr>
        <w:t xml:space="preserve"> section dealing with uniform accounting</w:t>
      </w:r>
      <w:r w:rsidR="0020259F" w:rsidRPr="00467DE9">
        <w:rPr>
          <w:szCs w:val="22"/>
        </w:rPr>
        <w:t>. Streamlining the number of accounts, allowing carriers to reprice assets at market value after a transaction, and incorporating the concept of materiality into accounting practices for example, are good ideas that I am glad we are implementing.</w:t>
      </w:r>
    </w:p>
    <w:p w:rsidR="0096595C" w:rsidRPr="00467DE9" w:rsidRDefault="00A16775" w:rsidP="00467DE9">
      <w:pPr>
        <w:spacing w:after="120"/>
        <w:ind w:firstLine="720"/>
        <w:rPr>
          <w:szCs w:val="22"/>
        </w:rPr>
      </w:pPr>
      <w:r w:rsidRPr="00467DE9">
        <w:rPr>
          <w:szCs w:val="22"/>
        </w:rPr>
        <w:t>And s</w:t>
      </w:r>
      <w:r w:rsidR="00AA458D" w:rsidRPr="00467DE9">
        <w:rPr>
          <w:szCs w:val="22"/>
        </w:rPr>
        <w:t xml:space="preserve">ince </w:t>
      </w:r>
      <w:r w:rsidR="00BA442A" w:rsidRPr="00467DE9">
        <w:rPr>
          <w:szCs w:val="22"/>
        </w:rPr>
        <w:t xml:space="preserve">accounting for </w:t>
      </w:r>
      <w:r w:rsidR="00AA458D" w:rsidRPr="00467DE9">
        <w:rPr>
          <w:szCs w:val="22"/>
        </w:rPr>
        <w:t>costs related to pole attachmen</w:t>
      </w:r>
      <w:r w:rsidR="00BA442A" w:rsidRPr="00467DE9">
        <w:rPr>
          <w:szCs w:val="22"/>
        </w:rPr>
        <w:t>ts are still critically relevant</w:t>
      </w:r>
      <w:r w:rsidR="00882AAC" w:rsidRPr="00467DE9">
        <w:rPr>
          <w:szCs w:val="22"/>
        </w:rPr>
        <w:t>,</w:t>
      </w:r>
      <w:r w:rsidR="00BA442A" w:rsidRPr="00467DE9">
        <w:rPr>
          <w:szCs w:val="22"/>
        </w:rPr>
        <w:t xml:space="preserve"> regardless of accounting method</w:t>
      </w:r>
      <w:r w:rsidR="00AA458D" w:rsidRPr="00467DE9">
        <w:rPr>
          <w:szCs w:val="22"/>
        </w:rPr>
        <w:t>, I am pleased that we act to make sure</w:t>
      </w:r>
      <w:r w:rsidR="00F55BA3" w:rsidRPr="00467DE9">
        <w:rPr>
          <w:szCs w:val="22"/>
        </w:rPr>
        <w:t>,</w:t>
      </w:r>
      <w:r w:rsidR="00AA458D" w:rsidRPr="00467DE9">
        <w:rPr>
          <w:szCs w:val="22"/>
        </w:rPr>
        <w:t xml:space="preserve"> that data regardin</w:t>
      </w:r>
      <w:r w:rsidR="00BA442A" w:rsidRPr="00467DE9">
        <w:rPr>
          <w:szCs w:val="22"/>
        </w:rPr>
        <w:t>g pole costs remain transparent</w:t>
      </w:r>
      <w:r w:rsidR="004D13EA" w:rsidRPr="00467DE9">
        <w:rPr>
          <w:szCs w:val="22"/>
        </w:rPr>
        <w:t xml:space="preserve"> and easily accessible for several years. </w:t>
      </w:r>
      <w:r w:rsidR="0020259F" w:rsidRPr="00467DE9">
        <w:rPr>
          <w:szCs w:val="22"/>
        </w:rPr>
        <w:t>I only wish we could have gone further to protect attachers from rate shock</w:t>
      </w:r>
      <w:r w:rsidR="00C54630" w:rsidRPr="00467DE9">
        <w:rPr>
          <w:szCs w:val="22"/>
        </w:rPr>
        <w:t>, as this</w:t>
      </w:r>
      <w:r w:rsidR="0020259F" w:rsidRPr="00467DE9">
        <w:rPr>
          <w:szCs w:val="22"/>
        </w:rPr>
        <w:t xml:space="preserve"> may happen as pole owners switch to GAAP accounting.</w:t>
      </w:r>
      <w:r w:rsidR="004D13EA" w:rsidRPr="00467DE9">
        <w:rPr>
          <w:szCs w:val="22"/>
        </w:rPr>
        <w:t xml:space="preserve"> </w:t>
      </w:r>
    </w:p>
    <w:p w:rsidR="00A16775" w:rsidRPr="00467DE9" w:rsidRDefault="00FF5DD2" w:rsidP="00467DE9">
      <w:pPr>
        <w:spacing w:after="120"/>
        <w:ind w:firstLine="720"/>
        <w:rPr>
          <w:szCs w:val="22"/>
        </w:rPr>
      </w:pPr>
      <w:r w:rsidRPr="00467DE9">
        <w:rPr>
          <w:szCs w:val="22"/>
        </w:rPr>
        <w:t>Yes, t</w:t>
      </w:r>
      <w:r w:rsidR="00A16775" w:rsidRPr="00467DE9">
        <w:rPr>
          <w:szCs w:val="22"/>
        </w:rPr>
        <w:t>oday’s action will provide bookkeeping flexibility to price cap carriers</w:t>
      </w:r>
      <w:r w:rsidR="00C54630" w:rsidRPr="00467DE9">
        <w:rPr>
          <w:szCs w:val="22"/>
        </w:rPr>
        <w:t xml:space="preserve">. However, </w:t>
      </w:r>
      <w:r w:rsidR="00A16775" w:rsidRPr="00467DE9">
        <w:rPr>
          <w:szCs w:val="22"/>
        </w:rPr>
        <w:t>the result of these changes will be less uniformity and certainty going forward</w:t>
      </w:r>
      <w:r w:rsidR="00F55BA3" w:rsidRPr="00467DE9">
        <w:rPr>
          <w:szCs w:val="22"/>
        </w:rPr>
        <w:t>,</w:t>
      </w:r>
      <w:r w:rsidR="00A16775" w:rsidRPr="00467DE9">
        <w:rPr>
          <w:szCs w:val="22"/>
        </w:rPr>
        <w:t xml:space="preserve"> which</w:t>
      </w:r>
      <w:r w:rsidR="00C54630" w:rsidRPr="00467DE9">
        <w:rPr>
          <w:szCs w:val="22"/>
        </w:rPr>
        <w:t xml:space="preserve"> in turn,</w:t>
      </w:r>
      <w:r w:rsidR="00A16775" w:rsidRPr="00467DE9">
        <w:rPr>
          <w:szCs w:val="22"/>
        </w:rPr>
        <w:t xml:space="preserve"> may mean comparing apples to oranges when we look at carrier costs. And because I am not wholly convinced that we are completely free of our need for this data in the future, I respectfully concur in part. </w:t>
      </w:r>
    </w:p>
    <w:p w:rsidR="005A6056" w:rsidRPr="00467DE9" w:rsidRDefault="004D3904" w:rsidP="00467DE9">
      <w:pPr>
        <w:spacing w:after="120"/>
        <w:ind w:firstLine="720"/>
        <w:rPr>
          <w:szCs w:val="22"/>
        </w:rPr>
      </w:pPr>
      <w:r w:rsidRPr="00467DE9">
        <w:rPr>
          <w:szCs w:val="22"/>
        </w:rPr>
        <w:t xml:space="preserve">So to </w:t>
      </w:r>
      <w:r w:rsidR="00B839FE" w:rsidRPr="00467DE9">
        <w:rPr>
          <w:szCs w:val="22"/>
        </w:rPr>
        <w:t>those</w:t>
      </w:r>
      <w:r w:rsidR="00C70AC2" w:rsidRPr="00467DE9">
        <w:rPr>
          <w:szCs w:val="22"/>
        </w:rPr>
        <w:t xml:space="preserve"> </w:t>
      </w:r>
      <w:r w:rsidR="0096595C" w:rsidRPr="00467DE9">
        <w:rPr>
          <w:szCs w:val="22"/>
        </w:rPr>
        <w:t xml:space="preserve">carriers who </w:t>
      </w:r>
      <w:r w:rsidR="00B839FE" w:rsidRPr="00467DE9">
        <w:rPr>
          <w:szCs w:val="22"/>
        </w:rPr>
        <w:t>advocate for</w:t>
      </w:r>
      <w:r w:rsidR="0096595C" w:rsidRPr="00467DE9">
        <w:rPr>
          <w:szCs w:val="22"/>
        </w:rPr>
        <w:t xml:space="preserve"> decreased regulatory burdens,</w:t>
      </w:r>
      <w:r w:rsidR="00B839FE" w:rsidRPr="00467DE9">
        <w:rPr>
          <w:szCs w:val="22"/>
        </w:rPr>
        <w:t xml:space="preserve"> let me assure you:</w:t>
      </w:r>
      <w:r w:rsidR="0096595C" w:rsidRPr="00467DE9">
        <w:rPr>
          <w:szCs w:val="22"/>
        </w:rPr>
        <w:t xml:space="preserve"> I am with you. </w:t>
      </w:r>
      <w:r w:rsidR="00C70AC2" w:rsidRPr="00467DE9">
        <w:rPr>
          <w:szCs w:val="22"/>
        </w:rPr>
        <w:t xml:space="preserve">However, </w:t>
      </w:r>
      <w:r w:rsidR="0096595C" w:rsidRPr="00467DE9">
        <w:rPr>
          <w:szCs w:val="22"/>
        </w:rPr>
        <w:t xml:space="preserve">the next time </w:t>
      </w:r>
      <w:r w:rsidR="00AB11BB" w:rsidRPr="00467DE9">
        <w:rPr>
          <w:szCs w:val="22"/>
        </w:rPr>
        <w:t xml:space="preserve">this Commission or </w:t>
      </w:r>
      <w:r w:rsidR="00C54630" w:rsidRPr="00467DE9">
        <w:rPr>
          <w:szCs w:val="22"/>
        </w:rPr>
        <w:t xml:space="preserve">a state </w:t>
      </w:r>
      <w:r w:rsidR="00AB11BB" w:rsidRPr="00467DE9">
        <w:rPr>
          <w:szCs w:val="22"/>
        </w:rPr>
        <w:t>c</w:t>
      </w:r>
      <w:r w:rsidR="00B839FE" w:rsidRPr="00467DE9">
        <w:rPr>
          <w:szCs w:val="22"/>
        </w:rPr>
        <w:t xml:space="preserve">ommission </w:t>
      </w:r>
      <w:r w:rsidR="0096595C" w:rsidRPr="00467DE9">
        <w:rPr>
          <w:szCs w:val="22"/>
        </w:rPr>
        <w:t>ask</w:t>
      </w:r>
      <w:r w:rsidR="00B839FE" w:rsidRPr="00467DE9">
        <w:rPr>
          <w:szCs w:val="22"/>
        </w:rPr>
        <w:t>s</w:t>
      </w:r>
      <w:r w:rsidR="0096595C" w:rsidRPr="00467DE9">
        <w:rPr>
          <w:szCs w:val="22"/>
        </w:rPr>
        <w:t xml:space="preserve"> for cost data</w:t>
      </w:r>
      <w:r w:rsidR="00F55BA3" w:rsidRPr="00467DE9">
        <w:rPr>
          <w:szCs w:val="22"/>
        </w:rPr>
        <w:t>,</w:t>
      </w:r>
      <w:r w:rsidR="005E542D" w:rsidRPr="00467DE9">
        <w:rPr>
          <w:szCs w:val="22"/>
        </w:rPr>
        <w:t xml:space="preserve"> to support a rulemaking, investigate a complaint, or bring an enforcement action</w:t>
      </w:r>
      <w:r w:rsidR="0096595C" w:rsidRPr="00467DE9">
        <w:rPr>
          <w:szCs w:val="22"/>
        </w:rPr>
        <w:t xml:space="preserve">, I </w:t>
      </w:r>
      <w:r w:rsidR="005E542D" w:rsidRPr="00467DE9">
        <w:rPr>
          <w:szCs w:val="22"/>
        </w:rPr>
        <w:t>hope we do not</w:t>
      </w:r>
      <w:r w:rsidR="0096595C" w:rsidRPr="00467DE9">
        <w:rPr>
          <w:szCs w:val="22"/>
        </w:rPr>
        <w:t xml:space="preserve"> hear </w:t>
      </w:r>
      <w:r w:rsidR="005E542D" w:rsidRPr="00467DE9">
        <w:rPr>
          <w:szCs w:val="22"/>
        </w:rPr>
        <w:t>protestations</w:t>
      </w:r>
      <w:r w:rsidR="0096595C" w:rsidRPr="00467DE9">
        <w:rPr>
          <w:szCs w:val="22"/>
        </w:rPr>
        <w:t xml:space="preserve"> that the request is too burdensome</w:t>
      </w:r>
      <w:r w:rsidR="005E542D" w:rsidRPr="00467DE9">
        <w:rPr>
          <w:szCs w:val="22"/>
        </w:rPr>
        <w:t xml:space="preserve"> because the data is not kept in the format that the FCC </w:t>
      </w:r>
      <w:r w:rsidR="000B5F26" w:rsidRPr="00467DE9">
        <w:rPr>
          <w:szCs w:val="22"/>
        </w:rPr>
        <w:t xml:space="preserve">or state commission </w:t>
      </w:r>
      <w:r w:rsidR="005E542D" w:rsidRPr="00467DE9">
        <w:rPr>
          <w:szCs w:val="22"/>
        </w:rPr>
        <w:t xml:space="preserve">needs. </w:t>
      </w:r>
    </w:p>
    <w:p w:rsidR="00B64241" w:rsidRPr="00467DE9" w:rsidRDefault="00B64241" w:rsidP="00467DE9">
      <w:pPr>
        <w:spacing w:after="120"/>
        <w:ind w:firstLine="720"/>
        <w:rPr>
          <w:szCs w:val="22"/>
        </w:rPr>
      </w:pPr>
      <w:r w:rsidRPr="00467DE9">
        <w:rPr>
          <w:szCs w:val="22"/>
        </w:rPr>
        <w:t xml:space="preserve">To the staff of the Wireline Competition Bureau, </w:t>
      </w:r>
      <w:r w:rsidR="004D3904" w:rsidRPr="00467DE9">
        <w:rPr>
          <w:szCs w:val="22"/>
        </w:rPr>
        <w:t xml:space="preserve">I again </w:t>
      </w:r>
      <w:r w:rsidRPr="00467DE9">
        <w:rPr>
          <w:szCs w:val="22"/>
        </w:rPr>
        <w:t xml:space="preserve">thank you for all your hard work on this item, </w:t>
      </w:r>
      <w:r w:rsidR="00C54630" w:rsidRPr="00467DE9">
        <w:rPr>
          <w:szCs w:val="22"/>
        </w:rPr>
        <w:t xml:space="preserve">as well as your efforts </w:t>
      </w:r>
      <w:r w:rsidRPr="00467DE9">
        <w:rPr>
          <w:szCs w:val="22"/>
        </w:rPr>
        <w:t xml:space="preserve">over the years in implementing the Uniform System of Accounts. </w:t>
      </w:r>
    </w:p>
    <w:sectPr w:rsidR="00B64241" w:rsidRPr="00467DE9" w:rsidSect="00467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3A" w:rsidRDefault="001D1D3A" w:rsidP="001D1D3A">
      <w:r>
        <w:separator/>
      </w:r>
    </w:p>
  </w:endnote>
  <w:endnote w:type="continuationSeparator" w:id="0">
    <w:p w:rsidR="001D1D3A" w:rsidRDefault="001D1D3A" w:rsidP="001D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D6" w:rsidRDefault="00901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792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DE9" w:rsidRDefault="00467D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D3A" w:rsidRDefault="001D1D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D6" w:rsidRDefault="00901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3A" w:rsidRDefault="001D1D3A" w:rsidP="001D1D3A">
      <w:r>
        <w:separator/>
      </w:r>
    </w:p>
  </w:footnote>
  <w:footnote w:type="continuationSeparator" w:id="0">
    <w:p w:rsidR="001D1D3A" w:rsidRDefault="001D1D3A" w:rsidP="001D1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D6" w:rsidRDefault="00901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33" w:rsidRPr="008A1F33" w:rsidRDefault="008A1F33" w:rsidP="008A1F33">
    <w:pPr>
      <w:pStyle w:val="Header"/>
      <w:jc w:val="center"/>
      <w:rPr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D6" w:rsidRDefault="00901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40"/>
    <w:rsid w:val="0000314F"/>
    <w:rsid w:val="00090E16"/>
    <w:rsid w:val="000B5F26"/>
    <w:rsid w:val="00110255"/>
    <w:rsid w:val="00136FC0"/>
    <w:rsid w:val="001D1D3A"/>
    <w:rsid w:val="0020259F"/>
    <w:rsid w:val="002110FF"/>
    <w:rsid w:val="00211B01"/>
    <w:rsid w:val="0029330E"/>
    <w:rsid w:val="002E0ED2"/>
    <w:rsid w:val="0031460D"/>
    <w:rsid w:val="003817B6"/>
    <w:rsid w:val="00417027"/>
    <w:rsid w:val="0046660B"/>
    <w:rsid w:val="00467DE9"/>
    <w:rsid w:val="00495FD8"/>
    <w:rsid w:val="004D13EA"/>
    <w:rsid w:val="004D3904"/>
    <w:rsid w:val="004F3687"/>
    <w:rsid w:val="00527262"/>
    <w:rsid w:val="005A6056"/>
    <w:rsid w:val="005E542D"/>
    <w:rsid w:val="005F60E6"/>
    <w:rsid w:val="005F6CC8"/>
    <w:rsid w:val="006076FF"/>
    <w:rsid w:val="007602FD"/>
    <w:rsid w:val="007B7C44"/>
    <w:rsid w:val="007C112C"/>
    <w:rsid w:val="00851A70"/>
    <w:rsid w:val="00882AAC"/>
    <w:rsid w:val="008A1F33"/>
    <w:rsid w:val="008A2E77"/>
    <w:rsid w:val="008C55A3"/>
    <w:rsid w:val="008F1F59"/>
    <w:rsid w:val="00901DD6"/>
    <w:rsid w:val="00952940"/>
    <w:rsid w:val="0096595C"/>
    <w:rsid w:val="009C4253"/>
    <w:rsid w:val="00A16775"/>
    <w:rsid w:val="00A77ECA"/>
    <w:rsid w:val="00A94885"/>
    <w:rsid w:val="00AA458D"/>
    <w:rsid w:val="00AB11BB"/>
    <w:rsid w:val="00B14A4F"/>
    <w:rsid w:val="00B14C5F"/>
    <w:rsid w:val="00B42918"/>
    <w:rsid w:val="00B64241"/>
    <w:rsid w:val="00B839FE"/>
    <w:rsid w:val="00BA442A"/>
    <w:rsid w:val="00BA75F5"/>
    <w:rsid w:val="00BC5A4B"/>
    <w:rsid w:val="00C10CA1"/>
    <w:rsid w:val="00C46BB2"/>
    <w:rsid w:val="00C54630"/>
    <w:rsid w:val="00C70AC2"/>
    <w:rsid w:val="00CB6803"/>
    <w:rsid w:val="00CC0833"/>
    <w:rsid w:val="00D14B5B"/>
    <w:rsid w:val="00DC36D0"/>
    <w:rsid w:val="00DD61AF"/>
    <w:rsid w:val="00E35558"/>
    <w:rsid w:val="00F324DE"/>
    <w:rsid w:val="00F53C64"/>
    <w:rsid w:val="00F55BA3"/>
    <w:rsid w:val="00F77CF7"/>
    <w:rsid w:val="00FB62C8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D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F324DE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F324DE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F324DE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F324DE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F324DE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F324DE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F324DE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F324DE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F324DE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F324D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324DE"/>
  </w:style>
  <w:style w:type="paragraph" w:styleId="BalloonText">
    <w:name w:val="Balloon Text"/>
    <w:basedOn w:val="Normal"/>
    <w:link w:val="BalloonTextChar"/>
    <w:uiPriority w:val="99"/>
    <w:semiHidden/>
    <w:unhideWhenUsed/>
    <w:rsid w:val="004F3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1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12C"/>
    <w:rPr>
      <w:b/>
      <w:bCs/>
      <w:sz w:val="20"/>
      <w:szCs w:val="20"/>
    </w:rPr>
  </w:style>
  <w:style w:type="paragraph" w:styleId="Header">
    <w:name w:val="header"/>
    <w:basedOn w:val="Normal"/>
    <w:link w:val="HeaderChar"/>
    <w:autoRedefine/>
    <w:rsid w:val="00F324DE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1D1D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F32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D3A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467DE9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F324DE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F324DE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67DE9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F324DE"/>
    <w:rPr>
      <w:vertAlign w:val="superscript"/>
    </w:rPr>
  </w:style>
  <w:style w:type="paragraph" w:styleId="FootnoteText">
    <w:name w:val="footnote text"/>
    <w:link w:val="FootnoteTextChar"/>
    <w:rsid w:val="00F324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67DE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F324DE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F324DE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F324DE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F324DE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F324DE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F324DE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F324DE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F324DE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F324DE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F324DE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F324D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F324DE"/>
  </w:style>
  <w:style w:type="character" w:styleId="PageNumber">
    <w:name w:val="page number"/>
    <w:basedOn w:val="DefaultParagraphFont"/>
    <w:rsid w:val="00F324DE"/>
  </w:style>
  <w:style w:type="paragraph" w:styleId="BlockText">
    <w:name w:val="Block Text"/>
    <w:basedOn w:val="Normal"/>
    <w:rsid w:val="00F324DE"/>
    <w:pPr>
      <w:spacing w:after="240"/>
      <w:ind w:left="1440" w:right="1440"/>
    </w:pPr>
  </w:style>
  <w:style w:type="paragraph" w:customStyle="1" w:styleId="Paratitle">
    <w:name w:val="Para title"/>
    <w:basedOn w:val="Normal"/>
    <w:rsid w:val="00F324DE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F324DE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F324DE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F324DE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F324DE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F32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D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F324DE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F324DE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F324DE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F324DE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F324DE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F324DE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F324DE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F324DE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F324DE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F324D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324DE"/>
  </w:style>
  <w:style w:type="paragraph" w:styleId="BalloonText">
    <w:name w:val="Balloon Text"/>
    <w:basedOn w:val="Normal"/>
    <w:link w:val="BalloonTextChar"/>
    <w:uiPriority w:val="99"/>
    <w:semiHidden/>
    <w:unhideWhenUsed/>
    <w:rsid w:val="004F3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1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12C"/>
    <w:rPr>
      <w:b/>
      <w:bCs/>
      <w:sz w:val="20"/>
      <w:szCs w:val="20"/>
    </w:rPr>
  </w:style>
  <w:style w:type="paragraph" w:styleId="Header">
    <w:name w:val="header"/>
    <w:basedOn w:val="Normal"/>
    <w:link w:val="HeaderChar"/>
    <w:autoRedefine/>
    <w:rsid w:val="00F324DE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1D1D3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F32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D3A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467DE9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467DE9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F324DE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F324DE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67DE9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F324DE"/>
    <w:rPr>
      <w:vertAlign w:val="superscript"/>
    </w:rPr>
  </w:style>
  <w:style w:type="paragraph" w:styleId="FootnoteText">
    <w:name w:val="footnote text"/>
    <w:link w:val="FootnoteTextChar"/>
    <w:rsid w:val="00F324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67DE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F324DE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F324DE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F324DE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F324DE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F324DE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F324DE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F324DE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F324DE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F324DE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F324DE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F324D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F324DE"/>
  </w:style>
  <w:style w:type="character" w:styleId="PageNumber">
    <w:name w:val="page number"/>
    <w:basedOn w:val="DefaultParagraphFont"/>
    <w:rsid w:val="00F324DE"/>
  </w:style>
  <w:style w:type="paragraph" w:styleId="BlockText">
    <w:name w:val="Block Text"/>
    <w:basedOn w:val="Normal"/>
    <w:rsid w:val="00F324DE"/>
    <w:pPr>
      <w:spacing w:after="240"/>
      <w:ind w:left="1440" w:right="1440"/>
    </w:pPr>
  </w:style>
  <w:style w:type="paragraph" w:customStyle="1" w:styleId="Paratitle">
    <w:name w:val="Para title"/>
    <w:basedOn w:val="Normal"/>
    <w:rsid w:val="00F324DE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F324DE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F324DE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F324DE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F324DE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F32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657</Words>
  <Characters>3331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2017-02-23T14:49:00Z</cp:lastPrinted>
  <dcterms:created xsi:type="dcterms:W3CDTF">2017-02-23T22:40:00Z</dcterms:created>
  <dcterms:modified xsi:type="dcterms:W3CDTF">2017-02-23T22:40:00Z</dcterms:modified>
  <cp:category> </cp:category>
  <cp:contentStatus> </cp:contentStatus>
</cp:coreProperties>
</file>