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56FF24D2" wp14:editId="1534617C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Default="0032720D" w:rsidP="0032720D">
      <w:pPr>
        <w:rPr>
          <w:b/>
          <w:bCs/>
        </w:rPr>
      </w:pPr>
    </w:p>
    <w:p w:rsidR="0032720D" w:rsidRPr="00752C75" w:rsidRDefault="0032720D" w:rsidP="0032720D">
      <w:pPr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Media Contact</w:t>
      </w:r>
      <w:r w:rsidR="0086579A">
        <w:rPr>
          <w:b/>
          <w:bCs/>
          <w:sz w:val="22"/>
          <w:szCs w:val="22"/>
        </w:rPr>
        <w:t>s</w:t>
      </w:r>
      <w:r w:rsidRPr="00752C75">
        <w:rPr>
          <w:b/>
          <w:bCs/>
          <w:sz w:val="22"/>
          <w:szCs w:val="22"/>
        </w:rPr>
        <w:t xml:space="preserve">: </w:t>
      </w:r>
    </w:p>
    <w:p w:rsidR="0032720D" w:rsidRPr="00752C75" w:rsidRDefault="0032720D" w:rsidP="0032720D">
      <w:pPr>
        <w:rPr>
          <w:bCs/>
          <w:sz w:val="22"/>
          <w:szCs w:val="22"/>
        </w:rPr>
      </w:pPr>
      <w:r w:rsidRPr="00752C75">
        <w:rPr>
          <w:bCs/>
          <w:sz w:val="22"/>
          <w:szCs w:val="22"/>
        </w:rPr>
        <w:t>Janice Wise</w:t>
      </w:r>
      <w:r w:rsidR="00623CA7" w:rsidRPr="00752C75">
        <w:rPr>
          <w:bCs/>
          <w:sz w:val="22"/>
          <w:szCs w:val="22"/>
        </w:rPr>
        <w:t xml:space="preserve"> </w:t>
      </w:r>
      <w:r w:rsidRPr="00752C75">
        <w:rPr>
          <w:bCs/>
          <w:sz w:val="22"/>
          <w:szCs w:val="22"/>
        </w:rPr>
        <w:t>(202) 418-8165</w:t>
      </w:r>
      <w:r w:rsidR="0086579A">
        <w:rPr>
          <w:bCs/>
          <w:sz w:val="22"/>
          <w:szCs w:val="22"/>
        </w:rPr>
        <w:t xml:space="preserve">                                 </w:t>
      </w:r>
    </w:p>
    <w:p w:rsidR="0032720D" w:rsidRDefault="0086579A" w:rsidP="0032720D">
      <w:pPr>
        <w:rPr>
          <w:bCs/>
          <w:sz w:val="22"/>
          <w:szCs w:val="22"/>
        </w:rPr>
      </w:pPr>
      <w:r w:rsidRPr="00D86AF6">
        <w:rPr>
          <w:bCs/>
          <w:sz w:val="22"/>
          <w:szCs w:val="22"/>
        </w:rPr>
        <w:t>janice.wise@fcc.gov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2720D" w:rsidRPr="00752C75" w:rsidRDefault="0032720D" w:rsidP="0032720D">
      <w:pPr>
        <w:rPr>
          <w:bCs/>
          <w:sz w:val="22"/>
          <w:szCs w:val="22"/>
        </w:rPr>
      </w:pPr>
    </w:p>
    <w:p w:rsidR="0032720D" w:rsidRDefault="0032720D" w:rsidP="0032720D">
      <w:pPr>
        <w:rPr>
          <w:b/>
          <w:sz w:val="22"/>
          <w:szCs w:val="22"/>
        </w:rPr>
      </w:pPr>
      <w:r w:rsidRPr="00752C75">
        <w:rPr>
          <w:b/>
          <w:sz w:val="22"/>
          <w:szCs w:val="22"/>
        </w:rPr>
        <w:t>For Immediate Release</w:t>
      </w:r>
    </w:p>
    <w:p w:rsidR="001F6866" w:rsidRDefault="001F6866" w:rsidP="0032720D">
      <w:pPr>
        <w:rPr>
          <w:b/>
          <w:sz w:val="22"/>
          <w:szCs w:val="22"/>
        </w:rPr>
      </w:pPr>
    </w:p>
    <w:p w:rsidR="00E2781E" w:rsidRPr="00752C75" w:rsidRDefault="00E2781E" w:rsidP="0032720D">
      <w:pPr>
        <w:rPr>
          <w:b/>
          <w:sz w:val="22"/>
          <w:szCs w:val="22"/>
        </w:rPr>
      </w:pPr>
    </w:p>
    <w:p w:rsidR="00E2781E" w:rsidRPr="006A3618" w:rsidRDefault="006A3618" w:rsidP="0005584B">
      <w:pPr>
        <w:jc w:val="center"/>
        <w:rPr>
          <w:b/>
          <w:sz w:val="25"/>
          <w:szCs w:val="25"/>
        </w:rPr>
      </w:pPr>
      <w:r w:rsidRPr="006A3618">
        <w:rPr>
          <w:b/>
          <w:sz w:val="25"/>
          <w:szCs w:val="25"/>
        </w:rPr>
        <w:t>FCC EXPANDS CHANNEL SHARING OPPORTUNITIES FOR BROADCASTERS</w:t>
      </w:r>
    </w:p>
    <w:p w:rsidR="001F6866" w:rsidRPr="0005584B" w:rsidRDefault="00E2781E" w:rsidP="001F6866">
      <w:pPr>
        <w:jc w:val="center"/>
        <w:rPr>
          <w:b/>
        </w:rPr>
      </w:pPr>
      <w:r w:rsidRPr="0005584B">
        <w:rPr>
          <w:b/>
          <w:i/>
        </w:rPr>
        <w:t xml:space="preserve">Action </w:t>
      </w:r>
      <w:r w:rsidR="00693C05">
        <w:rPr>
          <w:b/>
          <w:i/>
        </w:rPr>
        <w:t>gives more sharing flexibility to</w:t>
      </w:r>
      <w:r w:rsidR="00693C05" w:rsidRPr="0005584B">
        <w:rPr>
          <w:b/>
          <w:i/>
        </w:rPr>
        <w:t xml:space="preserve"> </w:t>
      </w:r>
      <w:r w:rsidR="0005584B" w:rsidRPr="0005584B">
        <w:rPr>
          <w:b/>
          <w:i/>
        </w:rPr>
        <w:t>TV</w:t>
      </w:r>
      <w:r w:rsidR="003D0CB7" w:rsidRPr="0005584B">
        <w:rPr>
          <w:b/>
          <w:i/>
        </w:rPr>
        <w:t xml:space="preserve"> </w:t>
      </w:r>
      <w:r w:rsidR="00942ED3" w:rsidRPr="0005584B">
        <w:rPr>
          <w:b/>
          <w:i/>
        </w:rPr>
        <w:t>stations that relinquish</w:t>
      </w:r>
      <w:r w:rsidR="00E5217D">
        <w:rPr>
          <w:b/>
          <w:i/>
        </w:rPr>
        <w:t>ed</w:t>
      </w:r>
      <w:r w:rsidR="0005584B">
        <w:rPr>
          <w:b/>
          <w:i/>
        </w:rPr>
        <w:t xml:space="preserve"> </w:t>
      </w:r>
      <w:r w:rsidR="00942ED3" w:rsidRPr="0005584B">
        <w:rPr>
          <w:b/>
          <w:i/>
        </w:rPr>
        <w:t xml:space="preserve">spectrum in the </w:t>
      </w:r>
      <w:r w:rsidR="0005584B">
        <w:rPr>
          <w:b/>
          <w:i/>
        </w:rPr>
        <w:t xml:space="preserve">incentive </w:t>
      </w:r>
      <w:r w:rsidR="00942ED3" w:rsidRPr="0005584B">
        <w:rPr>
          <w:b/>
          <w:i/>
        </w:rPr>
        <w:t>auction</w:t>
      </w:r>
      <w:r w:rsidR="00E24367">
        <w:rPr>
          <w:b/>
          <w:i/>
        </w:rPr>
        <w:t xml:space="preserve">, </w:t>
      </w:r>
      <w:r w:rsidR="00E5217D">
        <w:rPr>
          <w:b/>
          <w:i/>
        </w:rPr>
        <w:t>as well as</w:t>
      </w:r>
      <w:r w:rsidR="006A49E9">
        <w:rPr>
          <w:b/>
          <w:i/>
        </w:rPr>
        <w:t xml:space="preserve"> </w:t>
      </w:r>
      <w:r w:rsidR="00693C05">
        <w:rPr>
          <w:b/>
          <w:i/>
        </w:rPr>
        <w:t xml:space="preserve">to </w:t>
      </w:r>
      <w:r w:rsidR="00BA2A64" w:rsidRPr="0005584B">
        <w:rPr>
          <w:b/>
          <w:i/>
        </w:rPr>
        <w:t>LPTV and TV t</w:t>
      </w:r>
      <w:r w:rsidR="009148D6" w:rsidRPr="0005584B">
        <w:rPr>
          <w:b/>
          <w:i/>
        </w:rPr>
        <w:t>ranslators</w:t>
      </w:r>
      <w:r w:rsidR="00E5217D">
        <w:rPr>
          <w:b/>
          <w:i/>
        </w:rPr>
        <w:t>,</w:t>
      </w:r>
      <w:r w:rsidR="009148D6" w:rsidRPr="0005584B">
        <w:rPr>
          <w:b/>
          <w:i/>
        </w:rPr>
        <w:t xml:space="preserve"> </w:t>
      </w:r>
      <w:r w:rsidR="004E0914">
        <w:rPr>
          <w:b/>
          <w:i/>
        </w:rPr>
        <w:t xml:space="preserve">to help </w:t>
      </w:r>
      <w:r w:rsidR="003D0CB7" w:rsidRPr="0005584B">
        <w:rPr>
          <w:b/>
          <w:i/>
        </w:rPr>
        <w:t xml:space="preserve">ensure continuity </w:t>
      </w:r>
      <w:r w:rsidR="00031F98" w:rsidRPr="0005584B">
        <w:rPr>
          <w:b/>
          <w:i/>
        </w:rPr>
        <w:t xml:space="preserve">of </w:t>
      </w:r>
      <w:r w:rsidR="00DE237F" w:rsidRPr="0005584B">
        <w:rPr>
          <w:b/>
          <w:i/>
        </w:rPr>
        <w:t>service to</w:t>
      </w:r>
      <w:r w:rsidR="003D0CB7" w:rsidRPr="0005584B">
        <w:rPr>
          <w:b/>
          <w:i/>
        </w:rPr>
        <w:t xml:space="preserve"> </w:t>
      </w:r>
      <w:r w:rsidR="003D75E5" w:rsidRPr="0005584B">
        <w:rPr>
          <w:b/>
          <w:i/>
        </w:rPr>
        <w:t>viewers</w:t>
      </w:r>
    </w:p>
    <w:p w:rsidR="004903FB" w:rsidRPr="003E2AB6" w:rsidRDefault="004903FB" w:rsidP="001F6866">
      <w:pPr>
        <w:rPr>
          <w:sz w:val="22"/>
          <w:szCs w:val="22"/>
        </w:rPr>
      </w:pPr>
    </w:p>
    <w:p w:rsidR="00693C05" w:rsidRDefault="001F6866">
      <w:pPr>
        <w:rPr>
          <w:sz w:val="22"/>
          <w:szCs w:val="22"/>
        </w:rPr>
      </w:pPr>
      <w:r>
        <w:rPr>
          <w:sz w:val="22"/>
          <w:szCs w:val="22"/>
        </w:rPr>
        <w:t>WASHINGTON</w:t>
      </w:r>
      <w:r w:rsidR="006A3618">
        <w:rPr>
          <w:sz w:val="22"/>
          <w:szCs w:val="22"/>
        </w:rPr>
        <w:t>,</w:t>
      </w:r>
      <w:r w:rsidRPr="003E2AB6">
        <w:rPr>
          <w:sz w:val="22"/>
          <w:szCs w:val="22"/>
        </w:rPr>
        <w:t xml:space="preserve"> </w:t>
      </w:r>
      <w:r w:rsidR="00942ED3">
        <w:rPr>
          <w:sz w:val="22"/>
          <w:szCs w:val="22"/>
        </w:rPr>
        <w:t xml:space="preserve">March 23, </w:t>
      </w:r>
      <w:r>
        <w:rPr>
          <w:sz w:val="22"/>
          <w:szCs w:val="22"/>
        </w:rPr>
        <w:t>2017</w:t>
      </w:r>
      <w:r w:rsidRPr="003E2AB6">
        <w:rPr>
          <w:sz w:val="22"/>
          <w:szCs w:val="22"/>
        </w:rPr>
        <w:t xml:space="preserve"> – The Federal Communications Commission today </w:t>
      </w:r>
      <w:r w:rsidR="00582600">
        <w:rPr>
          <w:sz w:val="22"/>
          <w:szCs w:val="22"/>
        </w:rPr>
        <w:t xml:space="preserve">adopted a Report and Order </w:t>
      </w:r>
      <w:r w:rsidR="001702CF">
        <w:rPr>
          <w:sz w:val="22"/>
          <w:szCs w:val="22"/>
        </w:rPr>
        <w:t>t</w:t>
      </w:r>
      <w:r w:rsidR="00582600">
        <w:rPr>
          <w:sz w:val="22"/>
          <w:szCs w:val="22"/>
        </w:rPr>
        <w:t xml:space="preserve">hat </w:t>
      </w:r>
      <w:r w:rsidR="00942ED3">
        <w:rPr>
          <w:sz w:val="22"/>
          <w:szCs w:val="22"/>
        </w:rPr>
        <w:t>expand</w:t>
      </w:r>
      <w:r w:rsidR="00582600">
        <w:rPr>
          <w:sz w:val="22"/>
          <w:szCs w:val="22"/>
        </w:rPr>
        <w:t>s</w:t>
      </w:r>
      <w:r w:rsidR="00B654FF">
        <w:rPr>
          <w:sz w:val="22"/>
          <w:szCs w:val="22"/>
        </w:rPr>
        <w:t xml:space="preserve"> </w:t>
      </w:r>
      <w:r w:rsidR="00942ED3">
        <w:rPr>
          <w:sz w:val="22"/>
          <w:szCs w:val="22"/>
        </w:rPr>
        <w:t>broadcast station</w:t>
      </w:r>
      <w:r w:rsidR="009618C2">
        <w:rPr>
          <w:sz w:val="22"/>
          <w:szCs w:val="22"/>
        </w:rPr>
        <w:t>s</w:t>
      </w:r>
      <w:r w:rsidR="00EE4B6E">
        <w:rPr>
          <w:sz w:val="22"/>
          <w:szCs w:val="22"/>
        </w:rPr>
        <w:t>’</w:t>
      </w:r>
      <w:r w:rsidR="00942ED3">
        <w:rPr>
          <w:sz w:val="22"/>
          <w:szCs w:val="22"/>
        </w:rPr>
        <w:t xml:space="preserve"> </w:t>
      </w:r>
      <w:r w:rsidR="009618C2">
        <w:rPr>
          <w:sz w:val="22"/>
          <w:szCs w:val="22"/>
        </w:rPr>
        <w:t xml:space="preserve">ability </w:t>
      </w:r>
      <w:r w:rsidR="00942ED3">
        <w:rPr>
          <w:sz w:val="22"/>
          <w:szCs w:val="22"/>
        </w:rPr>
        <w:t>to share a single TV channel</w:t>
      </w:r>
      <w:r w:rsidR="00E5217D">
        <w:rPr>
          <w:sz w:val="22"/>
          <w:szCs w:val="22"/>
        </w:rPr>
        <w:t xml:space="preserve"> so viewers can continue to receive their </w:t>
      </w:r>
      <w:r w:rsidR="0005584B">
        <w:rPr>
          <w:sz w:val="22"/>
          <w:szCs w:val="22"/>
        </w:rPr>
        <w:t>broadcast programming</w:t>
      </w:r>
      <w:r w:rsidR="00942ED3">
        <w:rPr>
          <w:sz w:val="22"/>
          <w:szCs w:val="22"/>
        </w:rPr>
        <w:t xml:space="preserve">.  </w:t>
      </w:r>
    </w:p>
    <w:p w:rsidR="00693C05" w:rsidRDefault="00693C05">
      <w:pPr>
        <w:rPr>
          <w:sz w:val="22"/>
          <w:szCs w:val="22"/>
        </w:rPr>
      </w:pPr>
    </w:p>
    <w:p w:rsidR="00693C05" w:rsidRDefault="00793470" w:rsidP="00693C05">
      <w:pPr>
        <w:rPr>
          <w:sz w:val="22"/>
          <w:szCs w:val="22"/>
        </w:rPr>
      </w:pPr>
      <w:r>
        <w:rPr>
          <w:sz w:val="22"/>
          <w:szCs w:val="22"/>
        </w:rPr>
        <w:t>The ability to channel-share is an important component of the FCC’s incentive auction, m</w:t>
      </w:r>
      <w:r w:rsidR="004E0914">
        <w:rPr>
          <w:sz w:val="22"/>
          <w:szCs w:val="22"/>
        </w:rPr>
        <w:t>andated by Congress</w:t>
      </w:r>
      <w:r w:rsidR="00391976">
        <w:rPr>
          <w:sz w:val="22"/>
          <w:szCs w:val="22"/>
        </w:rPr>
        <w:t xml:space="preserve"> in 2012</w:t>
      </w:r>
      <w:r w:rsidR="004E09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which </w:t>
      </w:r>
      <w:r w:rsidR="004E0914">
        <w:rPr>
          <w:sz w:val="22"/>
          <w:szCs w:val="22"/>
        </w:rPr>
        <w:t xml:space="preserve">provides a </w:t>
      </w:r>
      <w:r w:rsidR="00032587">
        <w:rPr>
          <w:sz w:val="22"/>
          <w:szCs w:val="22"/>
        </w:rPr>
        <w:t>voluntary opportunity</w:t>
      </w:r>
      <w:r w:rsidR="004E0914">
        <w:rPr>
          <w:sz w:val="22"/>
          <w:szCs w:val="22"/>
        </w:rPr>
        <w:t xml:space="preserve"> for </w:t>
      </w:r>
      <w:r w:rsidR="00693C05">
        <w:rPr>
          <w:sz w:val="22"/>
          <w:szCs w:val="22"/>
        </w:rPr>
        <w:t xml:space="preserve">full power and Class A </w:t>
      </w:r>
      <w:r w:rsidR="004E0914">
        <w:rPr>
          <w:sz w:val="22"/>
          <w:szCs w:val="22"/>
        </w:rPr>
        <w:t>broadcast stations</w:t>
      </w:r>
      <w:r w:rsidR="00032587">
        <w:rPr>
          <w:sz w:val="22"/>
          <w:szCs w:val="22"/>
        </w:rPr>
        <w:t xml:space="preserve"> to </w:t>
      </w:r>
      <w:r w:rsidR="0005584B">
        <w:rPr>
          <w:sz w:val="22"/>
          <w:szCs w:val="22"/>
        </w:rPr>
        <w:t xml:space="preserve">relinquish their spectrum </w:t>
      </w:r>
      <w:r w:rsidR="00693C05">
        <w:rPr>
          <w:sz w:val="22"/>
          <w:szCs w:val="22"/>
        </w:rPr>
        <w:t xml:space="preserve">and share a channel with another </w:t>
      </w:r>
      <w:r w:rsidR="003E1FD7">
        <w:rPr>
          <w:sz w:val="22"/>
          <w:szCs w:val="22"/>
        </w:rPr>
        <w:t xml:space="preserve">full power or Class A </w:t>
      </w:r>
      <w:r w:rsidR="002C63E2">
        <w:rPr>
          <w:sz w:val="22"/>
          <w:szCs w:val="22"/>
        </w:rPr>
        <w:t>broadcaster</w:t>
      </w:r>
      <w:r w:rsidR="00693C05">
        <w:rPr>
          <w:sz w:val="22"/>
          <w:szCs w:val="22"/>
        </w:rPr>
        <w:t xml:space="preserve"> </w:t>
      </w:r>
      <w:r w:rsidR="00F655B8">
        <w:rPr>
          <w:sz w:val="22"/>
          <w:szCs w:val="22"/>
        </w:rPr>
        <w:t xml:space="preserve">in exchange for a part of the proceeds from a related </w:t>
      </w:r>
      <w:r w:rsidR="0005584B">
        <w:rPr>
          <w:sz w:val="22"/>
          <w:szCs w:val="22"/>
        </w:rPr>
        <w:t xml:space="preserve">mobile wireless </w:t>
      </w:r>
      <w:r w:rsidR="00F655B8">
        <w:rPr>
          <w:sz w:val="22"/>
          <w:szCs w:val="22"/>
        </w:rPr>
        <w:t>auction</w:t>
      </w:r>
      <w:r w:rsidR="00F431B8">
        <w:rPr>
          <w:sz w:val="22"/>
          <w:szCs w:val="22"/>
        </w:rPr>
        <w:t>.</w:t>
      </w:r>
      <w:r w:rsidR="0005584B">
        <w:rPr>
          <w:sz w:val="22"/>
          <w:szCs w:val="22"/>
        </w:rPr>
        <w:t xml:space="preserve">  </w:t>
      </w:r>
      <w:r w:rsidR="00693C05">
        <w:rPr>
          <w:sz w:val="22"/>
          <w:szCs w:val="22"/>
        </w:rPr>
        <w:t>Separately, the Commission in 2015 extended channel sharing to low power television (LPTV) and TV translator stations to help stations displaced by the incentive auction stay on the air.</w:t>
      </w:r>
    </w:p>
    <w:p w:rsidR="00693C05" w:rsidRDefault="00693C05" w:rsidP="001F6866">
      <w:pPr>
        <w:rPr>
          <w:sz w:val="22"/>
          <w:szCs w:val="22"/>
        </w:rPr>
      </w:pPr>
    </w:p>
    <w:p w:rsidR="0005584B" w:rsidRDefault="00883A0E" w:rsidP="001F6866">
      <w:pPr>
        <w:rPr>
          <w:sz w:val="22"/>
          <w:szCs w:val="22"/>
        </w:rPr>
      </w:pPr>
      <w:r>
        <w:rPr>
          <w:sz w:val="22"/>
          <w:szCs w:val="22"/>
        </w:rPr>
        <w:t>Today’s Order</w:t>
      </w:r>
      <w:r w:rsidR="00942ED3">
        <w:rPr>
          <w:sz w:val="22"/>
          <w:szCs w:val="22"/>
        </w:rPr>
        <w:t xml:space="preserve"> </w:t>
      </w:r>
      <w:r w:rsidR="003F20EA">
        <w:rPr>
          <w:sz w:val="22"/>
          <w:szCs w:val="22"/>
        </w:rPr>
        <w:t xml:space="preserve">permits </w:t>
      </w:r>
      <w:r w:rsidR="004E0914">
        <w:rPr>
          <w:sz w:val="22"/>
          <w:szCs w:val="22"/>
        </w:rPr>
        <w:t xml:space="preserve">television </w:t>
      </w:r>
      <w:r w:rsidR="00E24367">
        <w:rPr>
          <w:sz w:val="22"/>
          <w:szCs w:val="22"/>
        </w:rPr>
        <w:t xml:space="preserve">broadcast </w:t>
      </w:r>
      <w:r w:rsidR="003F20EA">
        <w:rPr>
          <w:sz w:val="22"/>
          <w:szCs w:val="22"/>
        </w:rPr>
        <w:t xml:space="preserve">stations with </w:t>
      </w:r>
      <w:r w:rsidR="009618C2">
        <w:rPr>
          <w:sz w:val="22"/>
          <w:szCs w:val="22"/>
        </w:rPr>
        <w:t xml:space="preserve">an </w:t>
      </w:r>
      <w:r w:rsidR="003F20EA">
        <w:rPr>
          <w:sz w:val="22"/>
          <w:szCs w:val="22"/>
        </w:rPr>
        <w:t>auction-related channel sharing agreement</w:t>
      </w:r>
      <w:r>
        <w:rPr>
          <w:sz w:val="22"/>
          <w:szCs w:val="22"/>
        </w:rPr>
        <w:t xml:space="preserve"> </w:t>
      </w:r>
      <w:r w:rsidR="003F20EA">
        <w:rPr>
          <w:sz w:val="22"/>
          <w:szCs w:val="22"/>
        </w:rPr>
        <w:t xml:space="preserve">(CSA) </w:t>
      </w:r>
      <w:r w:rsidR="00B654FF">
        <w:rPr>
          <w:sz w:val="22"/>
          <w:szCs w:val="22"/>
        </w:rPr>
        <w:t>to continue channel shar</w:t>
      </w:r>
      <w:r w:rsidR="009618C2">
        <w:rPr>
          <w:sz w:val="22"/>
          <w:szCs w:val="22"/>
        </w:rPr>
        <w:t xml:space="preserve">ing by entering into </w:t>
      </w:r>
      <w:r w:rsidR="00B654FF">
        <w:rPr>
          <w:sz w:val="22"/>
          <w:szCs w:val="22"/>
        </w:rPr>
        <w:t>a new</w:t>
      </w:r>
      <w:r w:rsidR="003F20EA">
        <w:rPr>
          <w:sz w:val="22"/>
          <w:szCs w:val="22"/>
        </w:rPr>
        <w:t xml:space="preserve"> </w:t>
      </w:r>
      <w:r w:rsidR="00DB6FAA">
        <w:rPr>
          <w:sz w:val="22"/>
          <w:szCs w:val="22"/>
        </w:rPr>
        <w:t xml:space="preserve">CSA </w:t>
      </w:r>
      <w:r w:rsidR="00EE4B6E">
        <w:rPr>
          <w:sz w:val="22"/>
          <w:szCs w:val="22"/>
        </w:rPr>
        <w:t xml:space="preserve">in the event that </w:t>
      </w:r>
      <w:r w:rsidR="009618C2">
        <w:rPr>
          <w:sz w:val="22"/>
          <w:szCs w:val="22"/>
        </w:rPr>
        <w:t>the</w:t>
      </w:r>
      <w:r w:rsidR="00DB6FAA">
        <w:rPr>
          <w:sz w:val="22"/>
          <w:szCs w:val="22"/>
        </w:rPr>
        <w:t>ir</w:t>
      </w:r>
      <w:r w:rsidR="009618C2">
        <w:rPr>
          <w:sz w:val="22"/>
          <w:szCs w:val="22"/>
        </w:rPr>
        <w:t xml:space="preserve"> existing </w:t>
      </w:r>
      <w:r w:rsidR="00EE4B6E">
        <w:rPr>
          <w:sz w:val="22"/>
          <w:szCs w:val="22"/>
        </w:rPr>
        <w:t>agreement</w:t>
      </w:r>
      <w:r w:rsidR="00DB6FAA">
        <w:rPr>
          <w:sz w:val="22"/>
          <w:szCs w:val="22"/>
        </w:rPr>
        <w:t xml:space="preserve"> </w:t>
      </w:r>
      <w:r w:rsidR="009618C2">
        <w:rPr>
          <w:sz w:val="22"/>
          <w:szCs w:val="22"/>
        </w:rPr>
        <w:t>ends</w:t>
      </w:r>
      <w:r w:rsidR="00073541">
        <w:rPr>
          <w:sz w:val="22"/>
          <w:szCs w:val="22"/>
        </w:rPr>
        <w:t>.  This</w:t>
      </w:r>
      <w:r w:rsidR="00DF4732">
        <w:rPr>
          <w:sz w:val="22"/>
          <w:szCs w:val="22"/>
        </w:rPr>
        <w:t xml:space="preserve"> </w:t>
      </w:r>
      <w:r w:rsidR="00DE237F">
        <w:rPr>
          <w:sz w:val="22"/>
          <w:szCs w:val="22"/>
        </w:rPr>
        <w:t>enables</w:t>
      </w:r>
      <w:r w:rsidR="00073541">
        <w:rPr>
          <w:sz w:val="22"/>
          <w:szCs w:val="22"/>
        </w:rPr>
        <w:t xml:space="preserve"> stations </w:t>
      </w:r>
      <w:r w:rsidR="00F93138">
        <w:rPr>
          <w:sz w:val="22"/>
          <w:szCs w:val="22"/>
        </w:rPr>
        <w:t xml:space="preserve">to continue </w:t>
      </w:r>
      <w:r w:rsidR="003F20EA">
        <w:rPr>
          <w:sz w:val="22"/>
          <w:szCs w:val="22"/>
        </w:rPr>
        <w:t>provid</w:t>
      </w:r>
      <w:r w:rsidR="00F93138">
        <w:rPr>
          <w:sz w:val="22"/>
          <w:szCs w:val="22"/>
        </w:rPr>
        <w:t>ing</w:t>
      </w:r>
      <w:r w:rsidR="003F20EA">
        <w:rPr>
          <w:sz w:val="22"/>
          <w:szCs w:val="22"/>
        </w:rPr>
        <w:t xml:space="preserve"> service to the</w:t>
      </w:r>
      <w:r w:rsidR="00DE237F">
        <w:rPr>
          <w:sz w:val="22"/>
          <w:szCs w:val="22"/>
        </w:rPr>
        <w:t>ir viewers</w:t>
      </w:r>
      <w:r w:rsidR="003F20EA">
        <w:rPr>
          <w:sz w:val="22"/>
          <w:szCs w:val="22"/>
        </w:rPr>
        <w:t>.</w:t>
      </w:r>
      <w:r w:rsidR="001F6866" w:rsidRPr="003E2AB6">
        <w:rPr>
          <w:sz w:val="22"/>
          <w:szCs w:val="22"/>
        </w:rPr>
        <w:t xml:space="preserve">  </w:t>
      </w:r>
      <w:r w:rsidR="00730208">
        <w:rPr>
          <w:sz w:val="22"/>
          <w:szCs w:val="22"/>
        </w:rPr>
        <w:t>T</w:t>
      </w:r>
      <w:r w:rsidR="00073541">
        <w:rPr>
          <w:sz w:val="22"/>
          <w:szCs w:val="22"/>
        </w:rPr>
        <w:t xml:space="preserve">he </w:t>
      </w:r>
      <w:r w:rsidR="006B06E1">
        <w:rPr>
          <w:sz w:val="22"/>
          <w:szCs w:val="22"/>
        </w:rPr>
        <w:t xml:space="preserve">new </w:t>
      </w:r>
      <w:r w:rsidR="001702CF">
        <w:rPr>
          <w:sz w:val="22"/>
          <w:szCs w:val="22"/>
        </w:rPr>
        <w:t>rules</w:t>
      </w:r>
      <w:r w:rsidR="00730208">
        <w:rPr>
          <w:sz w:val="22"/>
          <w:szCs w:val="22"/>
        </w:rPr>
        <w:t xml:space="preserve"> also</w:t>
      </w:r>
      <w:r w:rsidR="00073541">
        <w:rPr>
          <w:sz w:val="22"/>
          <w:szCs w:val="22"/>
        </w:rPr>
        <w:t xml:space="preserve"> permit Class A stations to</w:t>
      </w:r>
      <w:r w:rsidR="000F7334">
        <w:rPr>
          <w:sz w:val="22"/>
          <w:szCs w:val="22"/>
        </w:rPr>
        <w:t xml:space="preserve"> </w:t>
      </w:r>
      <w:r w:rsidR="00073541">
        <w:rPr>
          <w:sz w:val="22"/>
          <w:szCs w:val="22"/>
        </w:rPr>
        <w:t>channel share</w:t>
      </w:r>
      <w:r w:rsidR="005F6906">
        <w:rPr>
          <w:sz w:val="22"/>
          <w:szCs w:val="22"/>
        </w:rPr>
        <w:t xml:space="preserve"> outside of the auction context</w:t>
      </w:r>
      <w:r w:rsidR="00073541">
        <w:rPr>
          <w:sz w:val="22"/>
          <w:szCs w:val="22"/>
        </w:rPr>
        <w:t>.</w:t>
      </w:r>
      <w:r w:rsidR="00730208">
        <w:rPr>
          <w:sz w:val="22"/>
          <w:szCs w:val="22"/>
        </w:rPr>
        <w:t xml:space="preserve"> </w:t>
      </w:r>
      <w:r w:rsidR="00DE237F">
        <w:rPr>
          <w:sz w:val="22"/>
          <w:szCs w:val="22"/>
        </w:rPr>
        <w:t xml:space="preserve"> </w:t>
      </w:r>
    </w:p>
    <w:p w:rsidR="0005584B" w:rsidRDefault="0005584B" w:rsidP="001F6866">
      <w:pPr>
        <w:rPr>
          <w:sz w:val="22"/>
          <w:szCs w:val="22"/>
        </w:rPr>
      </w:pPr>
    </w:p>
    <w:p w:rsidR="003F20EA" w:rsidRDefault="00DE237F" w:rsidP="001F6866">
      <w:pPr>
        <w:rPr>
          <w:sz w:val="22"/>
          <w:szCs w:val="22"/>
        </w:rPr>
      </w:pPr>
      <w:r>
        <w:rPr>
          <w:sz w:val="22"/>
          <w:szCs w:val="22"/>
        </w:rPr>
        <w:t xml:space="preserve">Additionally, </w:t>
      </w:r>
      <w:r w:rsidR="003F20EA">
        <w:rPr>
          <w:sz w:val="22"/>
          <w:szCs w:val="22"/>
        </w:rPr>
        <w:t xml:space="preserve">all </w:t>
      </w:r>
      <w:r w:rsidR="00C60F63">
        <w:rPr>
          <w:sz w:val="22"/>
          <w:szCs w:val="22"/>
        </w:rPr>
        <w:t>LPTV and TV translator</w:t>
      </w:r>
      <w:r w:rsidR="003F20EA">
        <w:rPr>
          <w:sz w:val="22"/>
          <w:szCs w:val="22"/>
        </w:rPr>
        <w:t xml:space="preserve"> stations </w:t>
      </w:r>
      <w:r w:rsidR="00E5146C">
        <w:rPr>
          <w:sz w:val="22"/>
          <w:szCs w:val="22"/>
        </w:rPr>
        <w:t xml:space="preserve">are now able </w:t>
      </w:r>
      <w:r w:rsidR="003F20EA">
        <w:rPr>
          <w:sz w:val="22"/>
          <w:szCs w:val="22"/>
        </w:rPr>
        <w:t xml:space="preserve">to share a channel with a full power or Class A station.  This </w:t>
      </w:r>
      <w:r w:rsidR="00073541">
        <w:rPr>
          <w:sz w:val="22"/>
          <w:szCs w:val="22"/>
        </w:rPr>
        <w:t xml:space="preserve">flexibility </w:t>
      </w:r>
      <w:r w:rsidR="00333FBF">
        <w:rPr>
          <w:sz w:val="22"/>
          <w:szCs w:val="22"/>
        </w:rPr>
        <w:t>give</w:t>
      </w:r>
      <w:r w:rsidR="00A965BB">
        <w:rPr>
          <w:sz w:val="22"/>
          <w:szCs w:val="22"/>
        </w:rPr>
        <w:t>s</w:t>
      </w:r>
      <w:r w:rsidR="00696879">
        <w:rPr>
          <w:sz w:val="22"/>
          <w:szCs w:val="22"/>
        </w:rPr>
        <w:t xml:space="preserve"> </w:t>
      </w:r>
      <w:r w:rsidR="00B654FF">
        <w:rPr>
          <w:sz w:val="22"/>
          <w:szCs w:val="22"/>
        </w:rPr>
        <w:t>LPTV and TV translator</w:t>
      </w:r>
      <w:r w:rsidR="00073541">
        <w:rPr>
          <w:sz w:val="22"/>
          <w:szCs w:val="22"/>
        </w:rPr>
        <w:t xml:space="preserve"> stations that are displaced by the auction </w:t>
      </w:r>
      <w:r w:rsidR="003F20EA">
        <w:rPr>
          <w:sz w:val="22"/>
          <w:szCs w:val="22"/>
        </w:rPr>
        <w:t>repacking process more options</w:t>
      </w:r>
      <w:r w:rsidR="00CA1D99">
        <w:rPr>
          <w:sz w:val="22"/>
          <w:szCs w:val="22"/>
        </w:rPr>
        <w:t xml:space="preserve"> for continuing to operate</w:t>
      </w:r>
      <w:r w:rsidR="003F20EA">
        <w:rPr>
          <w:sz w:val="22"/>
          <w:szCs w:val="22"/>
        </w:rPr>
        <w:t xml:space="preserve">.  It also may reduce construction and operating costs for </w:t>
      </w:r>
      <w:r w:rsidR="00B654FF">
        <w:rPr>
          <w:sz w:val="22"/>
          <w:szCs w:val="22"/>
        </w:rPr>
        <w:t>LPTV and TV translator</w:t>
      </w:r>
      <w:r w:rsidR="00073541">
        <w:rPr>
          <w:sz w:val="22"/>
          <w:szCs w:val="22"/>
        </w:rPr>
        <w:t xml:space="preserve"> stations, many of which </w:t>
      </w:r>
      <w:r w:rsidR="00883A0E">
        <w:rPr>
          <w:sz w:val="22"/>
          <w:szCs w:val="22"/>
        </w:rPr>
        <w:t>have</w:t>
      </w:r>
      <w:r w:rsidR="00073541">
        <w:rPr>
          <w:sz w:val="22"/>
          <w:szCs w:val="22"/>
        </w:rPr>
        <w:t xml:space="preserve"> limited resources, </w:t>
      </w:r>
      <w:r w:rsidR="00883A0E">
        <w:rPr>
          <w:sz w:val="22"/>
          <w:szCs w:val="22"/>
        </w:rPr>
        <w:t xml:space="preserve">are </w:t>
      </w:r>
      <w:r w:rsidR="00073541">
        <w:rPr>
          <w:sz w:val="22"/>
          <w:szCs w:val="22"/>
        </w:rPr>
        <w:t>minority-owned, or provide programming to</w:t>
      </w:r>
      <w:r w:rsidR="003F20EA">
        <w:rPr>
          <w:sz w:val="22"/>
          <w:szCs w:val="22"/>
        </w:rPr>
        <w:t xml:space="preserve"> underserved audiences.</w:t>
      </w:r>
      <w:r w:rsidR="00DE150A">
        <w:rPr>
          <w:sz w:val="22"/>
          <w:szCs w:val="22"/>
        </w:rPr>
        <w:t xml:space="preserve"> </w:t>
      </w:r>
    </w:p>
    <w:p w:rsidR="0005584B" w:rsidRDefault="0005584B" w:rsidP="00B4632A">
      <w:pPr>
        <w:rPr>
          <w:sz w:val="22"/>
          <w:szCs w:val="22"/>
        </w:rPr>
      </w:pPr>
    </w:p>
    <w:p w:rsidR="0005584B" w:rsidRDefault="0005584B" w:rsidP="00B4632A">
      <w:pPr>
        <w:rPr>
          <w:sz w:val="22"/>
          <w:szCs w:val="22"/>
        </w:rPr>
      </w:pPr>
      <w:r>
        <w:rPr>
          <w:sz w:val="22"/>
          <w:szCs w:val="22"/>
        </w:rPr>
        <w:t>To learn</w:t>
      </w:r>
      <w:r w:rsidRPr="0005584B">
        <w:rPr>
          <w:sz w:val="22"/>
          <w:szCs w:val="22"/>
        </w:rPr>
        <w:t xml:space="preserve"> more about the incentive auction, visit </w:t>
      </w:r>
      <w:hyperlink r:id="rId9" w:history="1">
        <w:r w:rsidRPr="00692A6A">
          <w:rPr>
            <w:rStyle w:val="Hyperlink"/>
            <w:sz w:val="22"/>
            <w:szCs w:val="22"/>
          </w:rPr>
          <w:t>www.fcc.gov/incentiveauctions</w:t>
        </w:r>
      </w:hyperlink>
      <w:r>
        <w:rPr>
          <w:sz w:val="22"/>
          <w:szCs w:val="22"/>
        </w:rPr>
        <w:t xml:space="preserve">. </w:t>
      </w:r>
    </w:p>
    <w:p w:rsidR="0094726F" w:rsidRDefault="0094726F" w:rsidP="00B4632A">
      <w:pPr>
        <w:rPr>
          <w:sz w:val="22"/>
          <w:szCs w:val="22"/>
        </w:rPr>
      </w:pPr>
    </w:p>
    <w:p w:rsidR="00B4632A" w:rsidRDefault="00B4632A" w:rsidP="00B4632A">
      <w:pPr>
        <w:rPr>
          <w:sz w:val="22"/>
          <w:szCs w:val="22"/>
        </w:rPr>
      </w:pPr>
    </w:p>
    <w:p w:rsidR="00B4632A" w:rsidRDefault="00B4632A" w:rsidP="00B4632A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B4632A">
        <w:rPr>
          <w:rFonts w:ascii="Times New Roman" w:hAnsi="Times New Roman"/>
          <w:sz w:val="22"/>
          <w:szCs w:val="22"/>
        </w:rPr>
        <w:t xml:space="preserve">Action by the Commission March 23, 2017 by Report and </w:t>
      </w:r>
      <w:r>
        <w:rPr>
          <w:rFonts w:ascii="Times New Roman" w:hAnsi="Times New Roman"/>
          <w:sz w:val="22"/>
          <w:szCs w:val="22"/>
        </w:rPr>
        <w:t xml:space="preserve">Order (FCC 17-29). </w:t>
      </w:r>
      <w:r w:rsidRPr="00B4632A">
        <w:rPr>
          <w:rFonts w:ascii="Times New Roman" w:hAnsi="Times New Roman"/>
          <w:sz w:val="22"/>
          <w:szCs w:val="22"/>
        </w:rPr>
        <w:t>Chairman Pai, Commissioner O’Rielly approving. Commissioner Clyburn approving in part and concurring in part.  Chairman Pai, Commissioners Clyburn and O’Rielly issuing separate statements.</w:t>
      </w:r>
    </w:p>
    <w:p w:rsidR="00B4632A" w:rsidRDefault="00B4632A" w:rsidP="00B4632A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</w:p>
    <w:p w:rsidR="009E5A95" w:rsidRDefault="00B4632A" w:rsidP="00B4632A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B4632A">
        <w:rPr>
          <w:rFonts w:ascii="Times New Roman" w:hAnsi="Times New Roman"/>
          <w:sz w:val="22"/>
          <w:szCs w:val="22"/>
        </w:rPr>
        <w:t>GN Docket No. 12-268; MB Docket No. 03-185; MB Docket No. 15-137</w:t>
      </w:r>
    </w:p>
    <w:p w:rsidR="00B4632A" w:rsidRPr="00752C75" w:rsidRDefault="00B4632A" w:rsidP="00B4632A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3D0CB7" w:rsidRDefault="0032720D" w:rsidP="00B4632A">
      <w:pPr>
        <w:ind w:right="240"/>
        <w:jc w:val="center"/>
        <w:rPr>
          <w:sz w:val="22"/>
          <w:szCs w:val="22"/>
        </w:rPr>
      </w:pPr>
      <w:r w:rsidRPr="00752C75">
        <w:rPr>
          <w:sz w:val="22"/>
          <w:szCs w:val="22"/>
        </w:rPr>
        <w:t>###</w:t>
      </w:r>
    </w:p>
    <w:p w:rsidR="00B4632A" w:rsidRDefault="00B4632A" w:rsidP="00883A0E">
      <w:pPr>
        <w:ind w:right="240"/>
        <w:jc w:val="center"/>
        <w:rPr>
          <w:sz w:val="22"/>
          <w:szCs w:val="22"/>
        </w:rPr>
      </w:pPr>
    </w:p>
    <w:p w:rsidR="0032720D" w:rsidRPr="00B4632A" w:rsidRDefault="0032720D" w:rsidP="00883A0E">
      <w:pPr>
        <w:ind w:right="240"/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Office of Media Relations: (202) 418-0500</w:t>
      </w:r>
    </w:p>
    <w:p w:rsidR="0032720D" w:rsidRPr="00B4632A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TTY: (888) 835-5322</w:t>
      </w:r>
    </w:p>
    <w:p w:rsidR="0032720D" w:rsidRPr="00B4632A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Twitter: @FCC</w:t>
      </w:r>
    </w:p>
    <w:p w:rsidR="0032720D" w:rsidRPr="00B4632A" w:rsidRDefault="004F3171" w:rsidP="0048313B">
      <w:pPr>
        <w:ind w:right="498"/>
        <w:jc w:val="center"/>
        <w:rPr>
          <w:b/>
          <w:bCs/>
          <w:sz w:val="18"/>
          <w:szCs w:val="18"/>
        </w:rPr>
      </w:pPr>
      <w:hyperlink r:id="rId10" w:history="1">
        <w:r w:rsidR="00B21029" w:rsidRPr="00B4632A">
          <w:rPr>
            <w:rStyle w:val="Hyperlink"/>
            <w:b/>
            <w:bCs/>
            <w:sz w:val="18"/>
            <w:szCs w:val="18"/>
          </w:rPr>
          <w:t>www.fcc.gov/office-media-relations</w:t>
        </w:r>
      </w:hyperlink>
    </w:p>
    <w:p w:rsidR="00B21029" w:rsidRPr="00B4632A" w:rsidRDefault="00B21029" w:rsidP="0048313B">
      <w:pPr>
        <w:ind w:right="498"/>
        <w:jc w:val="center"/>
        <w:rPr>
          <w:b/>
          <w:bCs/>
          <w:sz w:val="18"/>
          <w:szCs w:val="18"/>
        </w:rPr>
      </w:pPr>
    </w:p>
    <w:p w:rsidR="00F72607" w:rsidRPr="00B4632A" w:rsidRDefault="0032720D" w:rsidP="00AA1DDB">
      <w:pPr>
        <w:ind w:right="498"/>
        <w:jc w:val="center"/>
        <w:rPr>
          <w:bCs/>
          <w:i/>
          <w:sz w:val="18"/>
          <w:szCs w:val="18"/>
        </w:rPr>
      </w:pPr>
      <w:r w:rsidRPr="00B4632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sectPr w:rsidR="00F72607" w:rsidRPr="00B46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0C" w:rsidRDefault="00027C0C" w:rsidP="001400B6">
      <w:r>
        <w:separator/>
      </w:r>
    </w:p>
  </w:endnote>
  <w:endnote w:type="continuationSeparator" w:id="0">
    <w:p w:rsidR="00027C0C" w:rsidRDefault="00027C0C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A" w:rsidRDefault="00D07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A" w:rsidRDefault="00D073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A" w:rsidRDefault="00D0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0C" w:rsidRDefault="00027C0C" w:rsidP="001400B6">
      <w:r>
        <w:separator/>
      </w:r>
    </w:p>
  </w:footnote>
  <w:footnote w:type="continuationSeparator" w:id="0">
    <w:p w:rsidR="00027C0C" w:rsidRDefault="00027C0C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A" w:rsidRDefault="00D07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A" w:rsidRDefault="00D07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A" w:rsidRDefault="00D07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9FB"/>
    <w:multiLevelType w:val="multilevel"/>
    <w:tmpl w:val="42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E6B92"/>
    <w:multiLevelType w:val="hybridMultilevel"/>
    <w:tmpl w:val="2FA07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558"/>
    <w:multiLevelType w:val="hybridMultilevel"/>
    <w:tmpl w:val="C4D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75A2"/>
    <w:multiLevelType w:val="hybridMultilevel"/>
    <w:tmpl w:val="0E4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AE9"/>
    <w:multiLevelType w:val="multilevel"/>
    <w:tmpl w:val="C4441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C4ED3"/>
    <w:multiLevelType w:val="hybridMultilevel"/>
    <w:tmpl w:val="4C3CFC80"/>
    <w:lvl w:ilvl="0" w:tplc="99E6BD5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27C0C"/>
    <w:rsid w:val="00031F98"/>
    <w:rsid w:val="00032587"/>
    <w:rsid w:val="00055522"/>
    <w:rsid w:val="0005584B"/>
    <w:rsid w:val="00070A20"/>
    <w:rsid w:val="000734F6"/>
    <w:rsid w:val="00073541"/>
    <w:rsid w:val="00084419"/>
    <w:rsid w:val="0009037F"/>
    <w:rsid w:val="000B4006"/>
    <w:rsid w:val="000C28D9"/>
    <w:rsid w:val="000D0E9E"/>
    <w:rsid w:val="000D7F8B"/>
    <w:rsid w:val="000E774D"/>
    <w:rsid w:val="000F209A"/>
    <w:rsid w:val="000F29BF"/>
    <w:rsid w:val="000F5167"/>
    <w:rsid w:val="000F7334"/>
    <w:rsid w:val="0012085E"/>
    <w:rsid w:val="001400B6"/>
    <w:rsid w:val="00142F67"/>
    <w:rsid w:val="00147287"/>
    <w:rsid w:val="00152CF0"/>
    <w:rsid w:val="0015406C"/>
    <w:rsid w:val="001661E2"/>
    <w:rsid w:val="001702CF"/>
    <w:rsid w:val="00181E6F"/>
    <w:rsid w:val="001916EB"/>
    <w:rsid w:val="00195344"/>
    <w:rsid w:val="00196208"/>
    <w:rsid w:val="001A64D9"/>
    <w:rsid w:val="001B3F67"/>
    <w:rsid w:val="001B4CC9"/>
    <w:rsid w:val="001C1B07"/>
    <w:rsid w:val="001D184A"/>
    <w:rsid w:val="001D460D"/>
    <w:rsid w:val="001D6FD5"/>
    <w:rsid w:val="001E7CBF"/>
    <w:rsid w:val="001F6866"/>
    <w:rsid w:val="00215053"/>
    <w:rsid w:val="00224D54"/>
    <w:rsid w:val="002277CD"/>
    <w:rsid w:val="00237076"/>
    <w:rsid w:val="002410AE"/>
    <w:rsid w:val="00254CF1"/>
    <w:rsid w:val="00266602"/>
    <w:rsid w:val="002730C2"/>
    <w:rsid w:val="00273C4C"/>
    <w:rsid w:val="00290C59"/>
    <w:rsid w:val="00296CB5"/>
    <w:rsid w:val="002A0E3A"/>
    <w:rsid w:val="002A520F"/>
    <w:rsid w:val="002B46B1"/>
    <w:rsid w:val="002B5E9C"/>
    <w:rsid w:val="002C1471"/>
    <w:rsid w:val="002C63E2"/>
    <w:rsid w:val="002E046E"/>
    <w:rsid w:val="002F3240"/>
    <w:rsid w:val="00314885"/>
    <w:rsid w:val="0032272B"/>
    <w:rsid w:val="0032337F"/>
    <w:rsid w:val="003243AD"/>
    <w:rsid w:val="0032720D"/>
    <w:rsid w:val="00331884"/>
    <w:rsid w:val="00333FBF"/>
    <w:rsid w:val="00351C5F"/>
    <w:rsid w:val="00356D13"/>
    <w:rsid w:val="00356EB0"/>
    <w:rsid w:val="00373A66"/>
    <w:rsid w:val="003743CC"/>
    <w:rsid w:val="00376781"/>
    <w:rsid w:val="00376BBC"/>
    <w:rsid w:val="0037765D"/>
    <w:rsid w:val="00382C86"/>
    <w:rsid w:val="00386E13"/>
    <w:rsid w:val="00391976"/>
    <w:rsid w:val="00396654"/>
    <w:rsid w:val="003B4408"/>
    <w:rsid w:val="003D0CB7"/>
    <w:rsid w:val="003D604A"/>
    <w:rsid w:val="003D75E5"/>
    <w:rsid w:val="003E1FD7"/>
    <w:rsid w:val="003E7851"/>
    <w:rsid w:val="003F20EA"/>
    <w:rsid w:val="00401413"/>
    <w:rsid w:val="00402B2E"/>
    <w:rsid w:val="0040507A"/>
    <w:rsid w:val="00410568"/>
    <w:rsid w:val="00414293"/>
    <w:rsid w:val="004168B2"/>
    <w:rsid w:val="004228FD"/>
    <w:rsid w:val="00434A6B"/>
    <w:rsid w:val="00437D06"/>
    <w:rsid w:val="0044134E"/>
    <w:rsid w:val="00442926"/>
    <w:rsid w:val="00445262"/>
    <w:rsid w:val="004627C3"/>
    <w:rsid w:val="00464531"/>
    <w:rsid w:val="0047080C"/>
    <w:rsid w:val="00475734"/>
    <w:rsid w:val="004769F7"/>
    <w:rsid w:val="0048313B"/>
    <w:rsid w:val="004903FB"/>
    <w:rsid w:val="004A0D8F"/>
    <w:rsid w:val="004A65EB"/>
    <w:rsid w:val="004B18B4"/>
    <w:rsid w:val="004B7B07"/>
    <w:rsid w:val="004C58FC"/>
    <w:rsid w:val="004C5C87"/>
    <w:rsid w:val="004D6DD8"/>
    <w:rsid w:val="004E0914"/>
    <w:rsid w:val="004F3171"/>
    <w:rsid w:val="00504462"/>
    <w:rsid w:val="005244AF"/>
    <w:rsid w:val="00526D74"/>
    <w:rsid w:val="005276A1"/>
    <w:rsid w:val="00531B29"/>
    <w:rsid w:val="0053449D"/>
    <w:rsid w:val="00537FC4"/>
    <w:rsid w:val="00540DA0"/>
    <w:rsid w:val="00540F30"/>
    <w:rsid w:val="005432E4"/>
    <w:rsid w:val="00566C18"/>
    <w:rsid w:val="00574AED"/>
    <w:rsid w:val="00575A67"/>
    <w:rsid w:val="005814C1"/>
    <w:rsid w:val="00582600"/>
    <w:rsid w:val="00585A7F"/>
    <w:rsid w:val="00591125"/>
    <w:rsid w:val="0059692B"/>
    <w:rsid w:val="0059766A"/>
    <w:rsid w:val="005B36B2"/>
    <w:rsid w:val="005B769C"/>
    <w:rsid w:val="005F6906"/>
    <w:rsid w:val="00607D7C"/>
    <w:rsid w:val="00613FD4"/>
    <w:rsid w:val="00614A2F"/>
    <w:rsid w:val="00623CA7"/>
    <w:rsid w:val="0064296A"/>
    <w:rsid w:val="00645013"/>
    <w:rsid w:val="0065428B"/>
    <w:rsid w:val="00654D6B"/>
    <w:rsid w:val="00675768"/>
    <w:rsid w:val="00693C05"/>
    <w:rsid w:val="00696879"/>
    <w:rsid w:val="00696FBF"/>
    <w:rsid w:val="006A1544"/>
    <w:rsid w:val="006A3618"/>
    <w:rsid w:val="006A396F"/>
    <w:rsid w:val="006A49E9"/>
    <w:rsid w:val="006B06E1"/>
    <w:rsid w:val="006B17BD"/>
    <w:rsid w:val="006B4938"/>
    <w:rsid w:val="006C4926"/>
    <w:rsid w:val="006C7D1A"/>
    <w:rsid w:val="006D46D8"/>
    <w:rsid w:val="006D53D6"/>
    <w:rsid w:val="007008E7"/>
    <w:rsid w:val="007033D4"/>
    <w:rsid w:val="007144DD"/>
    <w:rsid w:val="007208DD"/>
    <w:rsid w:val="00723D6B"/>
    <w:rsid w:val="00727EA0"/>
    <w:rsid w:val="00730208"/>
    <w:rsid w:val="00734A22"/>
    <w:rsid w:val="007440BD"/>
    <w:rsid w:val="00746B6B"/>
    <w:rsid w:val="00746D50"/>
    <w:rsid w:val="007507D9"/>
    <w:rsid w:val="00752C75"/>
    <w:rsid w:val="00753905"/>
    <w:rsid w:val="007654F8"/>
    <w:rsid w:val="007736FC"/>
    <w:rsid w:val="00783513"/>
    <w:rsid w:val="0078531B"/>
    <w:rsid w:val="007854A8"/>
    <w:rsid w:val="00793470"/>
    <w:rsid w:val="0079704C"/>
    <w:rsid w:val="00797392"/>
    <w:rsid w:val="007A18B1"/>
    <w:rsid w:val="007A2F8E"/>
    <w:rsid w:val="007A5F42"/>
    <w:rsid w:val="007A6D93"/>
    <w:rsid w:val="007B56C6"/>
    <w:rsid w:val="007C63D9"/>
    <w:rsid w:val="007C6890"/>
    <w:rsid w:val="007D0C3F"/>
    <w:rsid w:val="007D25D9"/>
    <w:rsid w:val="007E14DE"/>
    <w:rsid w:val="007E1CFE"/>
    <w:rsid w:val="007E5D88"/>
    <w:rsid w:val="007F58BB"/>
    <w:rsid w:val="0080027C"/>
    <w:rsid w:val="0080352F"/>
    <w:rsid w:val="00812BBF"/>
    <w:rsid w:val="008133BB"/>
    <w:rsid w:val="0083580E"/>
    <w:rsid w:val="00851202"/>
    <w:rsid w:val="00856637"/>
    <w:rsid w:val="0086167D"/>
    <w:rsid w:val="0086579A"/>
    <w:rsid w:val="008813CC"/>
    <w:rsid w:val="00881EAE"/>
    <w:rsid w:val="00883A0E"/>
    <w:rsid w:val="008A0959"/>
    <w:rsid w:val="008B2D44"/>
    <w:rsid w:val="008C0E1F"/>
    <w:rsid w:val="008E3991"/>
    <w:rsid w:val="008F4AA6"/>
    <w:rsid w:val="00901587"/>
    <w:rsid w:val="00906469"/>
    <w:rsid w:val="0091471F"/>
    <w:rsid w:val="009148D6"/>
    <w:rsid w:val="00917848"/>
    <w:rsid w:val="00921F62"/>
    <w:rsid w:val="00942ED3"/>
    <w:rsid w:val="00946629"/>
    <w:rsid w:val="0094726F"/>
    <w:rsid w:val="009618C2"/>
    <w:rsid w:val="009746A8"/>
    <w:rsid w:val="0097703D"/>
    <w:rsid w:val="00983D33"/>
    <w:rsid w:val="009902D5"/>
    <w:rsid w:val="00991CAA"/>
    <w:rsid w:val="00996D00"/>
    <w:rsid w:val="009A4976"/>
    <w:rsid w:val="009A5480"/>
    <w:rsid w:val="009C71CE"/>
    <w:rsid w:val="009D0313"/>
    <w:rsid w:val="009D3A69"/>
    <w:rsid w:val="009D5C2B"/>
    <w:rsid w:val="009D5E0A"/>
    <w:rsid w:val="009D7BB2"/>
    <w:rsid w:val="009E2A57"/>
    <w:rsid w:val="009E5A95"/>
    <w:rsid w:val="009E784A"/>
    <w:rsid w:val="009F1586"/>
    <w:rsid w:val="009F1DE1"/>
    <w:rsid w:val="00A333A3"/>
    <w:rsid w:val="00A37D09"/>
    <w:rsid w:val="00A415B6"/>
    <w:rsid w:val="00A41D1D"/>
    <w:rsid w:val="00A42684"/>
    <w:rsid w:val="00A47426"/>
    <w:rsid w:val="00A516EB"/>
    <w:rsid w:val="00A5660C"/>
    <w:rsid w:val="00A56BA5"/>
    <w:rsid w:val="00A610EE"/>
    <w:rsid w:val="00A64F1D"/>
    <w:rsid w:val="00A82948"/>
    <w:rsid w:val="00A909DE"/>
    <w:rsid w:val="00A9389A"/>
    <w:rsid w:val="00A94359"/>
    <w:rsid w:val="00A965BB"/>
    <w:rsid w:val="00AA1DDB"/>
    <w:rsid w:val="00AB3C7E"/>
    <w:rsid w:val="00AC24DE"/>
    <w:rsid w:val="00AC4D9B"/>
    <w:rsid w:val="00AC5830"/>
    <w:rsid w:val="00AE0574"/>
    <w:rsid w:val="00AE45A4"/>
    <w:rsid w:val="00AF5B6B"/>
    <w:rsid w:val="00AF6E3B"/>
    <w:rsid w:val="00AF7EAD"/>
    <w:rsid w:val="00B0263D"/>
    <w:rsid w:val="00B21029"/>
    <w:rsid w:val="00B21E2E"/>
    <w:rsid w:val="00B240F1"/>
    <w:rsid w:val="00B25CA7"/>
    <w:rsid w:val="00B309D6"/>
    <w:rsid w:val="00B36F7B"/>
    <w:rsid w:val="00B425B0"/>
    <w:rsid w:val="00B43514"/>
    <w:rsid w:val="00B4632A"/>
    <w:rsid w:val="00B5542E"/>
    <w:rsid w:val="00B579DD"/>
    <w:rsid w:val="00B6348C"/>
    <w:rsid w:val="00B654FF"/>
    <w:rsid w:val="00B719E8"/>
    <w:rsid w:val="00B80D9C"/>
    <w:rsid w:val="00B92770"/>
    <w:rsid w:val="00B95543"/>
    <w:rsid w:val="00B9643E"/>
    <w:rsid w:val="00B96551"/>
    <w:rsid w:val="00BA2A64"/>
    <w:rsid w:val="00BA55B2"/>
    <w:rsid w:val="00BA7803"/>
    <w:rsid w:val="00BF7AA7"/>
    <w:rsid w:val="00C024D7"/>
    <w:rsid w:val="00C13CD0"/>
    <w:rsid w:val="00C15534"/>
    <w:rsid w:val="00C26D0B"/>
    <w:rsid w:val="00C37157"/>
    <w:rsid w:val="00C4117A"/>
    <w:rsid w:val="00C502E9"/>
    <w:rsid w:val="00C53B12"/>
    <w:rsid w:val="00C54820"/>
    <w:rsid w:val="00C60F63"/>
    <w:rsid w:val="00C73021"/>
    <w:rsid w:val="00C75A26"/>
    <w:rsid w:val="00C7657A"/>
    <w:rsid w:val="00C85BC6"/>
    <w:rsid w:val="00C905F4"/>
    <w:rsid w:val="00CA11DA"/>
    <w:rsid w:val="00CA1D99"/>
    <w:rsid w:val="00CA26AF"/>
    <w:rsid w:val="00CA5EC2"/>
    <w:rsid w:val="00CA7E76"/>
    <w:rsid w:val="00CC2D56"/>
    <w:rsid w:val="00CC6CA8"/>
    <w:rsid w:val="00CC7DF8"/>
    <w:rsid w:val="00CD3233"/>
    <w:rsid w:val="00CD426E"/>
    <w:rsid w:val="00CD56CB"/>
    <w:rsid w:val="00CD636A"/>
    <w:rsid w:val="00CE302C"/>
    <w:rsid w:val="00CF2645"/>
    <w:rsid w:val="00CF43C4"/>
    <w:rsid w:val="00D05650"/>
    <w:rsid w:val="00D0736A"/>
    <w:rsid w:val="00D16CB7"/>
    <w:rsid w:val="00D22F53"/>
    <w:rsid w:val="00D263D9"/>
    <w:rsid w:val="00D33870"/>
    <w:rsid w:val="00D340E3"/>
    <w:rsid w:val="00D34DF1"/>
    <w:rsid w:val="00D41BB5"/>
    <w:rsid w:val="00D54297"/>
    <w:rsid w:val="00D56A72"/>
    <w:rsid w:val="00D56DDC"/>
    <w:rsid w:val="00D635BC"/>
    <w:rsid w:val="00D70187"/>
    <w:rsid w:val="00D75466"/>
    <w:rsid w:val="00D81570"/>
    <w:rsid w:val="00D81B5B"/>
    <w:rsid w:val="00D86AF6"/>
    <w:rsid w:val="00DB6FAA"/>
    <w:rsid w:val="00DC54BB"/>
    <w:rsid w:val="00DE0872"/>
    <w:rsid w:val="00DE1424"/>
    <w:rsid w:val="00DE150A"/>
    <w:rsid w:val="00DE237F"/>
    <w:rsid w:val="00DE3753"/>
    <w:rsid w:val="00DE6853"/>
    <w:rsid w:val="00DE6A49"/>
    <w:rsid w:val="00DF4732"/>
    <w:rsid w:val="00DF5761"/>
    <w:rsid w:val="00DF6AB4"/>
    <w:rsid w:val="00DF7FD4"/>
    <w:rsid w:val="00E17FFA"/>
    <w:rsid w:val="00E24367"/>
    <w:rsid w:val="00E2781E"/>
    <w:rsid w:val="00E32B9D"/>
    <w:rsid w:val="00E46D78"/>
    <w:rsid w:val="00E50430"/>
    <w:rsid w:val="00E5146C"/>
    <w:rsid w:val="00E5217D"/>
    <w:rsid w:val="00E5749A"/>
    <w:rsid w:val="00E6788A"/>
    <w:rsid w:val="00E74A5E"/>
    <w:rsid w:val="00E774B2"/>
    <w:rsid w:val="00E8288A"/>
    <w:rsid w:val="00E85794"/>
    <w:rsid w:val="00E9282B"/>
    <w:rsid w:val="00EB60A9"/>
    <w:rsid w:val="00EB796E"/>
    <w:rsid w:val="00ED7931"/>
    <w:rsid w:val="00EE4B6E"/>
    <w:rsid w:val="00EE5C1C"/>
    <w:rsid w:val="00F049B5"/>
    <w:rsid w:val="00F21BD0"/>
    <w:rsid w:val="00F26150"/>
    <w:rsid w:val="00F3225C"/>
    <w:rsid w:val="00F431B8"/>
    <w:rsid w:val="00F43613"/>
    <w:rsid w:val="00F655B8"/>
    <w:rsid w:val="00F72607"/>
    <w:rsid w:val="00F74FF0"/>
    <w:rsid w:val="00F84255"/>
    <w:rsid w:val="00F93138"/>
    <w:rsid w:val="00FA6DA6"/>
    <w:rsid w:val="00FB2AD8"/>
    <w:rsid w:val="00FB2B39"/>
    <w:rsid w:val="00FB30AB"/>
    <w:rsid w:val="00FB3FF6"/>
    <w:rsid w:val="00FB6D02"/>
    <w:rsid w:val="00FC5FA9"/>
    <w:rsid w:val="00FD010A"/>
    <w:rsid w:val="00FD0BB0"/>
    <w:rsid w:val="00FE05C0"/>
    <w:rsid w:val="00FE1F7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incentivea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2270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2017-03-23T16:28:00Z</cp:lastPrinted>
  <dcterms:created xsi:type="dcterms:W3CDTF">2017-03-23T16:37:00Z</dcterms:created>
  <dcterms:modified xsi:type="dcterms:W3CDTF">2017-03-23T16:37:00Z</dcterms:modified>
  <cp:category> </cp:category>
  <cp:contentStatus> </cp:contentStatus>
</cp:coreProperties>
</file>