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5AAA4DA2" w14:textId="77777777" w:rsidTr="006D5D22">
        <w:trPr>
          <w:trHeight w:val="2181"/>
        </w:trPr>
        <w:tc>
          <w:tcPr>
            <w:tcW w:w="8856" w:type="dxa"/>
          </w:tcPr>
          <w:p w14:paraId="40D81ECE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A3812D9" wp14:editId="3437F3C3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22AA4A" w14:textId="77777777" w:rsidR="00426518" w:rsidRDefault="00426518" w:rsidP="00B57131">
            <w:pPr>
              <w:rPr>
                <w:b/>
                <w:bCs/>
              </w:rPr>
            </w:pPr>
          </w:p>
          <w:p w14:paraId="52EBB079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36DDF8C2" w14:textId="77777777" w:rsidR="007A44F8" w:rsidRPr="008A3940" w:rsidRDefault="0053441E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418-0253</w:t>
            </w:r>
          </w:p>
          <w:p w14:paraId="7C9D0C68" w14:textId="77777777" w:rsidR="00FF232D" w:rsidRPr="008A3940" w:rsidRDefault="0053441E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2FF1DB22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6C7069D0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2F982ED3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8B5C6D8" w14:textId="77777777" w:rsidR="00B03487" w:rsidRDefault="000E049E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2224BA">
              <w:rPr>
                <w:b/>
                <w:bCs/>
                <w:sz w:val="26"/>
                <w:szCs w:val="26"/>
              </w:rPr>
              <w:t>ADVANCE</w:t>
            </w:r>
            <w:r w:rsidR="000E1251">
              <w:rPr>
                <w:b/>
                <w:bCs/>
                <w:sz w:val="26"/>
                <w:szCs w:val="26"/>
              </w:rPr>
              <w:t>S</w:t>
            </w:r>
            <w:r w:rsidR="002224BA">
              <w:rPr>
                <w:b/>
                <w:bCs/>
                <w:sz w:val="26"/>
                <w:szCs w:val="26"/>
              </w:rPr>
              <w:t xml:space="preserve"> </w:t>
            </w:r>
            <w:r w:rsidR="001D35C7">
              <w:rPr>
                <w:b/>
                <w:bCs/>
                <w:sz w:val="26"/>
                <w:szCs w:val="26"/>
              </w:rPr>
              <w:t xml:space="preserve">COMPETITION </w:t>
            </w:r>
            <w:r w:rsidR="000E1251">
              <w:rPr>
                <w:b/>
                <w:bCs/>
                <w:sz w:val="26"/>
                <w:szCs w:val="26"/>
              </w:rPr>
              <w:t xml:space="preserve">AND INVESTMENT </w:t>
            </w:r>
            <w:r w:rsidR="001D35C7">
              <w:rPr>
                <w:b/>
                <w:bCs/>
                <w:sz w:val="26"/>
                <w:szCs w:val="26"/>
              </w:rPr>
              <w:t xml:space="preserve">IN </w:t>
            </w:r>
          </w:p>
          <w:p w14:paraId="7C491B9B" w14:textId="509A25A2" w:rsidR="001D35C7" w:rsidRDefault="001D35C7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THE BUSINESS DATA SERVICES MARKET </w:t>
            </w:r>
          </w:p>
          <w:p w14:paraId="4B57F9C5" w14:textId="77777777" w:rsidR="003E573E" w:rsidRDefault="000E1251" w:rsidP="0004012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3E573E">
              <w:rPr>
                <w:b/>
                <w:bCs/>
                <w:i/>
              </w:rPr>
              <w:t xml:space="preserve">Modernized </w:t>
            </w:r>
            <w:r w:rsidR="00161BA0" w:rsidRPr="003E573E">
              <w:rPr>
                <w:b/>
                <w:bCs/>
                <w:i/>
              </w:rPr>
              <w:t>Framework Will Spur Deliv</w:t>
            </w:r>
            <w:r w:rsidR="004F221E" w:rsidRPr="003E573E">
              <w:rPr>
                <w:b/>
                <w:bCs/>
                <w:i/>
              </w:rPr>
              <w:t xml:space="preserve">ery of New Products &amp; Services, </w:t>
            </w:r>
          </w:p>
          <w:p w14:paraId="0B4ED783" w14:textId="0915D3BC" w:rsidR="00161BA0" w:rsidRPr="003E573E" w:rsidRDefault="00161BA0" w:rsidP="0004012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3E573E">
              <w:rPr>
                <w:b/>
                <w:bCs/>
                <w:i/>
              </w:rPr>
              <w:t>Benefit</w:t>
            </w:r>
            <w:r w:rsidR="004F221E" w:rsidRPr="003E573E">
              <w:rPr>
                <w:b/>
                <w:bCs/>
                <w:i/>
              </w:rPr>
              <w:t>ing</w:t>
            </w:r>
            <w:r w:rsidRPr="003E573E">
              <w:rPr>
                <w:b/>
                <w:bCs/>
                <w:i/>
              </w:rPr>
              <w:t xml:space="preserve"> Consumers, Businesses</w:t>
            </w:r>
          </w:p>
          <w:p w14:paraId="6AAE60B4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3EC0C85C" w14:textId="37B4271E" w:rsidR="00BD19E8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200B4D">
              <w:rPr>
                <w:sz w:val="22"/>
                <w:szCs w:val="22"/>
              </w:rPr>
              <w:t>April 20, 2017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200B4D">
              <w:rPr>
                <w:sz w:val="22"/>
                <w:szCs w:val="22"/>
              </w:rPr>
              <w:t xml:space="preserve">Recognizing substantial and growing competition in the market for </w:t>
            </w:r>
            <w:r w:rsidR="00AF5B87">
              <w:rPr>
                <w:sz w:val="22"/>
                <w:szCs w:val="22"/>
              </w:rPr>
              <w:t>business data services</w:t>
            </w:r>
            <w:r w:rsidR="00200B4D">
              <w:rPr>
                <w:sz w:val="22"/>
                <w:szCs w:val="22"/>
              </w:rPr>
              <w:t xml:space="preserve">, the Federal Communications Commission </w:t>
            </w:r>
            <w:r w:rsidR="0070480D">
              <w:rPr>
                <w:sz w:val="22"/>
                <w:szCs w:val="22"/>
              </w:rPr>
              <w:t>today eased outdated</w:t>
            </w:r>
            <w:r w:rsidR="000D3FFF">
              <w:rPr>
                <w:sz w:val="22"/>
                <w:szCs w:val="22"/>
              </w:rPr>
              <w:t xml:space="preserve"> pricing</w:t>
            </w:r>
            <w:r w:rsidR="0070480D">
              <w:rPr>
                <w:sz w:val="22"/>
                <w:szCs w:val="22"/>
              </w:rPr>
              <w:t xml:space="preserve"> rules to enable </w:t>
            </w:r>
            <w:r w:rsidR="001A7BE4">
              <w:rPr>
                <w:sz w:val="22"/>
                <w:szCs w:val="22"/>
              </w:rPr>
              <w:t xml:space="preserve">continued robust growth in </w:t>
            </w:r>
            <w:r w:rsidR="00200B4D">
              <w:rPr>
                <w:sz w:val="22"/>
                <w:szCs w:val="22"/>
              </w:rPr>
              <w:t>the market</w:t>
            </w:r>
            <w:r w:rsidR="001A7BE4">
              <w:rPr>
                <w:sz w:val="22"/>
                <w:szCs w:val="22"/>
              </w:rPr>
              <w:t>.</w:t>
            </w:r>
          </w:p>
          <w:p w14:paraId="04D34BA4" w14:textId="77777777" w:rsidR="00200B4D" w:rsidRDefault="00200B4D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9097A5E" w14:textId="0E67586E" w:rsidR="00200B4D" w:rsidRDefault="000562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data service</w:t>
            </w:r>
            <w:r w:rsidR="00DB7633">
              <w:rPr>
                <w:sz w:val="22"/>
                <w:szCs w:val="22"/>
              </w:rPr>
              <w:t>s</w:t>
            </w:r>
            <w:r w:rsidR="00150C1E">
              <w:rPr>
                <w:sz w:val="22"/>
                <w:szCs w:val="22"/>
              </w:rPr>
              <w:t>, known also as BDS,</w:t>
            </w:r>
            <w:r w:rsidR="00C03899">
              <w:rPr>
                <w:sz w:val="22"/>
                <w:szCs w:val="22"/>
              </w:rPr>
              <w:t xml:space="preserve"> </w:t>
            </w:r>
            <w:r w:rsidR="000E1251">
              <w:rPr>
                <w:sz w:val="22"/>
                <w:szCs w:val="22"/>
              </w:rPr>
              <w:t>are</w:t>
            </w:r>
            <w:r w:rsidR="00AA274C">
              <w:rPr>
                <w:sz w:val="22"/>
                <w:szCs w:val="22"/>
              </w:rPr>
              <w:t xml:space="preserve"> </w:t>
            </w:r>
            <w:r w:rsidR="00DB7633">
              <w:rPr>
                <w:sz w:val="22"/>
                <w:szCs w:val="22"/>
              </w:rPr>
              <w:t>dedicated</w:t>
            </w:r>
            <w:r>
              <w:rPr>
                <w:sz w:val="22"/>
                <w:szCs w:val="22"/>
              </w:rPr>
              <w:t xml:space="preserve"> </w:t>
            </w:r>
            <w:r w:rsidR="0066057E">
              <w:rPr>
                <w:sz w:val="22"/>
                <w:szCs w:val="22"/>
              </w:rPr>
              <w:t xml:space="preserve">connectivity </w:t>
            </w:r>
            <w:r>
              <w:rPr>
                <w:sz w:val="22"/>
                <w:szCs w:val="22"/>
              </w:rPr>
              <w:t>use</w:t>
            </w:r>
            <w:r w:rsidR="00C03899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by businesses, non-profits</w:t>
            </w:r>
            <w:r w:rsidR="000E12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government institutions to </w:t>
            </w:r>
            <w:r w:rsidR="001A7BE4">
              <w:rPr>
                <w:sz w:val="22"/>
                <w:szCs w:val="22"/>
              </w:rPr>
              <w:t xml:space="preserve">meet their needs for </w:t>
            </w:r>
            <w:r>
              <w:rPr>
                <w:sz w:val="22"/>
                <w:szCs w:val="22"/>
              </w:rPr>
              <w:t xml:space="preserve">secure and reliable </w:t>
            </w:r>
            <w:r w:rsidR="001A7BE4">
              <w:rPr>
                <w:sz w:val="22"/>
                <w:szCs w:val="22"/>
              </w:rPr>
              <w:t>communications</w:t>
            </w:r>
            <w:r>
              <w:rPr>
                <w:sz w:val="22"/>
                <w:szCs w:val="22"/>
              </w:rPr>
              <w:t>.</w:t>
            </w:r>
            <w:r w:rsidR="00AA274C">
              <w:rPr>
                <w:sz w:val="22"/>
                <w:szCs w:val="22"/>
              </w:rPr>
              <w:t xml:space="preserve">  Lower bandwidth services, such as DS1</w:t>
            </w:r>
            <w:r w:rsidR="000E1251">
              <w:rPr>
                <w:sz w:val="22"/>
                <w:szCs w:val="22"/>
              </w:rPr>
              <w:t>s</w:t>
            </w:r>
            <w:r w:rsidR="00AA274C">
              <w:rPr>
                <w:sz w:val="22"/>
                <w:szCs w:val="22"/>
              </w:rPr>
              <w:t xml:space="preserve"> and DS3s, are a segment of the BDS market referred to as special access. </w:t>
            </w:r>
            <w:r w:rsidR="000E1251">
              <w:rPr>
                <w:sz w:val="22"/>
                <w:szCs w:val="22"/>
              </w:rPr>
              <w:t xml:space="preserve"> </w:t>
            </w:r>
            <w:r w:rsidR="00883999">
              <w:rPr>
                <w:sz w:val="22"/>
                <w:szCs w:val="22"/>
              </w:rPr>
              <w:t>BDS</w:t>
            </w:r>
            <w:r w:rsidR="00CA4CCA">
              <w:rPr>
                <w:sz w:val="22"/>
                <w:szCs w:val="22"/>
              </w:rPr>
              <w:t xml:space="preserve"> is essential to the production </w:t>
            </w:r>
            <w:r w:rsidR="00430081">
              <w:rPr>
                <w:sz w:val="22"/>
                <w:szCs w:val="22"/>
              </w:rPr>
              <w:t xml:space="preserve">and delivery </w:t>
            </w:r>
            <w:r w:rsidR="00CA4CCA">
              <w:rPr>
                <w:sz w:val="22"/>
                <w:szCs w:val="22"/>
              </w:rPr>
              <w:t xml:space="preserve">of goods and services across the economy, </w:t>
            </w:r>
            <w:r>
              <w:rPr>
                <w:sz w:val="22"/>
                <w:szCs w:val="22"/>
              </w:rPr>
              <w:t xml:space="preserve">from connecting bank ATM networks </w:t>
            </w:r>
            <w:r w:rsidR="00C03899">
              <w:rPr>
                <w:sz w:val="22"/>
                <w:szCs w:val="22"/>
              </w:rPr>
              <w:t xml:space="preserve">and retail credit-card readers </w:t>
            </w:r>
            <w:r>
              <w:rPr>
                <w:sz w:val="22"/>
                <w:szCs w:val="22"/>
              </w:rPr>
              <w:t xml:space="preserve">to providing enterprise business networks with access to </w:t>
            </w:r>
            <w:r w:rsidR="000D3FFF">
              <w:rPr>
                <w:sz w:val="22"/>
                <w:szCs w:val="22"/>
              </w:rPr>
              <w:t xml:space="preserve">branch offices, </w:t>
            </w:r>
            <w:r>
              <w:rPr>
                <w:sz w:val="22"/>
                <w:szCs w:val="22"/>
              </w:rPr>
              <w:t>the Internet</w:t>
            </w:r>
            <w:r w:rsidR="000D3F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 w:rsidR="005B41AA">
              <w:rPr>
                <w:sz w:val="22"/>
                <w:szCs w:val="22"/>
              </w:rPr>
              <w:t xml:space="preserve"> the cloud.</w:t>
            </w:r>
            <w:r w:rsidR="00AA274C">
              <w:rPr>
                <w:sz w:val="22"/>
                <w:szCs w:val="22"/>
              </w:rPr>
              <w:t xml:space="preserve">  </w:t>
            </w:r>
          </w:p>
          <w:p w14:paraId="3BA82CEF" w14:textId="77777777" w:rsidR="0005620B" w:rsidRDefault="000562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DD09CEC" w14:textId="6487761C" w:rsidR="0005620B" w:rsidRDefault="000562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Traditional </w:t>
            </w:r>
            <w:r w:rsidR="00AA274C">
              <w:rPr>
                <w:sz w:val="22"/>
                <w:szCs w:val="22"/>
              </w:rPr>
              <w:t xml:space="preserve">special access services </w:t>
            </w:r>
            <w:r w:rsidR="00BD689D">
              <w:rPr>
                <w:sz w:val="22"/>
                <w:szCs w:val="22"/>
              </w:rPr>
              <w:t>offer</w:t>
            </w:r>
            <w:r w:rsidR="00430081">
              <w:rPr>
                <w:sz w:val="22"/>
                <w:szCs w:val="22"/>
              </w:rPr>
              <w:t>ed</w:t>
            </w:r>
            <w:r w:rsidR="00BD689D">
              <w:rPr>
                <w:sz w:val="22"/>
                <w:szCs w:val="22"/>
              </w:rPr>
              <w:t xml:space="preserve"> by local phone companies</w:t>
            </w:r>
            <w:r w:rsidR="00B41D75">
              <w:rPr>
                <w:sz w:val="22"/>
                <w:szCs w:val="22"/>
              </w:rPr>
              <w:t xml:space="preserve"> (incumbent local exchange carriers, or ILECs)</w:t>
            </w:r>
            <w:r w:rsidR="00BD689D">
              <w:rPr>
                <w:sz w:val="22"/>
                <w:szCs w:val="22"/>
              </w:rPr>
              <w:t xml:space="preserve"> </w:t>
            </w:r>
            <w:r w:rsidR="00DB7633">
              <w:rPr>
                <w:sz w:val="22"/>
                <w:szCs w:val="22"/>
              </w:rPr>
              <w:t>ha</w:t>
            </w:r>
            <w:r w:rsidR="00AA274C">
              <w:rPr>
                <w:sz w:val="22"/>
                <w:szCs w:val="22"/>
              </w:rPr>
              <w:t>ve</w:t>
            </w:r>
            <w:r w:rsidR="00DB7633">
              <w:rPr>
                <w:sz w:val="22"/>
                <w:szCs w:val="22"/>
              </w:rPr>
              <w:t xml:space="preserve"> </w:t>
            </w:r>
            <w:r w:rsidR="00BD689D">
              <w:rPr>
                <w:sz w:val="22"/>
                <w:szCs w:val="22"/>
              </w:rPr>
              <w:t xml:space="preserve">long been subject to FCC price regulation. </w:t>
            </w:r>
            <w:r>
              <w:rPr>
                <w:sz w:val="22"/>
                <w:szCs w:val="22"/>
              </w:rPr>
              <w:t xml:space="preserve"> But </w:t>
            </w:r>
            <w:r w:rsidR="00430081">
              <w:rPr>
                <w:sz w:val="22"/>
                <w:szCs w:val="22"/>
              </w:rPr>
              <w:t xml:space="preserve">these legacy </w:t>
            </w:r>
            <w:r>
              <w:rPr>
                <w:sz w:val="22"/>
                <w:szCs w:val="22"/>
              </w:rPr>
              <w:t xml:space="preserve">networks, which </w:t>
            </w:r>
            <w:r w:rsidR="000D3FFF">
              <w:rPr>
                <w:sz w:val="22"/>
                <w:szCs w:val="22"/>
              </w:rPr>
              <w:t xml:space="preserve">operate </w:t>
            </w:r>
            <w:r w:rsidR="0070480D">
              <w:rPr>
                <w:sz w:val="22"/>
                <w:szCs w:val="22"/>
              </w:rPr>
              <w:t xml:space="preserve">on </w:t>
            </w:r>
            <w:r w:rsidR="00430081">
              <w:rPr>
                <w:sz w:val="22"/>
                <w:szCs w:val="22"/>
              </w:rPr>
              <w:t xml:space="preserve">yesterday’s </w:t>
            </w:r>
            <w:r w:rsidR="00DB7633">
              <w:rPr>
                <w:sz w:val="22"/>
                <w:szCs w:val="22"/>
              </w:rPr>
              <w:t xml:space="preserve">copper-based </w:t>
            </w:r>
            <w:r w:rsidR="00430081">
              <w:rPr>
                <w:sz w:val="22"/>
                <w:szCs w:val="22"/>
              </w:rPr>
              <w:t xml:space="preserve">“TDM” </w:t>
            </w:r>
            <w:r w:rsidR="0070480D">
              <w:rPr>
                <w:sz w:val="22"/>
                <w:szCs w:val="22"/>
              </w:rPr>
              <w:t>technologies</w:t>
            </w:r>
            <w:r w:rsidR="000D3FFF">
              <w:rPr>
                <w:sz w:val="22"/>
                <w:szCs w:val="22"/>
              </w:rPr>
              <w:t xml:space="preserve"> at </w:t>
            </w:r>
            <w:r w:rsidR="00BD689D">
              <w:rPr>
                <w:sz w:val="22"/>
                <w:szCs w:val="22"/>
              </w:rPr>
              <w:t xml:space="preserve">relatively low speeds, </w:t>
            </w:r>
            <w:r>
              <w:rPr>
                <w:sz w:val="22"/>
                <w:szCs w:val="22"/>
              </w:rPr>
              <w:t>are</w:t>
            </w:r>
            <w:r w:rsidR="00D2064D">
              <w:rPr>
                <w:sz w:val="22"/>
                <w:szCs w:val="22"/>
              </w:rPr>
              <w:t xml:space="preserve"> becoming increasingly obsolete.</w:t>
            </w:r>
          </w:p>
          <w:p w14:paraId="0720EA3F" w14:textId="77777777" w:rsidR="005B41AA" w:rsidRDefault="005B41AA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4C72491" w14:textId="6EACAEAE" w:rsidR="005B41AA" w:rsidRDefault="005B41AA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Instead, </w:t>
            </w:r>
            <w:r w:rsidR="008F3E41">
              <w:rPr>
                <w:sz w:val="22"/>
                <w:szCs w:val="22"/>
              </w:rPr>
              <w:t>high-bandwidth applications</w:t>
            </w:r>
            <w:r w:rsidR="00DB7633">
              <w:rPr>
                <w:sz w:val="22"/>
                <w:szCs w:val="22"/>
              </w:rPr>
              <w:t>,</w:t>
            </w:r>
            <w:r w:rsidR="008F3E41">
              <w:rPr>
                <w:sz w:val="22"/>
                <w:szCs w:val="22"/>
              </w:rPr>
              <w:t xml:space="preserve"> like video and teleconferencing</w:t>
            </w:r>
            <w:r w:rsidR="00DB7633">
              <w:rPr>
                <w:sz w:val="22"/>
                <w:szCs w:val="22"/>
              </w:rPr>
              <w:t>,</w:t>
            </w:r>
            <w:r w:rsidR="008F3E41">
              <w:rPr>
                <w:sz w:val="22"/>
                <w:szCs w:val="22"/>
              </w:rPr>
              <w:t xml:space="preserve"> are driving demand for modern, high-speed Ethernet </w:t>
            </w:r>
            <w:r w:rsidR="0070480D">
              <w:rPr>
                <w:sz w:val="22"/>
                <w:szCs w:val="22"/>
              </w:rPr>
              <w:t xml:space="preserve">packet-based </w:t>
            </w:r>
            <w:r w:rsidR="008F3E41">
              <w:rPr>
                <w:sz w:val="22"/>
                <w:szCs w:val="22"/>
              </w:rPr>
              <w:t>n</w:t>
            </w:r>
            <w:r w:rsidR="00BD689D">
              <w:rPr>
                <w:sz w:val="22"/>
                <w:szCs w:val="22"/>
              </w:rPr>
              <w:t xml:space="preserve">etworks. </w:t>
            </w:r>
            <w:r w:rsidR="00DB7633">
              <w:rPr>
                <w:sz w:val="22"/>
                <w:szCs w:val="22"/>
              </w:rPr>
              <w:t xml:space="preserve"> </w:t>
            </w:r>
            <w:r w:rsidR="00BD689D">
              <w:rPr>
                <w:sz w:val="22"/>
                <w:szCs w:val="22"/>
              </w:rPr>
              <w:t xml:space="preserve">Such networks are often deployed by </w:t>
            </w:r>
            <w:r w:rsidR="003E5F11">
              <w:rPr>
                <w:sz w:val="22"/>
                <w:szCs w:val="22"/>
              </w:rPr>
              <w:t>lightly</w:t>
            </w:r>
            <w:r w:rsidR="00DB7633">
              <w:rPr>
                <w:sz w:val="22"/>
                <w:szCs w:val="22"/>
              </w:rPr>
              <w:t>-</w:t>
            </w:r>
            <w:r w:rsidR="003E5F11">
              <w:rPr>
                <w:sz w:val="22"/>
                <w:szCs w:val="22"/>
              </w:rPr>
              <w:t xml:space="preserve">regulated </w:t>
            </w:r>
            <w:r w:rsidR="00BD689D">
              <w:rPr>
                <w:sz w:val="22"/>
                <w:szCs w:val="22"/>
              </w:rPr>
              <w:t xml:space="preserve">competitive carriers, which now </w:t>
            </w:r>
            <w:r>
              <w:rPr>
                <w:sz w:val="22"/>
                <w:szCs w:val="22"/>
              </w:rPr>
              <w:t>account for nearly half of th</w:t>
            </w:r>
            <w:r w:rsidR="00BD689D">
              <w:rPr>
                <w:sz w:val="22"/>
                <w:szCs w:val="22"/>
              </w:rPr>
              <w:t xml:space="preserve">e $45 billion BDS marketplace. </w:t>
            </w:r>
            <w:r w:rsidR="00DB7633">
              <w:rPr>
                <w:sz w:val="22"/>
                <w:szCs w:val="22"/>
              </w:rPr>
              <w:t xml:space="preserve"> </w:t>
            </w:r>
            <w:r w:rsidR="00BD689D">
              <w:rPr>
                <w:sz w:val="22"/>
                <w:szCs w:val="22"/>
              </w:rPr>
              <w:t xml:space="preserve">In addition, </w:t>
            </w:r>
            <w:r w:rsidR="00CA4CCA">
              <w:rPr>
                <w:sz w:val="22"/>
                <w:szCs w:val="22"/>
              </w:rPr>
              <w:t xml:space="preserve">cable-based BDS has been </w:t>
            </w:r>
            <w:r w:rsidR="00BD689D">
              <w:rPr>
                <w:sz w:val="22"/>
                <w:szCs w:val="22"/>
              </w:rPr>
              <w:t xml:space="preserve">growing by </w:t>
            </w:r>
            <w:r w:rsidR="009003DB">
              <w:rPr>
                <w:sz w:val="22"/>
                <w:szCs w:val="22"/>
              </w:rPr>
              <w:t xml:space="preserve">approximately </w:t>
            </w:r>
            <w:r>
              <w:rPr>
                <w:sz w:val="22"/>
                <w:szCs w:val="22"/>
              </w:rPr>
              <w:t>20% annu</w:t>
            </w:r>
            <w:r w:rsidR="00BD689D">
              <w:rPr>
                <w:sz w:val="22"/>
                <w:szCs w:val="22"/>
              </w:rPr>
              <w:t xml:space="preserve">ally for the past several years, a </w:t>
            </w:r>
            <w:r w:rsidR="000D3FFF">
              <w:rPr>
                <w:sz w:val="22"/>
                <w:szCs w:val="22"/>
              </w:rPr>
              <w:t xml:space="preserve">competitive </w:t>
            </w:r>
            <w:r w:rsidR="00BD689D">
              <w:rPr>
                <w:sz w:val="22"/>
                <w:szCs w:val="22"/>
              </w:rPr>
              <w:t>trend that is expected to continue.</w:t>
            </w:r>
          </w:p>
          <w:p w14:paraId="36D29290" w14:textId="77777777" w:rsidR="00BD689D" w:rsidRDefault="00BD689D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74D6784" w14:textId="3E29238A" w:rsidR="001D35C7" w:rsidRPr="00B769A2" w:rsidRDefault="00F25744" w:rsidP="00AF5B8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Relying on more than </w:t>
            </w:r>
            <w:r w:rsidR="00AF5B87">
              <w:rPr>
                <w:sz w:val="22"/>
                <w:szCs w:val="22"/>
              </w:rPr>
              <w:t>ten years of study</w:t>
            </w:r>
            <w:r w:rsidR="009F2926">
              <w:rPr>
                <w:sz w:val="22"/>
                <w:szCs w:val="22"/>
              </w:rPr>
              <w:t xml:space="preserve"> of</w:t>
            </w:r>
            <w:r w:rsidR="00AF5B87">
              <w:rPr>
                <w:sz w:val="22"/>
                <w:szCs w:val="22"/>
              </w:rPr>
              <w:t xml:space="preserve"> the market, a massive data collection, </w:t>
            </w:r>
            <w:r w:rsidR="009F2926">
              <w:rPr>
                <w:sz w:val="22"/>
                <w:szCs w:val="22"/>
              </w:rPr>
              <w:t xml:space="preserve">and a robust public record garnered from numerous requests for comment, </w:t>
            </w:r>
            <w:r w:rsidR="00AF5B87">
              <w:rPr>
                <w:sz w:val="22"/>
                <w:szCs w:val="22"/>
              </w:rPr>
              <w:t xml:space="preserve">the </w:t>
            </w:r>
            <w:r w:rsidR="004E25E2" w:rsidRPr="00B769A2">
              <w:rPr>
                <w:sz w:val="22"/>
                <w:szCs w:val="22"/>
              </w:rPr>
              <w:t xml:space="preserve">Report and Order </w:t>
            </w:r>
            <w:r w:rsidR="00AF5B87" w:rsidRPr="00B769A2">
              <w:rPr>
                <w:sz w:val="22"/>
                <w:szCs w:val="22"/>
              </w:rPr>
              <w:t>adopted by the FCC today re</w:t>
            </w:r>
            <w:r w:rsidR="004E25E2" w:rsidRPr="00B769A2">
              <w:rPr>
                <w:sz w:val="22"/>
                <w:szCs w:val="22"/>
              </w:rPr>
              <w:t>cognize</w:t>
            </w:r>
            <w:r w:rsidR="00CA4CCA" w:rsidRPr="00B769A2">
              <w:rPr>
                <w:sz w:val="22"/>
                <w:szCs w:val="22"/>
              </w:rPr>
              <w:t>s</w:t>
            </w:r>
            <w:r w:rsidR="004E25E2" w:rsidRPr="00B769A2">
              <w:rPr>
                <w:sz w:val="22"/>
                <w:szCs w:val="22"/>
              </w:rPr>
              <w:t xml:space="preserve"> the strong competition present in th</w:t>
            </w:r>
            <w:r w:rsidR="00AF5B87" w:rsidRPr="00B769A2">
              <w:rPr>
                <w:sz w:val="22"/>
                <w:szCs w:val="22"/>
              </w:rPr>
              <w:t>e BDS market</w:t>
            </w:r>
            <w:r w:rsidR="00A82D06" w:rsidRPr="00B769A2">
              <w:rPr>
                <w:sz w:val="22"/>
                <w:szCs w:val="22"/>
              </w:rPr>
              <w:t xml:space="preserve">. </w:t>
            </w:r>
            <w:r w:rsidR="00387A03">
              <w:rPr>
                <w:sz w:val="22"/>
                <w:szCs w:val="22"/>
              </w:rPr>
              <w:t xml:space="preserve"> </w:t>
            </w:r>
            <w:r w:rsidR="001A7BE4">
              <w:rPr>
                <w:sz w:val="22"/>
                <w:szCs w:val="22"/>
              </w:rPr>
              <w:t>Given that competition, t</w:t>
            </w:r>
            <w:r w:rsidR="00A82D06" w:rsidRPr="00B769A2">
              <w:rPr>
                <w:sz w:val="22"/>
                <w:szCs w:val="22"/>
              </w:rPr>
              <w:t xml:space="preserve">he </w:t>
            </w:r>
            <w:r w:rsidR="00AA274C">
              <w:rPr>
                <w:sz w:val="22"/>
                <w:szCs w:val="22"/>
              </w:rPr>
              <w:t>order</w:t>
            </w:r>
            <w:r w:rsidR="00AA274C" w:rsidRPr="00B769A2">
              <w:rPr>
                <w:sz w:val="22"/>
                <w:szCs w:val="22"/>
              </w:rPr>
              <w:t xml:space="preserve"> </w:t>
            </w:r>
            <w:r w:rsidRPr="00B769A2">
              <w:rPr>
                <w:sz w:val="22"/>
                <w:szCs w:val="22"/>
              </w:rPr>
              <w:t xml:space="preserve">finds that </w:t>
            </w:r>
            <w:r w:rsidR="000E1251">
              <w:rPr>
                <w:sz w:val="22"/>
                <w:szCs w:val="22"/>
              </w:rPr>
              <w:t>legacy</w:t>
            </w:r>
            <w:r w:rsidR="000E1251" w:rsidRPr="00B769A2">
              <w:rPr>
                <w:sz w:val="22"/>
                <w:szCs w:val="22"/>
              </w:rPr>
              <w:t xml:space="preserve"> </w:t>
            </w:r>
            <w:r w:rsidRPr="00B769A2">
              <w:rPr>
                <w:sz w:val="22"/>
                <w:szCs w:val="22"/>
              </w:rPr>
              <w:t xml:space="preserve">regulation </w:t>
            </w:r>
            <w:r w:rsidR="00C03899" w:rsidRPr="00B769A2">
              <w:rPr>
                <w:sz w:val="22"/>
                <w:szCs w:val="22"/>
              </w:rPr>
              <w:t>inhibit</w:t>
            </w:r>
            <w:r w:rsidR="000E1251">
              <w:rPr>
                <w:sz w:val="22"/>
                <w:szCs w:val="22"/>
              </w:rPr>
              <w:t>s</w:t>
            </w:r>
            <w:r w:rsidR="00C03899" w:rsidRPr="00B769A2">
              <w:rPr>
                <w:sz w:val="22"/>
                <w:szCs w:val="22"/>
              </w:rPr>
              <w:t xml:space="preserve"> the </w:t>
            </w:r>
            <w:r w:rsidRPr="00B769A2">
              <w:rPr>
                <w:sz w:val="22"/>
                <w:szCs w:val="22"/>
              </w:rPr>
              <w:t xml:space="preserve">investment </w:t>
            </w:r>
            <w:r w:rsidR="00A82D06" w:rsidRPr="00B769A2">
              <w:rPr>
                <w:sz w:val="22"/>
                <w:szCs w:val="22"/>
              </w:rPr>
              <w:t xml:space="preserve">required for the </w:t>
            </w:r>
            <w:r w:rsidRPr="00B769A2">
              <w:rPr>
                <w:sz w:val="22"/>
                <w:szCs w:val="22"/>
              </w:rPr>
              <w:t>transition of</w:t>
            </w:r>
            <w:r w:rsidR="00387A03">
              <w:rPr>
                <w:sz w:val="22"/>
                <w:szCs w:val="22"/>
              </w:rPr>
              <w:t xml:space="preserve"> BDS from</w:t>
            </w:r>
            <w:r w:rsidRPr="00B769A2">
              <w:rPr>
                <w:sz w:val="22"/>
                <w:szCs w:val="22"/>
              </w:rPr>
              <w:t xml:space="preserve"> </w:t>
            </w:r>
            <w:r w:rsidR="003E5F11" w:rsidRPr="00B769A2">
              <w:rPr>
                <w:sz w:val="22"/>
                <w:szCs w:val="22"/>
              </w:rPr>
              <w:t xml:space="preserve">legacy </w:t>
            </w:r>
            <w:r w:rsidRPr="00B769A2">
              <w:rPr>
                <w:sz w:val="22"/>
                <w:szCs w:val="22"/>
              </w:rPr>
              <w:t>TDM networks</w:t>
            </w:r>
            <w:r w:rsidR="00FE618D" w:rsidRPr="00B769A2">
              <w:rPr>
                <w:sz w:val="22"/>
                <w:szCs w:val="22"/>
              </w:rPr>
              <w:t xml:space="preserve"> to high-speed Ethernet </w:t>
            </w:r>
            <w:r w:rsidR="000D3FFF" w:rsidRPr="00B769A2">
              <w:rPr>
                <w:sz w:val="22"/>
                <w:szCs w:val="22"/>
              </w:rPr>
              <w:t>connectivity.</w:t>
            </w:r>
            <w:r w:rsidR="003E5F11" w:rsidRPr="00B769A2">
              <w:rPr>
                <w:sz w:val="22"/>
                <w:szCs w:val="22"/>
              </w:rPr>
              <w:t xml:space="preserve"> </w:t>
            </w:r>
            <w:r w:rsidR="00387A03">
              <w:rPr>
                <w:sz w:val="22"/>
                <w:szCs w:val="22"/>
              </w:rPr>
              <w:t xml:space="preserve"> </w:t>
            </w:r>
            <w:r w:rsidR="00A82D06" w:rsidRPr="00B769A2">
              <w:rPr>
                <w:sz w:val="22"/>
                <w:szCs w:val="22"/>
              </w:rPr>
              <w:t xml:space="preserve">In response, the </w:t>
            </w:r>
            <w:r w:rsidR="00FE618D" w:rsidRPr="00B769A2">
              <w:rPr>
                <w:sz w:val="22"/>
                <w:szCs w:val="22"/>
              </w:rPr>
              <w:t xml:space="preserve">Order </w:t>
            </w:r>
            <w:r w:rsidR="00AA274C">
              <w:rPr>
                <w:sz w:val="22"/>
                <w:szCs w:val="22"/>
              </w:rPr>
              <w:t>modernizes</w:t>
            </w:r>
            <w:r w:rsidR="00AA274C" w:rsidRPr="00B769A2">
              <w:rPr>
                <w:sz w:val="22"/>
                <w:szCs w:val="22"/>
              </w:rPr>
              <w:t xml:space="preserve"> </w:t>
            </w:r>
            <w:r w:rsidR="00A82D06" w:rsidRPr="00B769A2">
              <w:rPr>
                <w:sz w:val="22"/>
                <w:szCs w:val="22"/>
              </w:rPr>
              <w:t>regulation in significant portions of the market</w:t>
            </w:r>
            <w:r w:rsidR="00AA274C">
              <w:rPr>
                <w:sz w:val="22"/>
                <w:szCs w:val="22"/>
              </w:rPr>
              <w:t>.</w:t>
            </w:r>
          </w:p>
          <w:p w14:paraId="7F891E8C" w14:textId="77777777" w:rsidR="001D35C7" w:rsidRDefault="001D35C7" w:rsidP="00AF5B87">
            <w:pPr>
              <w:tabs>
                <w:tab w:val="left" w:pos="8640"/>
              </w:tabs>
            </w:pPr>
          </w:p>
          <w:p w14:paraId="4A65DAC4" w14:textId="77777777" w:rsidR="001D35C7" w:rsidRPr="004F221E" w:rsidRDefault="001D35C7" w:rsidP="00AF5B8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4F221E">
              <w:rPr>
                <w:sz w:val="22"/>
                <w:szCs w:val="22"/>
              </w:rPr>
              <w:t xml:space="preserve">Key </w:t>
            </w:r>
            <w:r w:rsidR="0070480D" w:rsidRPr="004F221E">
              <w:rPr>
                <w:sz w:val="22"/>
                <w:szCs w:val="22"/>
              </w:rPr>
              <w:t xml:space="preserve">findings and resulting changes </w:t>
            </w:r>
            <w:r w:rsidRPr="004F221E">
              <w:rPr>
                <w:sz w:val="22"/>
                <w:szCs w:val="22"/>
              </w:rPr>
              <w:t>include the following:</w:t>
            </w:r>
          </w:p>
          <w:p w14:paraId="40867F6C" w14:textId="77777777" w:rsidR="001D35C7" w:rsidRDefault="001D35C7" w:rsidP="00AF5B87">
            <w:pPr>
              <w:tabs>
                <w:tab w:val="left" w:pos="8640"/>
              </w:tabs>
            </w:pPr>
          </w:p>
          <w:p w14:paraId="02D3337F" w14:textId="4B45317C" w:rsidR="0070480D" w:rsidRDefault="0070480D" w:rsidP="004E25E2">
            <w:pPr>
              <w:pStyle w:val="ParaNum"/>
              <w:numPr>
                <w:ilvl w:val="0"/>
                <w:numId w:val="3"/>
              </w:numPr>
            </w:pPr>
            <w:r>
              <w:t>C</w:t>
            </w:r>
            <w:r w:rsidR="004E25E2">
              <w:t xml:space="preserve">ompetition </w:t>
            </w:r>
            <w:r>
              <w:t>for packet-based services at speeds exceeding 45 Megabits per second (</w:t>
            </w:r>
            <w:r w:rsidR="000D3FFF">
              <w:t xml:space="preserve">the </w:t>
            </w:r>
            <w:r w:rsidR="000D3FFF">
              <w:lastRenderedPageBreak/>
              <w:t>top speed of TDM “</w:t>
            </w:r>
            <w:r>
              <w:t>DS3</w:t>
            </w:r>
            <w:r w:rsidR="000D3FFF">
              <w:t xml:space="preserve">” </w:t>
            </w:r>
            <w:r w:rsidR="00AA274C">
              <w:t>services</w:t>
            </w:r>
            <w:r>
              <w:t xml:space="preserve">) is </w:t>
            </w:r>
            <w:r w:rsidR="00CA4CCA">
              <w:t>widespread, making pricing regulation counterproductive</w:t>
            </w:r>
            <w:r w:rsidR="00FE618D">
              <w:t xml:space="preserve"> for these services</w:t>
            </w:r>
          </w:p>
          <w:p w14:paraId="7B6B39C5" w14:textId="15FABDC3" w:rsidR="00CA4CCA" w:rsidRDefault="00430081" w:rsidP="00AF5272">
            <w:pPr>
              <w:pStyle w:val="ParaNum"/>
              <w:numPr>
                <w:ilvl w:val="0"/>
                <w:numId w:val="3"/>
              </w:numPr>
            </w:pPr>
            <w:r>
              <w:t>Continued pric</w:t>
            </w:r>
            <w:r w:rsidR="00E74065">
              <w:t>e</w:t>
            </w:r>
            <w:r>
              <w:t xml:space="preserve"> regulation for legacy TDM</w:t>
            </w:r>
            <w:r w:rsidR="00387A03">
              <w:t>-based BDS</w:t>
            </w:r>
            <w:r w:rsidR="001A7BE4">
              <w:t xml:space="preserve"> in areas deemed competitive</w:t>
            </w:r>
            <w:r>
              <w:t xml:space="preserve"> may stifle investment </w:t>
            </w:r>
            <w:r w:rsidR="002B747B">
              <w:t xml:space="preserve">and inhibit the transition to </w:t>
            </w:r>
            <w:r>
              <w:t xml:space="preserve">modern </w:t>
            </w:r>
            <w:r w:rsidR="00FE618D">
              <w:t xml:space="preserve">IP </w:t>
            </w:r>
            <w:r>
              <w:t>services.</w:t>
            </w:r>
            <w:r w:rsidR="003E5F11">
              <w:t xml:space="preserve"> </w:t>
            </w:r>
            <w:r w:rsidR="000D3FFF">
              <w:t>The Order adopts a c</w:t>
            </w:r>
            <w:r w:rsidR="00CA4CCA">
              <w:t xml:space="preserve">ompetitive market test </w:t>
            </w:r>
            <w:r w:rsidR="000D3FFF">
              <w:t xml:space="preserve">which determines that </w:t>
            </w:r>
            <w:r w:rsidR="00CA4CCA">
              <w:t xml:space="preserve">pricing regulation </w:t>
            </w:r>
            <w:r w:rsidR="000D3FFF">
              <w:t xml:space="preserve">is no longer required when </w:t>
            </w:r>
            <w:r w:rsidR="00F97785">
              <w:t xml:space="preserve">either of </w:t>
            </w:r>
            <w:r w:rsidR="000D3FFF">
              <w:t>the following conditions are met:</w:t>
            </w:r>
          </w:p>
          <w:p w14:paraId="5B9421F8" w14:textId="760F6BD5" w:rsidR="004E25E2" w:rsidRDefault="000D3FFF" w:rsidP="00CA4CCA">
            <w:pPr>
              <w:pStyle w:val="ParaNum"/>
              <w:numPr>
                <w:ilvl w:val="1"/>
                <w:numId w:val="3"/>
              </w:numPr>
            </w:pPr>
            <w:r>
              <w:t>5</w:t>
            </w:r>
            <w:r w:rsidR="00B41D75">
              <w:t>0 percent of the buildings in a county are within a half-mile of a location served by a competitive provider</w:t>
            </w:r>
            <w:r w:rsidR="002B747B">
              <w:t>, or</w:t>
            </w:r>
          </w:p>
          <w:p w14:paraId="5CE80B1F" w14:textId="15F1C480" w:rsidR="00B41D75" w:rsidRDefault="00B41D75" w:rsidP="00CA4CCA">
            <w:pPr>
              <w:pStyle w:val="ParaNum"/>
              <w:numPr>
                <w:ilvl w:val="1"/>
                <w:numId w:val="3"/>
              </w:numPr>
            </w:pPr>
            <w:r>
              <w:t>75 percent of the census blocks in a count</w:t>
            </w:r>
            <w:r w:rsidR="00106416">
              <w:t>y have a cable provider present</w:t>
            </w:r>
          </w:p>
          <w:p w14:paraId="4CFF90E8" w14:textId="618662E8" w:rsidR="00FE618D" w:rsidRDefault="00387A03" w:rsidP="004E25E2">
            <w:pPr>
              <w:pStyle w:val="ParaNum"/>
              <w:numPr>
                <w:ilvl w:val="0"/>
                <w:numId w:val="3"/>
              </w:numPr>
            </w:pPr>
            <w:r>
              <w:t xml:space="preserve">After a transition period, </w:t>
            </w:r>
            <w:r w:rsidR="00B41D75">
              <w:t>ILECs in counties meeting the competitive market test</w:t>
            </w:r>
            <w:r w:rsidR="00C03899">
              <w:t xml:space="preserve"> will n</w:t>
            </w:r>
            <w:r w:rsidR="00B41D75">
              <w:t xml:space="preserve">o longer </w:t>
            </w:r>
            <w:r w:rsidR="00FE618D">
              <w:t xml:space="preserve">file </w:t>
            </w:r>
            <w:r w:rsidR="00B41D75">
              <w:t>tariffs</w:t>
            </w:r>
            <w:r>
              <w:t xml:space="preserve"> </w:t>
            </w:r>
            <w:r w:rsidR="00B41D75">
              <w:t>with the FCC</w:t>
            </w:r>
            <w:r w:rsidR="00FE618D">
              <w:t xml:space="preserve">. </w:t>
            </w:r>
            <w:r>
              <w:t xml:space="preserve"> </w:t>
            </w:r>
            <w:r w:rsidR="00AA274C">
              <w:t>However, rates</w:t>
            </w:r>
            <w:r w:rsidR="00106416">
              <w:t xml:space="preserve"> must</w:t>
            </w:r>
            <w:r w:rsidR="00AA274C">
              <w:t xml:space="preserve"> continue to</w:t>
            </w:r>
            <w:r w:rsidR="00106416">
              <w:t xml:space="preserve"> be just and reasonable</w:t>
            </w:r>
          </w:p>
          <w:p w14:paraId="0366FCA9" w14:textId="56D2738B" w:rsidR="004E25E2" w:rsidRPr="006C0024" w:rsidRDefault="00C03899" w:rsidP="004E25E2">
            <w:pPr>
              <w:pStyle w:val="ParaNum"/>
              <w:numPr>
                <w:ilvl w:val="0"/>
                <w:numId w:val="3"/>
              </w:numPr>
            </w:pPr>
            <w:r>
              <w:t xml:space="preserve">In </w:t>
            </w:r>
            <w:r w:rsidR="004E25E2">
              <w:t>counties that do not meet the competitive market test, the Order retain</w:t>
            </w:r>
            <w:r>
              <w:t>s</w:t>
            </w:r>
            <w:r w:rsidR="004E25E2" w:rsidRPr="006C0024">
              <w:t xml:space="preserve"> price regulation </w:t>
            </w:r>
            <w:r w:rsidR="004E25E2">
              <w:t>for</w:t>
            </w:r>
            <w:r w:rsidR="004E25E2" w:rsidRPr="006C0024">
              <w:t xml:space="preserve"> </w:t>
            </w:r>
            <w:r w:rsidR="002B747B">
              <w:t xml:space="preserve">lower speed </w:t>
            </w:r>
            <w:r w:rsidR="004E25E2">
              <w:t xml:space="preserve">TDM </w:t>
            </w:r>
            <w:r w:rsidR="003E5F11">
              <w:t xml:space="preserve">connections to end-users. </w:t>
            </w:r>
            <w:r w:rsidR="00FE618D">
              <w:t xml:space="preserve"> </w:t>
            </w:r>
            <w:r w:rsidR="002B747B">
              <w:t>The Order allows</w:t>
            </w:r>
            <w:r w:rsidR="006906F0">
              <w:t xml:space="preserve"> </w:t>
            </w:r>
            <w:r w:rsidR="000D3FFF">
              <w:t>ILEC</w:t>
            </w:r>
            <w:r w:rsidR="00FE618D">
              <w:t xml:space="preserve">s </w:t>
            </w:r>
            <w:r w:rsidR="002B747B">
              <w:t xml:space="preserve">to </w:t>
            </w:r>
            <w:r w:rsidR="00B10407">
              <w:t>o</w:t>
            </w:r>
            <w:r w:rsidR="004E25E2" w:rsidRPr="006C0024">
              <w:t>ffer volume and term discounts</w:t>
            </w:r>
            <w:r w:rsidR="00FE618D">
              <w:t xml:space="preserve">, as well as contract tariffs (known as “Phase I </w:t>
            </w:r>
            <w:r w:rsidR="00387A03">
              <w:t xml:space="preserve">pricing </w:t>
            </w:r>
            <w:r w:rsidR="00FE618D">
              <w:t>flexibility”</w:t>
            </w:r>
            <w:r w:rsidR="000D3FFF">
              <w:t xml:space="preserve"> under </w:t>
            </w:r>
            <w:r w:rsidR="00150C1E">
              <w:t xml:space="preserve">the </w:t>
            </w:r>
            <w:r w:rsidR="00FE581A">
              <w:t xml:space="preserve">FCC’s old </w:t>
            </w:r>
            <w:r w:rsidR="00150C1E">
              <w:t>rules</w:t>
            </w:r>
            <w:r w:rsidR="003E5F11">
              <w:t>)</w:t>
            </w:r>
          </w:p>
          <w:p w14:paraId="20F793D9" w14:textId="4E1F0C79" w:rsidR="004E25E2" w:rsidRDefault="004E25E2" w:rsidP="00B10407">
            <w:pPr>
              <w:pStyle w:val="ParaNum"/>
              <w:numPr>
                <w:ilvl w:val="0"/>
                <w:numId w:val="3"/>
              </w:numPr>
            </w:pPr>
            <w:r>
              <w:t xml:space="preserve">The Order </w:t>
            </w:r>
            <w:r w:rsidR="00FE618D">
              <w:t>level</w:t>
            </w:r>
            <w:r w:rsidR="00C03899">
              <w:t>s</w:t>
            </w:r>
            <w:r w:rsidR="00FE618D">
              <w:t xml:space="preserve"> the </w:t>
            </w:r>
            <w:r w:rsidRPr="006C0024">
              <w:t>regulatory playin</w:t>
            </w:r>
            <w:r>
              <w:t xml:space="preserve">g field for </w:t>
            </w:r>
            <w:r w:rsidR="00FE618D">
              <w:t>ILECs by extending un</w:t>
            </w:r>
            <w:r w:rsidR="00C03899">
              <w:t>iform forbearance from certain rules</w:t>
            </w:r>
            <w:r w:rsidR="00150C1E">
              <w:t xml:space="preserve"> that had previously been granted unevenly</w:t>
            </w:r>
            <w:r w:rsidR="00B10407">
              <w:t xml:space="preserve">. This </w:t>
            </w:r>
            <w:r w:rsidR="009F6EA3">
              <w:t xml:space="preserve">change </w:t>
            </w:r>
            <w:r w:rsidR="00C03899">
              <w:t>i</w:t>
            </w:r>
            <w:r w:rsidR="00B10407">
              <w:t>nclude</w:t>
            </w:r>
            <w:r w:rsidR="00C03899">
              <w:t>s</w:t>
            </w:r>
            <w:r w:rsidR="00B10407">
              <w:t xml:space="preserve"> forbearance from tar</w:t>
            </w:r>
            <w:r w:rsidR="00106416">
              <w:t>iffing for all packet-based BDS</w:t>
            </w:r>
          </w:p>
          <w:p w14:paraId="54EFA500" w14:textId="26FF75B6" w:rsidR="004E25E2" w:rsidRPr="006C0024" w:rsidRDefault="00C03899" w:rsidP="004E25E2">
            <w:pPr>
              <w:pStyle w:val="ParaNum"/>
              <w:numPr>
                <w:ilvl w:val="0"/>
                <w:numId w:val="3"/>
              </w:numPr>
            </w:pPr>
            <w:r>
              <w:t xml:space="preserve">The Order </w:t>
            </w:r>
            <w:r w:rsidR="00B10407">
              <w:t>update</w:t>
            </w:r>
            <w:r>
              <w:t>s</w:t>
            </w:r>
            <w:r w:rsidR="00B10407">
              <w:t xml:space="preserve"> price cap regulation where it remains by reducing the </w:t>
            </w:r>
            <w:r w:rsidR="005838FB">
              <w:t>c</w:t>
            </w:r>
            <w:r w:rsidR="00B10407">
              <w:t xml:space="preserve">ap </w:t>
            </w:r>
            <w:r w:rsidR="005838FB">
              <w:t xml:space="preserve">annually </w:t>
            </w:r>
            <w:r w:rsidR="00B10407">
              <w:t xml:space="preserve">by 2 percent </w:t>
            </w:r>
            <w:r w:rsidR="006B027D">
              <w:t xml:space="preserve">on a going-forward basis </w:t>
            </w:r>
            <w:r w:rsidR="00B10407">
              <w:t xml:space="preserve">to account for productivity gains. </w:t>
            </w:r>
            <w:r w:rsidR="00387A03">
              <w:t xml:space="preserve"> </w:t>
            </w:r>
            <w:r w:rsidR="00B10407">
              <w:t>This productivity adjustment is known as the “X-factor</w:t>
            </w:r>
            <w:r w:rsidR="005838FB">
              <w:t>.</w:t>
            </w:r>
            <w:r w:rsidR="00B10407">
              <w:t>”</w:t>
            </w:r>
            <w:r w:rsidR="006B027D">
              <w:t xml:space="preserve"> </w:t>
            </w:r>
            <w:r w:rsidR="00791B69">
              <w:t xml:space="preserve"> </w:t>
            </w:r>
            <w:r w:rsidR="005838FB">
              <w:t>While the X factor has not been adjusted since 2005, when it was set at the rate of inflation, t</w:t>
            </w:r>
            <w:r w:rsidR="006B027D">
              <w:t xml:space="preserve">he Order </w:t>
            </w:r>
            <w:r w:rsidR="004E25E2">
              <w:t>conclude</w:t>
            </w:r>
            <w:r w:rsidR="005838FB">
              <w:t>s</w:t>
            </w:r>
            <w:r w:rsidR="004E25E2">
              <w:t xml:space="preserve"> that no c</w:t>
            </w:r>
            <w:r w:rsidR="005838FB">
              <w:t>atch-up adjustment is warranted since infl</w:t>
            </w:r>
            <w:r w:rsidR="00150C1E">
              <w:t>ation offset productivity gains for TDM services.</w:t>
            </w:r>
            <w:r w:rsidR="004118D7">
              <w:t xml:space="preserve"> </w:t>
            </w:r>
            <w:r w:rsidR="00791B69">
              <w:t xml:space="preserve"> </w:t>
            </w:r>
            <w:r w:rsidR="004118D7">
              <w:t xml:space="preserve">The new </w:t>
            </w:r>
            <w:r w:rsidR="00791B69">
              <w:t>X-</w:t>
            </w:r>
            <w:r w:rsidR="004118D7">
              <w:t xml:space="preserve">factor takes effect on </w:t>
            </w:r>
            <w:r w:rsidR="004118D7" w:rsidRPr="004F221E">
              <w:t>Dec</w:t>
            </w:r>
            <w:r w:rsidR="009F6EA3" w:rsidRPr="004F221E">
              <w:t>ember</w:t>
            </w:r>
            <w:r w:rsidR="00106416">
              <w:t xml:space="preserve"> 1, 2017</w:t>
            </w:r>
          </w:p>
          <w:p w14:paraId="0899E18C" w14:textId="45C29515" w:rsidR="004E25E2" w:rsidRPr="006C0024" w:rsidRDefault="006B027D" w:rsidP="003E573E">
            <w:pPr>
              <w:pStyle w:val="ParaNum"/>
              <w:numPr>
                <w:ilvl w:val="0"/>
                <w:numId w:val="3"/>
              </w:numPr>
              <w:spacing w:after="0"/>
            </w:pPr>
            <w:r>
              <w:t>P</w:t>
            </w:r>
            <w:r w:rsidR="004E25E2">
              <w:t>acket</w:t>
            </w:r>
            <w:r w:rsidR="00C03899">
              <w:t>-</w:t>
            </w:r>
            <w:r w:rsidR="004E25E2">
              <w:t xml:space="preserve">based and TDM </w:t>
            </w:r>
            <w:r w:rsidR="000E1251">
              <w:t xml:space="preserve">telecommunications </w:t>
            </w:r>
            <w:r w:rsidR="004E25E2">
              <w:t xml:space="preserve">services </w:t>
            </w:r>
            <w:r>
              <w:t xml:space="preserve">continue to be subject to </w:t>
            </w:r>
            <w:r w:rsidR="00C03899">
              <w:t>statu</w:t>
            </w:r>
            <w:r w:rsidR="005838FB">
              <w:t>t</w:t>
            </w:r>
            <w:r w:rsidR="00C03899">
              <w:t xml:space="preserve">ory </w:t>
            </w:r>
            <w:r>
              <w:t>requirements that</w:t>
            </w:r>
            <w:r w:rsidR="00C03899">
              <w:t xml:space="preserve"> </w:t>
            </w:r>
            <w:r>
              <w:t>rates, terms</w:t>
            </w:r>
            <w:r w:rsidR="000E1251">
              <w:t>,</w:t>
            </w:r>
            <w:r>
              <w:t xml:space="preserve"> and conditions </w:t>
            </w:r>
            <w:r w:rsidR="00C03899">
              <w:t>be</w:t>
            </w:r>
            <w:r>
              <w:t xml:space="preserve"> just and reasonable, enforceable through the complaint process.</w:t>
            </w:r>
            <w:r w:rsidR="004E25E2">
              <w:t xml:space="preserve"> </w:t>
            </w:r>
            <w:r w:rsidR="00791B69">
              <w:t xml:space="preserve"> </w:t>
            </w:r>
            <w:r w:rsidR="00C03899">
              <w:t xml:space="preserve">The Order </w:t>
            </w:r>
            <w:r w:rsidR="005838FB">
              <w:t xml:space="preserve">also </w:t>
            </w:r>
            <w:r w:rsidR="00C03899">
              <w:t>concludes that certain business data services constitute private car</w:t>
            </w:r>
            <w:r w:rsidR="00150C1E">
              <w:t>riage rather than common carriage</w:t>
            </w:r>
          </w:p>
          <w:p w14:paraId="4D3E5208" w14:textId="77777777" w:rsidR="00D4335C" w:rsidRDefault="00D4335C" w:rsidP="003E573E">
            <w:pPr>
              <w:pStyle w:val="ParaNum"/>
              <w:numPr>
                <w:ilvl w:val="0"/>
                <w:numId w:val="0"/>
              </w:numPr>
              <w:spacing w:after="0"/>
            </w:pPr>
          </w:p>
          <w:p w14:paraId="075F52CB" w14:textId="72445F94" w:rsidR="003E573E" w:rsidRDefault="003E573E" w:rsidP="003E573E">
            <w:pPr>
              <w:pStyle w:val="ParaNum"/>
              <w:numPr>
                <w:ilvl w:val="0"/>
                <w:numId w:val="0"/>
              </w:numPr>
              <w:spacing w:after="0"/>
            </w:pPr>
            <w:r>
              <w:t>Action by the Commission April 20, 2017 by Report and Order (FCC 17-</w:t>
            </w:r>
            <w:r w:rsidR="00DF11BE">
              <w:t>43</w:t>
            </w:r>
            <w:r>
              <w:t xml:space="preserve">). Chairman Pai and Commissioner O’Rielly approving. Commissioner Clyburn dissenting. Chairman </w:t>
            </w:r>
            <w:r w:rsidR="00B03487">
              <w:t>Pai</w:t>
            </w:r>
            <w:r>
              <w:t xml:space="preserve">, Commissioners Clyburn and O’Rielly issuing separate statements.  </w:t>
            </w:r>
          </w:p>
          <w:p w14:paraId="286538C9" w14:textId="77777777" w:rsidR="003E573E" w:rsidRDefault="003E573E" w:rsidP="003E573E">
            <w:pPr>
              <w:pStyle w:val="ParaNum"/>
              <w:numPr>
                <w:ilvl w:val="0"/>
                <w:numId w:val="0"/>
              </w:numPr>
              <w:spacing w:after="0"/>
            </w:pPr>
          </w:p>
          <w:p w14:paraId="094A9A1E" w14:textId="6EF7F296" w:rsidR="003E573E" w:rsidRDefault="003E573E" w:rsidP="003E573E">
            <w:pPr>
              <w:pStyle w:val="ParaNum"/>
              <w:numPr>
                <w:ilvl w:val="0"/>
                <w:numId w:val="0"/>
              </w:numPr>
              <w:spacing w:after="0"/>
            </w:pPr>
            <w:r>
              <w:t>WC Docket No. 16-143; GN Docket No. 13-5; WC Docket No. 05-25; RM-10593</w:t>
            </w:r>
          </w:p>
          <w:p w14:paraId="74927408" w14:textId="77777777" w:rsidR="003E573E" w:rsidRDefault="003E573E" w:rsidP="003E573E">
            <w:pPr>
              <w:pStyle w:val="ParaNum"/>
              <w:numPr>
                <w:ilvl w:val="0"/>
                <w:numId w:val="0"/>
              </w:numPr>
              <w:spacing w:after="0"/>
            </w:pPr>
          </w:p>
          <w:p w14:paraId="6ADDD2B2" w14:textId="77777777" w:rsidR="00D4335C" w:rsidRPr="009972BC" w:rsidRDefault="00D4335C" w:rsidP="003E573E">
            <w:pPr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5AE8F60A" w14:textId="77777777" w:rsidR="00D4335C" w:rsidRPr="006B0A70" w:rsidRDefault="00D4335C" w:rsidP="003E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>
              <w:rPr>
                <w:b/>
                <w:bCs/>
                <w:sz w:val="18"/>
                <w:szCs w:val="18"/>
              </w:rPr>
              <w:t>ice of Media Relations: (202) 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3633D5BE" w14:textId="77777777" w:rsidR="00D4335C" w:rsidRPr="006B0A70" w:rsidRDefault="00D4335C" w:rsidP="003E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>
              <w:rPr>
                <w:b/>
                <w:bCs/>
                <w:sz w:val="18"/>
                <w:szCs w:val="18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7D9BBA61" w14:textId="77777777" w:rsidR="00D4335C" w:rsidRPr="006B0A70" w:rsidRDefault="00D4335C" w:rsidP="003E57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5A4A0BB4" w14:textId="7AD7A953" w:rsidR="00D4335C" w:rsidRDefault="00AD270C" w:rsidP="003E573E">
            <w:pPr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D4335C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65AFEAF4" w14:textId="77777777" w:rsidR="00D4335C" w:rsidRPr="00EE0E90" w:rsidRDefault="00D4335C" w:rsidP="003E57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8D5886E" w14:textId="77777777" w:rsidR="00D4335C" w:rsidRDefault="00D4335C" w:rsidP="003E573E">
            <w:pPr>
              <w:pStyle w:val="ParaNum"/>
              <w:numPr>
                <w:ilvl w:val="0"/>
                <w:numId w:val="0"/>
              </w:numPr>
              <w:ind w:firstLine="720"/>
              <w:jc w:val="center"/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  <w:p w14:paraId="79DAD1AA" w14:textId="03A419FD" w:rsidR="00EE0E90" w:rsidRPr="0069420F" w:rsidRDefault="00EE0E90" w:rsidP="003E573E">
            <w:pPr>
              <w:ind w:right="498"/>
              <w:rPr>
                <w:bCs/>
                <w:i/>
                <w:sz w:val="18"/>
                <w:szCs w:val="18"/>
              </w:rPr>
            </w:pPr>
          </w:p>
        </w:tc>
      </w:tr>
    </w:tbl>
    <w:p w14:paraId="527128D3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3F7D8" w14:textId="77777777" w:rsidR="00FB47EC" w:rsidRDefault="00FB47EC" w:rsidP="00FB47EC">
      <w:r>
        <w:separator/>
      </w:r>
    </w:p>
  </w:endnote>
  <w:endnote w:type="continuationSeparator" w:id="0">
    <w:p w14:paraId="71E434D1" w14:textId="77777777" w:rsidR="00FB47EC" w:rsidRDefault="00FB47EC" w:rsidP="00FB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2CB86" w14:textId="77777777" w:rsidR="00FB47EC" w:rsidRDefault="00FB47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B3791" w14:textId="77777777" w:rsidR="00FB47EC" w:rsidRDefault="00FB47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F754F" w14:textId="77777777" w:rsidR="00FB47EC" w:rsidRDefault="00FB4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F42E5" w14:textId="77777777" w:rsidR="00FB47EC" w:rsidRDefault="00FB47EC" w:rsidP="00FB47EC">
      <w:r>
        <w:separator/>
      </w:r>
    </w:p>
  </w:footnote>
  <w:footnote w:type="continuationSeparator" w:id="0">
    <w:p w14:paraId="42898DCA" w14:textId="77777777" w:rsidR="00FB47EC" w:rsidRDefault="00FB47EC" w:rsidP="00FB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0EC78" w14:textId="77777777" w:rsidR="00FB47EC" w:rsidRDefault="00FB47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65F21" w14:textId="77777777" w:rsidR="00FB47EC" w:rsidRDefault="00FB47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7D94D" w14:textId="77777777" w:rsidR="00FB47EC" w:rsidRDefault="00FB47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AF80772"/>
    <w:multiLevelType w:val="hybridMultilevel"/>
    <w:tmpl w:val="D078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82925"/>
    <w:multiLevelType w:val="singleLevel"/>
    <w:tmpl w:val="91A6F8B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E2"/>
    <w:rsid w:val="00022D28"/>
    <w:rsid w:val="0002500C"/>
    <w:rsid w:val="000311FC"/>
    <w:rsid w:val="00040127"/>
    <w:rsid w:val="0005620B"/>
    <w:rsid w:val="000577F7"/>
    <w:rsid w:val="00081232"/>
    <w:rsid w:val="00086A46"/>
    <w:rsid w:val="00091E65"/>
    <w:rsid w:val="00096D4A"/>
    <w:rsid w:val="000A38EA"/>
    <w:rsid w:val="000B1F85"/>
    <w:rsid w:val="000C1E47"/>
    <w:rsid w:val="000C26F3"/>
    <w:rsid w:val="000D3FFF"/>
    <w:rsid w:val="000E049E"/>
    <w:rsid w:val="000E1251"/>
    <w:rsid w:val="00106416"/>
    <w:rsid w:val="0010799B"/>
    <w:rsid w:val="00117DB2"/>
    <w:rsid w:val="00123ED2"/>
    <w:rsid w:val="00125BE0"/>
    <w:rsid w:val="00142C13"/>
    <w:rsid w:val="00150C1E"/>
    <w:rsid w:val="00152776"/>
    <w:rsid w:val="00153222"/>
    <w:rsid w:val="001577D3"/>
    <w:rsid w:val="00161BA0"/>
    <w:rsid w:val="001733A6"/>
    <w:rsid w:val="001865A9"/>
    <w:rsid w:val="00187DB2"/>
    <w:rsid w:val="001A7BE4"/>
    <w:rsid w:val="001B20BB"/>
    <w:rsid w:val="001B4400"/>
    <w:rsid w:val="001C4370"/>
    <w:rsid w:val="001D35C7"/>
    <w:rsid w:val="001D3779"/>
    <w:rsid w:val="001D6716"/>
    <w:rsid w:val="001F0469"/>
    <w:rsid w:val="00200B4D"/>
    <w:rsid w:val="00203A98"/>
    <w:rsid w:val="00206EDD"/>
    <w:rsid w:val="0021247E"/>
    <w:rsid w:val="002146F6"/>
    <w:rsid w:val="002224BA"/>
    <w:rsid w:val="00231C32"/>
    <w:rsid w:val="00240345"/>
    <w:rsid w:val="002421F0"/>
    <w:rsid w:val="00247274"/>
    <w:rsid w:val="00266966"/>
    <w:rsid w:val="00294C0C"/>
    <w:rsid w:val="002A0934"/>
    <w:rsid w:val="002B1013"/>
    <w:rsid w:val="002B747B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8687E"/>
    <w:rsid w:val="00387A03"/>
    <w:rsid w:val="003910F1"/>
    <w:rsid w:val="003A1C7B"/>
    <w:rsid w:val="003C6817"/>
    <w:rsid w:val="003D4733"/>
    <w:rsid w:val="003E42FC"/>
    <w:rsid w:val="003E573E"/>
    <w:rsid w:val="003E5991"/>
    <w:rsid w:val="003E5F11"/>
    <w:rsid w:val="003F344A"/>
    <w:rsid w:val="00403FF0"/>
    <w:rsid w:val="004118D7"/>
    <w:rsid w:val="0042046D"/>
    <w:rsid w:val="0042116E"/>
    <w:rsid w:val="00422EEC"/>
    <w:rsid w:val="00425AEF"/>
    <w:rsid w:val="00426518"/>
    <w:rsid w:val="00427B06"/>
    <w:rsid w:val="00430081"/>
    <w:rsid w:val="00441F59"/>
    <w:rsid w:val="00444E07"/>
    <w:rsid w:val="00444FA9"/>
    <w:rsid w:val="004645C6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5E2"/>
    <w:rsid w:val="004E2BD8"/>
    <w:rsid w:val="004F0F1F"/>
    <w:rsid w:val="004F221E"/>
    <w:rsid w:val="004F4B51"/>
    <w:rsid w:val="005022AA"/>
    <w:rsid w:val="00504845"/>
    <w:rsid w:val="0050757F"/>
    <w:rsid w:val="00511758"/>
    <w:rsid w:val="00516AD2"/>
    <w:rsid w:val="0053441E"/>
    <w:rsid w:val="00545DAE"/>
    <w:rsid w:val="00571B83"/>
    <w:rsid w:val="00575A00"/>
    <w:rsid w:val="005838FB"/>
    <w:rsid w:val="0058673C"/>
    <w:rsid w:val="005A7972"/>
    <w:rsid w:val="005B17E7"/>
    <w:rsid w:val="005B2643"/>
    <w:rsid w:val="005B41AA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57CB"/>
    <w:rsid w:val="00657EC9"/>
    <w:rsid w:val="0066057E"/>
    <w:rsid w:val="00665633"/>
    <w:rsid w:val="00674C86"/>
    <w:rsid w:val="0068015E"/>
    <w:rsid w:val="006861AB"/>
    <w:rsid w:val="00686B89"/>
    <w:rsid w:val="006906F0"/>
    <w:rsid w:val="0069420F"/>
    <w:rsid w:val="006A2FC5"/>
    <w:rsid w:val="006A7D75"/>
    <w:rsid w:val="006B027D"/>
    <w:rsid w:val="006B0A70"/>
    <w:rsid w:val="006B606A"/>
    <w:rsid w:val="006C33AF"/>
    <w:rsid w:val="006D1AEA"/>
    <w:rsid w:val="006D5D22"/>
    <w:rsid w:val="006E0324"/>
    <w:rsid w:val="006E4A76"/>
    <w:rsid w:val="006F1DBD"/>
    <w:rsid w:val="00700556"/>
    <w:rsid w:val="0070480D"/>
    <w:rsid w:val="007167DD"/>
    <w:rsid w:val="0072478B"/>
    <w:rsid w:val="0073414D"/>
    <w:rsid w:val="0075235E"/>
    <w:rsid w:val="007528A5"/>
    <w:rsid w:val="007732CC"/>
    <w:rsid w:val="00774079"/>
    <w:rsid w:val="0077752B"/>
    <w:rsid w:val="00791B69"/>
    <w:rsid w:val="00793D6F"/>
    <w:rsid w:val="00794090"/>
    <w:rsid w:val="007A44F8"/>
    <w:rsid w:val="007D21BF"/>
    <w:rsid w:val="007F3C12"/>
    <w:rsid w:val="007F5205"/>
    <w:rsid w:val="008215E7"/>
    <w:rsid w:val="00830FC6"/>
    <w:rsid w:val="00835E71"/>
    <w:rsid w:val="00865EAA"/>
    <w:rsid w:val="00866F06"/>
    <w:rsid w:val="008728F5"/>
    <w:rsid w:val="008824C2"/>
    <w:rsid w:val="00883999"/>
    <w:rsid w:val="008960E4"/>
    <w:rsid w:val="008A3940"/>
    <w:rsid w:val="008B0584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3E41"/>
    <w:rsid w:val="008F78D8"/>
    <w:rsid w:val="009003DB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2926"/>
    <w:rsid w:val="009F4E25"/>
    <w:rsid w:val="009F5B1F"/>
    <w:rsid w:val="009F6EA3"/>
    <w:rsid w:val="00A35DFD"/>
    <w:rsid w:val="00A702DF"/>
    <w:rsid w:val="00A775A3"/>
    <w:rsid w:val="00A81B5B"/>
    <w:rsid w:val="00A82D06"/>
    <w:rsid w:val="00A82FAD"/>
    <w:rsid w:val="00A9673A"/>
    <w:rsid w:val="00A96EF2"/>
    <w:rsid w:val="00AA274C"/>
    <w:rsid w:val="00AA5C35"/>
    <w:rsid w:val="00AA5ED9"/>
    <w:rsid w:val="00AC0A38"/>
    <w:rsid w:val="00AC4E0E"/>
    <w:rsid w:val="00AC517B"/>
    <w:rsid w:val="00AD0D19"/>
    <w:rsid w:val="00AD270C"/>
    <w:rsid w:val="00AF051B"/>
    <w:rsid w:val="00AF5B87"/>
    <w:rsid w:val="00B03487"/>
    <w:rsid w:val="00B037A2"/>
    <w:rsid w:val="00B10407"/>
    <w:rsid w:val="00B31870"/>
    <w:rsid w:val="00B320B8"/>
    <w:rsid w:val="00B35EE2"/>
    <w:rsid w:val="00B36DEF"/>
    <w:rsid w:val="00B41D75"/>
    <w:rsid w:val="00B57131"/>
    <w:rsid w:val="00B62F2C"/>
    <w:rsid w:val="00B727C9"/>
    <w:rsid w:val="00B735C8"/>
    <w:rsid w:val="00B769A2"/>
    <w:rsid w:val="00B76A63"/>
    <w:rsid w:val="00BA6350"/>
    <w:rsid w:val="00BA65B3"/>
    <w:rsid w:val="00BB4E29"/>
    <w:rsid w:val="00BB74C9"/>
    <w:rsid w:val="00BC3AB6"/>
    <w:rsid w:val="00BD19E8"/>
    <w:rsid w:val="00BD4273"/>
    <w:rsid w:val="00BD689D"/>
    <w:rsid w:val="00C03899"/>
    <w:rsid w:val="00C432E4"/>
    <w:rsid w:val="00C70C26"/>
    <w:rsid w:val="00C71534"/>
    <w:rsid w:val="00C72001"/>
    <w:rsid w:val="00C772B7"/>
    <w:rsid w:val="00C80347"/>
    <w:rsid w:val="00CA4CCA"/>
    <w:rsid w:val="00CB76D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064D"/>
    <w:rsid w:val="00D22596"/>
    <w:rsid w:val="00D22691"/>
    <w:rsid w:val="00D24C3D"/>
    <w:rsid w:val="00D4335C"/>
    <w:rsid w:val="00D43451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B7633"/>
    <w:rsid w:val="00DC15A9"/>
    <w:rsid w:val="00DC40AA"/>
    <w:rsid w:val="00DD1750"/>
    <w:rsid w:val="00DF11BE"/>
    <w:rsid w:val="00E349AA"/>
    <w:rsid w:val="00E41390"/>
    <w:rsid w:val="00E41CA0"/>
    <w:rsid w:val="00E4366B"/>
    <w:rsid w:val="00E50A4A"/>
    <w:rsid w:val="00E547A3"/>
    <w:rsid w:val="00E606DE"/>
    <w:rsid w:val="00E644FE"/>
    <w:rsid w:val="00E71CE9"/>
    <w:rsid w:val="00E72733"/>
    <w:rsid w:val="00E72E67"/>
    <w:rsid w:val="00E74065"/>
    <w:rsid w:val="00E742FA"/>
    <w:rsid w:val="00E76816"/>
    <w:rsid w:val="00E83DBF"/>
    <w:rsid w:val="00E87C13"/>
    <w:rsid w:val="00E94CD9"/>
    <w:rsid w:val="00EA1A76"/>
    <w:rsid w:val="00EA290B"/>
    <w:rsid w:val="00EB39A2"/>
    <w:rsid w:val="00EE0E90"/>
    <w:rsid w:val="00EF3BCA"/>
    <w:rsid w:val="00F01B0D"/>
    <w:rsid w:val="00F1238F"/>
    <w:rsid w:val="00F16485"/>
    <w:rsid w:val="00F228ED"/>
    <w:rsid w:val="00F25744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97785"/>
    <w:rsid w:val="00FB47EC"/>
    <w:rsid w:val="00FC6BEE"/>
    <w:rsid w:val="00FC6C29"/>
    <w:rsid w:val="00FD58E0"/>
    <w:rsid w:val="00FE0198"/>
    <w:rsid w:val="00FE3A7C"/>
    <w:rsid w:val="00FE581A"/>
    <w:rsid w:val="00FE618D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35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customStyle="1" w:styleId="ParaNum">
    <w:name w:val="ParaNum"/>
    <w:basedOn w:val="Normal"/>
    <w:link w:val="ParaNumCharChar1"/>
    <w:rsid w:val="004E25E2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Char1">
    <w:name w:val="ParaNum Char Char1"/>
    <w:link w:val="ParaNum"/>
    <w:locked/>
    <w:rsid w:val="004E25E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464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45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B76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7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76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7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7633"/>
    <w:rPr>
      <w:b/>
      <w:bCs/>
    </w:rPr>
  </w:style>
  <w:style w:type="paragraph" w:styleId="Header">
    <w:name w:val="header"/>
    <w:basedOn w:val="Normal"/>
    <w:link w:val="HeaderChar"/>
    <w:unhideWhenUsed/>
    <w:rsid w:val="00FB4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47E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B4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47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customStyle="1" w:styleId="ParaNum">
    <w:name w:val="ParaNum"/>
    <w:basedOn w:val="Normal"/>
    <w:link w:val="ParaNumCharChar1"/>
    <w:rsid w:val="004E25E2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Char1">
    <w:name w:val="ParaNum Char Char1"/>
    <w:link w:val="ParaNum"/>
    <w:locked/>
    <w:rsid w:val="004E25E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464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45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B76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7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76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7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7633"/>
    <w:rPr>
      <w:b/>
      <w:bCs/>
    </w:rPr>
  </w:style>
  <w:style w:type="paragraph" w:styleId="Header">
    <w:name w:val="header"/>
    <w:basedOn w:val="Normal"/>
    <w:link w:val="HeaderChar"/>
    <w:unhideWhenUsed/>
    <w:rsid w:val="00FB4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47E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B4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47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4436</Characters>
  <Application>Microsoft Office Word</Application>
  <DocSecurity>0</DocSecurity>
  <Lines>90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5212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2017-04-06T22:07:00Z</cp:lastPrinted>
  <dcterms:created xsi:type="dcterms:W3CDTF">2017-04-28T18:42:00Z</dcterms:created>
  <dcterms:modified xsi:type="dcterms:W3CDTF">2017-04-28T18:42:00Z</dcterms:modified>
  <cp:category> </cp:category>
  <cp:contentStatus> </cp:contentStatus>
</cp:coreProperties>
</file>