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tbl>
      <w:tblPr>
        <w:tblW w:w="0" w:type="auto"/>
        <w:tblLook w:val="04A0" w:firstRow="1" w:lastRow="0" w:firstColumn="1" w:lastColumn="0" w:noHBand="0" w:noVBand="1"/>
      </w:tblPr>
      <w:tblGrid>
        <w:gridCol w:w="3598"/>
        <w:gridCol w:w="5978"/>
      </w:tblGrid>
      <w:tr w:rsidR="0099015E" w:rsidRPr="007D4EF5" w:rsidTr="00B04B37">
        <w:tc>
          <w:tcPr>
            <w:tcW w:w="4788" w:type="dxa"/>
            <w:shd w:val="clear" w:color="auto" w:fill="auto"/>
          </w:tcPr>
          <w:p w:rsidR="0099015E" w:rsidRPr="007D4EF5" w:rsidRDefault="0099015E" w:rsidP="00197570">
            <w:pPr>
              <w:rPr>
                <w:sz w:val="24"/>
                <w:szCs w:val="24"/>
              </w:rPr>
            </w:pPr>
            <w:r w:rsidRPr="007D4EF5">
              <w:rPr>
                <w:sz w:val="24"/>
                <w:szCs w:val="24"/>
              </w:rPr>
              <w:lastRenderedPageBreak/>
              <w:t xml:space="preserve">Report No. </w:t>
            </w:r>
            <w:r w:rsidR="00197570">
              <w:rPr>
                <w:sz w:val="24"/>
                <w:szCs w:val="24"/>
              </w:rPr>
              <w:t>3077</w:t>
            </w:r>
            <w:r w:rsidRPr="007D4EF5">
              <w:rPr>
                <w:sz w:val="24"/>
                <w:szCs w:val="24"/>
              </w:rPr>
              <w:t xml:space="preserve"> </w:t>
            </w:r>
            <w:r w:rsidRPr="007D4EF5">
              <w:rPr>
                <w:sz w:val="24"/>
                <w:szCs w:val="24"/>
              </w:rPr>
              <w:tab/>
            </w:r>
          </w:p>
        </w:tc>
        <w:tc>
          <w:tcPr>
            <w:tcW w:w="8280" w:type="dxa"/>
            <w:shd w:val="clear" w:color="auto" w:fill="auto"/>
          </w:tcPr>
          <w:p w:rsidR="0099015E" w:rsidRPr="007D4EF5" w:rsidRDefault="0099015E" w:rsidP="00B04B37">
            <w:pPr>
              <w:jc w:val="right"/>
              <w:rPr>
                <w:sz w:val="24"/>
                <w:szCs w:val="24"/>
              </w:rPr>
            </w:pPr>
            <w:r w:rsidRPr="007D4EF5">
              <w:rPr>
                <w:sz w:val="24"/>
                <w:szCs w:val="24"/>
              </w:rPr>
              <w:t>May 1, 2017</w:t>
            </w:r>
          </w:p>
        </w:tc>
      </w:tr>
    </w:tbl>
    <w:p w:rsidR="0099015E" w:rsidRPr="007D4EF5" w:rsidRDefault="0099015E" w:rsidP="0099015E">
      <w:pPr>
        <w:rPr>
          <w:sz w:val="24"/>
          <w:szCs w:val="24"/>
        </w:rPr>
      </w:pPr>
      <w:r w:rsidRPr="007D4EF5">
        <w:rPr>
          <w:sz w:val="24"/>
          <w:szCs w:val="24"/>
        </w:rPr>
        <w:tab/>
      </w:r>
    </w:p>
    <w:p w:rsidR="0099015E" w:rsidRPr="007D4EF5" w:rsidRDefault="0099015E" w:rsidP="0099015E">
      <w:pPr>
        <w:spacing w:before="120" w:after="240"/>
        <w:jc w:val="center"/>
        <w:rPr>
          <w:b/>
          <w:sz w:val="24"/>
          <w:szCs w:val="24"/>
        </w:rPr>
      </w:pPr>
      <w:r w:rsidRPr="007D4EF5">
        <w:rPr>
          <w:b/>
          <w:sz w:val="24"/>
          <w:szCs w:val="24"/>
        </w:rPr>
        <w:t xml:space="preserve">PETITIONS FOR RECONSIDERATION OF ACTION IN RULEMAKING PROCEEDING </w:t>
      </w:r>
    </w:p>
    <w:p w:rsidR="0099015E" w:rsidRDefault="0099015E" w:rsidP="0099015E">
      <w:pPr>
        <w:rPr>
          <w:i/>
          <w:sz w:val="24"/>
          <w:szCs w:val="24"/>
        </w:rPr>
      </w:pPr>
      <w:r w:rsidRPr="007D4EF5">
        <w:rPr>
          <w:sz w:val="24"/>
          <w:szCs w:val="24"/>
        </w:rPr>
        <w:t>Petitions for reconsideration and</w:t>
      </w:r>
      <w:r>
        <w:rPr>
          <w:sz w:val="24"/>
          <w:szCs w:val="24"/>
        </w:rPr>
        <w:t>/or</w:t>
      </w:r>
      <w:r w:rsidRPr="007D4EF5">
        <w:rPr>
          <w:sz w:val="24"/>
          <w:szCs w:val="24"/>
        </w:rPr>
        <w:t xml:space="preserve"> clarification have been filed in the Commission’s rulemaking proceeding listed in this Public Notice.  The petitions filed by the parties listed below seek reconsideration </w:t>
      </w:r>
      <w:r>
        <w:rPr>
          <w:sz w:val="24"/>
          <w:szCs w:val="24"/>
        </w:rPr>
        <w:t>and/</w:t>
      </w:r>
      <w:r w:rsidRPr="007D4EF5">
        <w:rPr>
          <w:sz w:val="24"/>
          <w:szCs w:val="24"/>
        </w:rPr>
        <w:t xml:space="preserve">or clarification of a number of the policies and procedures </w:t>
      </w:r>
      <w:r>
        <w:rPr>
          <w:sz w:val="24"/>
          <w:szCs w:val="24"/>
        </w:rPr>
        <w:t xml:space="preserve">the Commission </w:t>
      </w:r>
      <w:r w:rsidRPr="007D4EF5">
        <w:rPr>
          <w:sz w:val="24"/>
          <w:szCs w:val="24"/>
        </w:rPr>
        <w:t xml:space="preserve">adopted in the </w:t>
      </w:r>
      <w:r>
        <w:rPr>
          <w:i/>
          <w:sz w:val="24"/>
          <w:szCs w:val="24"/>
        </w:rPr>
        <w:t xml:space="preserve">Mobility Fund Phase II Report and </w:t>
      </w:r>
      <w:r w:rsidRPr="0092732F">
        <w:rPr>
          <w:i/>
          <w:sz w:val="24"/>
          <w:szCs w:val="24"/>
        </w:rPr>
        <w:t>Order</w:t>
      </w:r>
      <w:r>
        <w:rPr>
          <w:i/>
          <w:sz w:val="24"/>
          <w:szCs w:val="24"/>
        </w:rPr>
        <w:t xml:space="preserve">.  </w:t>
      </w:r>
    </w:p>
    <w:p w:rsidR="0099015E" w:rsidRDefault="0099015E" w:rsidP="0099015E">
      <w:pPr>
        <w:rPr>
          <w:i/>
          <w:sz w:val="24"/>
          <w:szCs w:val="24"/>
        </w:rPr>
      </w:pPr>
    </w:p>
    <w:p w:rsidR="0099015E" w:rsidRDefault="0099015E" w:rsidP="0099015E">
      <w:pPr>
        <w:rPr>
          <w:sz w:val="24"/>
          <w:szCs w:val="24"/>
        </w:rPr>
      </w:pPr>
      <w:r>
        <w:rPr>
          <w:sz w:val="24"/>
          <w:szCs w:val="24"/>
        </w:rPr>
        <w:t xml:space="preserve">Many of the arguments asserted in the petitions </w:t>
      </w:r>
      <w:r w:rsidR="00461BF3">
        <w:rPr>
          <w:sz w:val="24"/>
          <w:szCs w:val="24"/>
        </w:rPr>
        <w:t>may be</w:t>
      </w:r>
      <w:r>
        <w:rPr>
          <w:sz w:val="24"/>
          <w:szCs w:val="24"/>
        </w:rPr>
        <w:t xml:space="preserve"> </w:t>
      </w:r>
      <w:r w:rsidRPr="007D4EF5">
        <w:rPr>
          <w:sz w:val="24"/>
          <w:szCs w:val="24"/>
        </w:rPr>
        <w:t xml:space="preserve">relevant to the </w:t>
      </w:r>
      <w:r>
        <w:rPr>
          <w:sz w:val="24"/>
          <w:szCs w:val="24"/>
        </w:rPr>
        <w:t xml:space="preserve">subject of the Further Notice of Proposed Rulemaking that accompanied the </w:t>
      </w:r>
      <w:r>
        <w:rPr>
          <w:i/>
          <w:sz w:val="24"/>
          <w:szCs w:val="24"/>
        </w:rPr>
        <w:t xml:space="preserve">Mobility Fund Phase II Report and </w:t>
      </w:r>
      <w:r w:rsidRPr="0092732F">
        <w:rPr>
          <w:i/>
          <w:sz w:val="24"/>
          <w:szCs w:val="24"/>
        </w:rPr>
        <w:t>Order</w:t>
      </w:r>
      <w:r>
        <w:rPr>
          <w:sz w:val="24"/>
          <w:szCs w:val="24"/>
        </w:rPr>
        <w:t xml:space="preserve"> – i.e., the challenge process to determine areas that are eligible for Mobility Fund Phase II support.  Because the comment cycle for the Further Notice of Proposed Rulemaking is scheduled to close on May 11, 2017, g</w:t>
      </w:r>
      <w:r w:rsidRPr="007D4EF5">
        <w:rPr>
          <w:sz w:val="24"/>
          <w:szCs w:val="24"/>
        </w:rPr>
        <w:t xml:space="preserve">ood cause exists in this instance to alter the </w:t>
      </w:r>
      <w:r w:rsidR="00DE764F">
        <w:rPr>
          <w:sz w:val="24"/>
          <w:szCs w:val="24"/>
        </w:rPr>
        <w:t xml:space="preserve">timing of the periods </w:t>
      </w:r>
      <w:r w:rsidRPr="007D4EF5">
        <w:rPr>
          <w:sz w:val="24"/>
          <w:szCs w:val="24"/>
        </w:rPr>
        <w:t xml:space="preserve">specified in Section 1.429 of the Commission’s rules, 47 CFR § 1.429, </w:t>
      </w:r>
      <w:r w:rsidR="00DE764F">
        <w:rPr>
          <w:sz w:val="24"/>
          <w:szCs w:val="24"/>
        </w:rPr>
        <w:t xml:space="preserve">and Section 1.4(b)(1), 47 CFR § 1.4(b)(1), </w:t>
      </w:r>
      <w:r w:rsidRPr="007D4EF5">
        <w:rPr>
          <w:sz w:val="24"/>
          <w:szCs w:val="24"/>
        </w:rPr>
        <w:t xml:space="preserve">for the filing of oppositions to </w:t>
      </w:r>
      <w:r w:rsidR="009C418B">
        <w:rPr>
          <w:sz w:val="24"/>
          <w:szCs w:val="24"/>
        </w:rPr>
        <w:t xml:space="preserve">the </w:t>
      </w:r>
      <w:r w:rsidRPr="007D4EF5">
        <w:rPr>
          <w:sz w:val="24"/>
          <w:szCs w:val="24"/>
        </w:rPr>
        <w:t xml:space="preserve">petitions for reconsideration and replies to oppositions.  An expedited schedule will give the Commission an opportunity to </w:t>
      </w:r>
      <w:r>
        <w:rPr>
          <w:sz w:val="24"/>
          <w:szCs w:val="24"/>
        </w:rPr>
        <w:t xml:space="preserve">address </w:t>
      </w:r>
      <w:r w:rsidR="004D5BE3">
        <w:rPr>
          <w:sz w:val="24"/>
          <w:szCs w:val="24"/>
        </w:rPr>
        <w:t>any</w:t>
      </w:r>
      <w:r>
        <w:rPr>
          <w:sz w:val="24"/>
          <w:szCs w:val="24"/>
        </w:rPr>
        <w:t xml:space="preserve"> related issues at the same time that it releases an order finalizing the challenge process.  The </w:t>
      </w:r>
      <w:r>
        <w:rPr>
          <w:i/>
          <w:sz w:val="24"/>
          <w:szCs w:val="24"/>
        </w:rPr>
        <w:t xml:space="preserve">Mobility Fund Phase II Report and </w:t>
      </w:r>
      <w:r w:rsidRPr="0092732F">
        <w:rPr>
          <w:i/>
          <w:sz w:val="24"/>
          <w:szCs w:val="24"/>
        </w:rPr>
        <w:t>Order</w:t>
      </w:r>
      <w:r>
        <w:rPr>
          <w:sz w:val="24"/>
          <w:szCs w:val="24"/>
        </w:rPr>
        <w:t xml:space="preserve"> contemplates that the order will be released in the coming months and that the challenge process will </w:t>
      </w:r>
      <w:r w:rsidR="00203EF2">
        <w:rPr>
          <w:sz w:val="24"/>
          <w:szCs w:val="24"/>
        </w:rPr>
        <w:t>begin prior to the end of the year</w:t>
      </w:r>
      <w:r>
        <w:rPr>
          <w:sz w:val="24"/>
          <w:szCs w:val="24"/>
        </w:rPr>
        <w:t xml:space="preserve">.    </w:t>
      </w:r>
    </w:p>
    <w:p w:rsidR="0099015E" w:rsidRDefault="0099015E" w:rsidP="0099015E">
      <w:pPr>
        <w:rPr>
          <w:sz w:val="24"/>
          <w:szCs w:val="24"/>
        </w:rPr>
      </w:pPr>
    </w:p>
    <w:p w:rsidR="0099015E" w:rsidRPr="007D4EF5" w:rsidRDefault="0099015E" w:rsidP="0099015E">
      <w:pPr>
        <w:rPr>
          <w:sz w:val="24"/>
          <w:szCs w:val="24"/>
        </w:rPr>
      </w:pPr>
      <w:r w:rsidRPr="007D4EF5">
        <w:rPr>
          <w:sz w:val="24"/>
          <w:szCs w:val="24"/>
        </w:rPr>
        <w:t xml:space="preserve">Accordingly, oppositions to petitions for reconsideration of the Report and Order shall be filed no later than </w:t>
      </w:r>
      <w:r w:rsidRPr="007D4EF5">
        <w:rPr>
          <w:b/>
          <w:sz w:val="24"/>
          <w:szCs w:val="24"/>
        </w:rPr>
        <w:t xml:space="preserve">May </w:t>
      </w:r>
      <w:r w:rsidR="007D2B65">
        <w:rPr>
          <w:b/>
          <w:sz w:val="24"/>
          <w:szCs w:val="24"/>
        </w:rPr>
        <w:t>16</w:t>
      </w:r>
      <w:r w:rsidRPr="007D4EF5">
        <w:rPr>
          <w:b/>
          <w:sz w:val="24"/>
          <w:szCs w:val="24"/>
        </w:rPr>
        <w:t>, 2017</w:t>
      </w:r>
      <w:r w:rsidRPr="007D4EF5">
        <w:rPr>
          <w:sz w:val="24"/>
          <w:szCs w:val="24"/>
        </w:rPr>
        <w:t xml:space="preserve">, and replies to oppositions will be due no later than </w:t>
      </w:r>
      <w:r w:rsidRPr="007D4EF5">
        <w:rPr>
          <w:b/>
          <w:sz w:val="24"/>
          <w:szCs w:val="24"/>
        </w:rPr>
        <w:t xml:space="preserve">May </w:t>
      </w:r>
      <w:r w:rsidR="007D2B65">
        <w:rPr>
          <w:b/>
          <w:sz w:val="24"/>
          <w:szCs w:val="24"/>
        </w:rPr>
        <w:t>26</w:t>
      </w:r>
      <w:r w:rsidRPr="007D4EF5">
        <w:rPr>
          <w:b/>
          <w:sz w:val="24"/>
          <w:szCs w:val="24"/>
        </w:rPr>
        <w:t>, 2017</w:t>
      </w:r>
      <w:r w:rsidRPr="007D4EF5">
        <w:rPr>
          <w:sz w:val="24"/>
          <w:szCs w:val="24"/>
        </w:rPr>
        <w:t xml:space="preserve">.  The full text of this document is available for viewing and copying at the FCC Reference Information Center, 445 12th Street, SW, Room CYA257, Washington, DC 20554.  </w:t>
      </w:r>
    </w:p>
    <w:p w:rsidR="0099015E" w:rsidRPr="007D4EF5" w:rsidRDefault="0099015E" w:rsidP="0099015E">
      <w:pPr>
        <w:rPr>
          <w:sz w:val="24"/>
          <w:szCs w:val="24"/>
        </w:rPr>
      </w:pPr>
    </w:p>
    <w:p w:rsidR="0099015E" w:rsidRPr="007D4EF5" w:rsidRDefault="0099015E" w:rsidP="0099015E">
      <w:pPr>
        <w:rPr>
          <w:sz w:val="24"/>
          <w:szCs w:val="24"/>
        </w:rPr>
      </w:pPr>
      <w:r w:rsidRPr="007D4EF5">
        <w:rPr>
          <w:sz w:val="24"/>
          <w:szCs w:val="24"/>
        </w:rPr>
        <w:t>---------------------------------------------------------------------------------------------------------------------</w:t>
      </w:r>
    </w:p>
    <w:p w:rsidR="0099015E" w:rsidRPr="007D4EF5" w:rsidRDefault="0099015E" w:rsidP="0099015E">
      <w:pPr>
        <w:rPr>
          <w:sz w:val="24"/>
          <w:szCs w:val="24"/>
        </w:rPr>
      </w:pPr>
    </w:p>
    <w:tbl>
      <w:tblPr>
        <w:tblW w:w="0" w:type="auto"/>
        <w:tblLook w:val="04A0" w:firstRow="1" w:lastRow="0" w:firstColumn="1" w:lastColumn="0" w:noHBand="0" w:noVBand="1"/>
      </w:tblPr>
      <w:tblGrid>
        <w:gridCol w:w="1458"/>
        <w:gridCol w:w="8118"/>
      </w:tblGrid>
      <w:tr w:rsidR="0099015E" w:rsidRPr="007D4EF5" w:rsidTr="00B04B37">
        <w:trPr>
          <w:cantSplit/>
        </w:trPr>
        <w:tc>
          <w:tcPr>
            <w:tcW w:w="1458" w:type="dxa"/>
            <w:shd w:val="clear" w:color="auto" w:fill="auto"/>
          </w:tcPr>
          <w:p w:rsidR="0099015E" w:rsidRPr="007D4EF5" w:rsidRDefault="0099015E" w:rsidP="00B04B37">
            <w:pPr>
              <w:rPr>
                <w:b/>
                <w:sz w:val="24"/>
                <w:szCs w:val="24"/>
              </w:rPr>
            </w:pPr>
            <w:r w:rsidRPr="007D4EF5">
              <w:rPr>
                <w:b/>
                <w:sz w:val="24"/>
                <w:szCs w:val="24"/>
              </w:rPr>
              <w:t>Subject:</w:t>
            </w:r>
          </w:p>
        </w:tc>
        <w:tc>
          <w:tcPr>
            <w:tcW w:w="8118" w:type="dxa"/>
            <w:shd w:val="clear" w:color="auto" w:fill="auto"/>
          </w:tcPr>
          <w:p w:rsidR="0099015E" w:rsidRPr="007D4EF5" w:rsidRDefault="0099015E" w:rsidP="0099015E">
            <w:pPr>
              <w:numPr>
                <w:ilvl w:val="0"/>
                <w:numId w:val="15"/>
              </w:numPr>
              <w:rPr>
                <w:sz w:val="24"/>
                <w:szCs w:val="24"/>
              </w:rPr>
            </w:pPr>
            <w:r w:rsidRPr="007D4EF5">
              <w:rPr>
                <w:i/>
                <w:sz w:val="24"/>
                <w:szCs w:val="24"/>
              </w:rPr>
              <w:t xml:space="preserve">Connect America Fund; Universal Service Reform – Mobility Fund </w:t>
            </w:r>
            <w:r w:rsidRPr="007D4EF5">
              <w:rPr>
                <w:sz w:val="24"/>
                <w:szCs w:val="24"/>
              </w:rPr>
              <w:t>(WC Docket No. 10-90, WT Docket No. 10-208)</w:t>
            </w:r>
          </w:p>
          <w:p w:rsidR="0099015E" w:rsidRPr="007D4EF5" w:rsidRDefault="0099015E" w:rsidP="00B04B37">
            <w:pPr>
              <w:rPr>
                <w:b/>
                <w:sz w:val="24"/>
                <w:szCs w:val="24"/>
              </w:rPr>
            </w:pPr>
          </w:p>
          <w:p w:rsidR="0099015E" w:rsidRPr="007D4EF5" w:rsidRDefault="0099015E" w:rsidP="00B04B37">
            <w:pPr>
              <w:rPr>
                <w:b/>
                <w:sz w:val="24"/>
                <w:szCs w:val="24"/>
              </w:rPr>
            </w:pPr>
          </w:p>
        </w:tc>
      </w:tr>
      <w:tr w:rsidR="0099015E" w:rsidRPr="007D4EF5" w:rsidTr="00B04B37">
        <w:trPr>
          <w:cantSplit/>
        </w:trPr>
        <w:tc>
          <w:tcPr>
            <w:tcW w:w="1458" w:type="dxa"/>
            <w:shd w:val="clear" w:color="auto" w:fill="auto"/>
          </w:tcPr>
          <w:p w:rsidR="0099015E" w:rsidRPr="007D4EF5" w:rsidRDefault="0099015E" w:rsidP="00B04B37">
            <w:pPr>
              <w:rPr>
                <w:b/>
                <w:sz w:val="24"/>
                <w:szCs w:val="24"/>
              </w:rPr>
            </w:pPr>
            <w:r w:rsidRPr="007D4EF5">
              <w:rPr>
                <w:b/>
                <w:sz w:val="24"/>
                <w:szCs w:val="24"/>
              </w:rPr>
              <w:t>Filed by:</w:t>
            </w:r>
          </w:p>
        </w:tc>
        <w:tc>
          <w:tcPr>
            <w:tcW w:w="8118" w:type="dxa"/>
            <w:shd w:val="clear" w:color="auto" w:fill="auto"/>
          </w:tcPr>
          <w:p w:rsidR="0099015E" w:rsidRPr="007D4EF5" w:rsidRDefault="0099015E" w:rsidP="0099015E">
            <w:pPr>
              <w:numPr>
                <w:ilvl w:val="0"/>
                <w:numId w:val="14"/>
              </w:numPr>
              <w:rPr>
                <w:b/>
                <w:sz w:val="24"/>
                <w:szCs w:val="24"/>
              </w:rPr>
            </w:pPr>
            <w:r w:rsidRPr="007D4EF5">
              <w:rPr>
                <w:sz w:val="24"/>
                <w:szCs w:val="24"/>
              </w:rPr>
              <w:t>Caressa D. Bennet, on behalf of Rural Wireless Association, Inc. (filed April 12, 2017)</w:t>
            </w:r>
          </w:p>
          <w:p w:rsidR="0099015E" w:rsidRPr="007D4EF5" w:rsidRDefault="0099015E" w:rsidP="00B04B37">
            <w:pPr>
              <w:ind w:left="720"/>
              <w:rPr>
                <w:b/>
                <w:sz w:val="24"/>
                <w:szCs w:val="24"/>
              </w:rPr>
            </w:pPr>
          </w:p>
        </w:tc>
      </w:tr>
      <w:tr w:rsidR="0099015E" w:rsidRPr="007D4EF5" w:rsidTr="00B04B37">
        <w:trPr>
          <w:cantSplit/>
        </w:trPr>
        <w:tc>
          <w:tcPr>
            <w:tcW w:w="1458" w:type="dxa"/>
            <w:shd w:val="clear" w:color="auto" w:fill="auto"/>
          </w:tcPr>
          <w:p w:rsidR="0099015E" w:rsidRPr="007D4EF5" w:rsidRDefault="0099015E" w:rsidP="00B04B37">
            <w:pPr>
              <w:rPr>
                <w:b/>
                <w:sz w:val="24"/>
                <w:szCs w:val="24"/>
              </w:rPr>
            </w:pPr>
          </w:p>
        </w:tc>
        <w:tc>
          <w:tcPr>
            <w:tcW w:w="8118" w:type="dxa"/>
            <w:shd w:val="clear" w:color="auto" w:fill="auto"/>
          </w:tcPr>
          <w:p w:rsidR="0099015E" w:rsidRPr="007D4EF5" w:rsidRDefault="00B5715F" w:rsidP="0099015E">
            <w:pPr>
              <w:numPr>
                <w:ilvl w:val="0"/>
                <w:numId w:val="13"/>
              </w:numPr>
              <w:rPr>
                <w:sz w:val="24"/>
                <w:szCs w:val="24"/>
              </w:rPr>
            </w:pPr>
            <w:r>
              <w:rPr>
                <w:sz w:val="24"/>
                <w:szCs w:val="24"/>
              </w:rPr>
              <w:t>Krista L. Witanowski</w:t>
            </w:r>
            <w:r w:rsidR="0099015E" w:rsidRPr="007D4EF5">
              <w:rPr>
                <w:sz w:val="24"/>
                <w:szCs w:val="24"/>
              </w:rPr>
              <w:t xml:space="preserve">, on behalf of </w:t>
            </w:r>
            <w:r>
              <w:rPr>
                <w:sz w:val="24"/>
                <w:szCs w:val="24"/>
              </w:rPr>
              <w:t xml:space="preserve">CTIA </w:t>
            </w:r>
            <w:r w:rsidR="0099015E" w:rsidRPr="007D4EF5">
              <w:rPr>
                <w:sz w:val="24"/>
                <w:szCs w:val="24"/>
              </w:rPr>
              <w:t>(filed</w:t>
            </w:r>
            <w:r>
              <w:rPr>
                <w:sz w:val="24"/>
                <w:szCs w:val="24"/>
              </w:rPr>
              <w:t xml:space="preserve"> April 26, 2017</w:t>
            </w:r>
            <w:r w:rsidR="0099015E" w:rsidRPr="007D4EF5">
              <w:rPr>
                <w:sz w:val="24"/>
                <w:szCs w:val="24"/>
              </w:rPr>
              <w:t>)</w:t>
            </w:r>
          </w:p>
          <w:p w:rsidR="0099015E" w:rsidRPr="007D4EF5" w:rsidRDefault="0099015E" w:rsidP="00B04B37">
            <w:pPr>
              <w:ind w:left="720"/>
              <w:rPr>
                <w:sz w:val="24"/>
                <w:szCs w:val="24"/>
              </w:rPr>
            </w:pPr>
          </w:p>
        </w:tc>
      </w:tr>
      <w:tr w:rsidR="0099015E" w:rsidRPr="007D4EF5" w:rsidTr="00B04B37">
        <w:trPr>
          <w:cantSplit/>
        </w:trPr>
        <w:tc>
          <w:tcPr>
            <w:tcW w:w="1458" w:type="dxa"/>
            <w:shd w:val="clear" w:color="auto" w:fill="auto"/>
          </w:tcPr>
          <w:p w:rsidR="0099015E" w:rsidRPr="007D4EF5" w:rsidRDefault="0099015E" w:rsidP="00B04B37">
            <w:pPr>
              <w:rPr>
                <w:b/>
                <w:sz w:val="24"/>
                <w:szCs w:val="24"/>
              </w:rPr>
            </w:pPr>
          </w:p>
        </w:tc>
        <w:tc>
          <w:tcPr>
            <w:tcW w:w="8118" w:type="dxa"/>
            <w:shd w:val="clear" w:color="auto" w:fill="auto"/>
          </w:tcPr>
          <w:p w:rsidR="0099015E" w:rsidRDefault="00B5715F" w:rsidP="0099015E">
            <w:pPr>
              <w:numPr>
                <w:ilvl w:val="0"/>
                <w:numId w:val="13"/>
              </w:numPr>
              <w:rPr>
                <w:sz w:val="24"/>
                <w:szCs w:val="24"/>
              </w:rPr>
            </w:pPr>
            <w:r>
              <w:rPr>
                <w:sz w:val="24"/>
                <w:szCs w:val="24"/>
              </w:rPr>
              <w:t>Brian Gelfand</w:t>
            </w:r>
            <w:r w:rsidR="0099015E" w:rsidRPr="007D4EF5">
              <w:rPr>
                <w:sz w:val="24"/>
                <w:szCs w:val="24"/>
              </w:rPr>
              <w:t>, on behalf of</w:t>
            </w:r>
            <w:r>
              <w:rPr>
                <w:sz w:val="24"/>
                <w:szCs w:val="24"/>
              </w:rPr>
              <w:t xml:space="preserve"> Buffalo-Lake Erie Wireless Systems, L.L.C. (Blue Wireless)</w:t>
            </w:r>
            <w:r w:rsidR="0099015E" w:rsidRPr="007D4EF5">
              <w:rPr>
                <w:sz w:val="24"/>
                <w:szCs w:val="24"/>
              </w:rPr>
              <w:t xml:space="preserve"> (</w:t>
            </w:r>
            <w:r>
              <w:rPr>
                <w:sz w:val="24"/>
                <w:szCs w:val="24"/>
              </w:rPr>
              <w:t>filed April 2</w:t>
            </w:r>
            <w:r w:rsidR="00702045">
              <w:rPr>
                <w:sz w:val="24"/>
                <w:szCs w:val="24"/>
              </w:rPr>
              <w:t>7</w:t>
            </w:r>
            <w:r>
              <w:rPr>
                <w:sz w:val="24"/>
                <w:szCs w:val="24"/>
              </w:rPr>
              <w:t>, 2017</w:t>
            </w:r>
            <w:r w:rsidR="0099015E" w:rsidRPr="007D4EF5">
              <w:rPr>
                <w:sz w:val="24"/>
                <w:szCs w:val="24"/>
              </w:rPr>
              <w:t>)</w:t>
            </w:r>
          </w:p>
          <w:p w:rsidR="00702045" w:rsidRDefault="00702045" w:rsidP="00702045">
            <w:pPr>
              <w:ind w:left="720"/>
              <w:rPr>
                <w:sz w:val="24"/>
                <w:szCs w:val="24"/>
              </w:rPr>
            </w:pPr>
          </w:p>
          <w:p w:rsidR="00702045" w:rsidRDefault="00702045" w:rsidP="0099015E">
            <w:pPr>
              <w:numPr>
                <w:ilvl w:val="0"/>
                <w:numId w:val="13"/>
              </w:numPr>
              <w:rPr>
                <w:sz w:val="24"/>
                <w:szCs w:val="24"/>
              </w:rPr>
            </w:pPr>
            <w:r>
              <w:rPr>
                <w:sz w:val="24"/>
                <w:szCs w:val="24"/>
              </w:rPr>
              <w:t xml:space="preserve">Robert A. Silverman, on behalf of Panhandle Telephone Cooperative, Inc. and Pine Belt Cellular, Inc. </w:t>
            </w:r>
            <w:r w:rsidRPr="007D4EF5">
              <w:rPr>
                <w:sz w:val="24"/>
                <w:szCs w:val="24"/>
              </w:rPr>
              <w:t>(</w:t>
            </w:r>
            <w:r>
              <w:rPr>
                <w:sz w:val="24"/>
                <w:szCs w:val="24"/>
              </w:rPr>
              <w:t>filed April 27, 2017</w:t>
            </w:r>
            <w:r w:rsidRPr="007D4EF5">
              <w:rPr>
                <w:sz w:val="24"/>
                <w:szCs w:val="24"/>
              </w:rPr>
              <w:t>)</w:t>
            </w:r>
          </w:p>
          <w:p w:rsidR="00B55853" w:rsidRDefault="00B55853" w:rsidP="00B55853">
            <w:pPr>
              <w:ind w:left="720"/>
              <w:rPr>
                <w:sz w:val="24"/>
                <w:szCs w:val="24"/>
              </w:rPr>
            </w:pPr>
          </w:p>
          <w:p w:rsidR="00B55853" w:rsidRDefault="00B55853" w:rsidP="0099015E">
            <w:pPr>
              <w:numPr>
                <w:ilvl w:val="0"/>
                <w:numId w:val="13"/>
              </w:numPr>
              <w:rPr>
                <w:sz w:val="24"/>
                <w:szCs w:val="24"/>
              </w:rPr>
            </w:pPr>
            <w:r>
              <w:rPr>
                <w:sz w:val="24"/>
                <w:szCs w:val="24"/>
              </w:rPr>
              <w:t>John Prendergast, on behalf of the Blooston Rural Carriers (filed April 27, 2017</w:t>
            </w:r>
            <w:r w:rsidRPr="007D4EF5">
              <w:rPr>
                <w:sz w:val="24"/>
                <w:szCs w:val="24"/>
              </w:rPr>
              <w:t>)</w:t>
            </w:r>
          </w:p>
          <w:p w:rsidR="00B55853" w:rsidRDefault="00B55853" w:rsidP="00B55853">
            <w:pPr>
              <w:ind w:left="720"/>
              <w:rPr>
                <w:sz w:val="24"/>
                <w:szCs w:val="24"/>
              </w:rPr>
            </w:pPr>
          </w:p>
          <w:p w:rsidR="00B55853" w:rsidRDefault="00B55853" w:rsidP="0099015E">
            <w:pPr>
              <w:numPr>
                <w:ilvl w:val="0"/>
                <w:numId w:val="13"/>
              </w:numPr>
              <w:rPr>
                <w:sz w:val="24"/>
                <w:szCs w:val="24"/>
              </w:rPr>
            </w:pPr>
            <w:r>
              <w:rPr>
                <w:sz w:val="24"/>
                <w:szCs w:val="24"/>
              </w:rPr>
              <w:t>David A. LaFuria, on behalf of Rural Wireless Carriers (filed April 27, 2017)</w:t>
            </w:r>
          </w:p>
          <w:p w:rsidR="00B55853" w:rsidRDefault="00B55853" w:rsidP="00B55853">
            <w:pPr>
              <w:ind w:left="720"/>
              <w:rPr>
                <w:sz w:val="24"/>
                <w:szCs w:val="24"/>
              </w:rPr>
            </w:pPr>
          </w:p>
          <w:p w:rsidR="00B55853" w:rsidRPr="007D4EF5" w:rsidRDefault="00B55853" w:rsidP="0099015E">
            <w:pPr>
              <w:numPr>
                <w:ilvl w:val="0"/>
                <w:numId w:val="13"/>
              </w:numPr>
              <w:rPr>
                <w:sz w:val="24"/>
                <w:szCs w:val="24"/>
              </w:rPr>
            </w:pPr>
            <w:r>
              <w:rPr>
                <w:sz w:val="24"/>
                <w:szCs w:val="24"/>
              </w:rPr>
              <w:t>Cathleen A. Massey, on behalf of T-Mobile USA, Inc. (filed April 27, 2017)</w:t>
            </w:r>
          </w:p>
          <w:p w:rsidR="0099015E" w:rsidRPr="007D4EF5" w:rsidRDefault="0099015E" w:rsidP="00B04B37">
            <w:pPr>
              <w:ind w:left="720"/>
              <w:rPr>
                <w:sz w:val="24"/>
                <w:szCs w:val="24"/>
              </w:rPr>
            </w:pPr>
          </w:p>
        </w:tc>
      </w:tr>
    </w:tbl>
    <w:p w:rsidR="0099015E" w:rsidRPr="007D4EF5" w:rsidRDefault="0099015E" w:rsidP="0099015E">
      <w:pPr>
        <w:rPr>
          <w:b/>
          <w:sz w:val="24"/>
          <w:szCs w:val="24"/>
        </w:rPr>
      </w:pPr>
      <w:r w:rsidRPr="007D4EF5">
        <w:rPr>
          <w:sz w:val="24"/>
          <w:szCs w:val="24"/>
        </w:rPr>
        <w:tab/>
      </w:r>
    </w:p>
    <w:p w:rsidR="0099015E" w:rsidRPr="007D4EF5" w:rsidRDefault="0099015E" w:rsidP="0099015E">
      <w:pPr>
        <w:spacing w:before="120" w:after="240"/>
        <w:jc w:val="center"/>
        <w:rPr>
          <w:sz w:val="24"/>
          <w:szCs w:val="24"/>
        </w:rPr>
      </w:pPr>
      <w:r w:rsidRPr="007D4EF5">
        <w:rPr>
          <w:b/>
          <w:sz w:val="24"/>
          <w:szCs w:val="24"/>
        </w:rPr>
        <w:t>--FCC--</w:t>
      </w:r>
    </w:p>
    <w:p w:rsidR="00892C30" w:rsidRPr="001F1C25" w:rsidRDefault="00892C30" w:rsidP="001F1C25">
      <w:pPr>
        <w:spacing w:before="120" w:after="240"/>
        <w:jc w:val="center"/>
        <w:rPr>
          <w:szCs w:val="22"/>
        </w:rPr>
      </w:pPr>
    </w:p>
    <w:sectPr w:rsidR="00892C30" w:rsidRPr="001F1C2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15" w:rsidRDefault="00EF2B15">
      <w:r>
        <w:separator/>
      </w:r>
    </w:p>
  </w:endnote>
  <w:endnote w:type="continuationSeparator" w:id="0">
    <w:p w:rsidR="00EF2B15" w:rsidRDefault="00E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71" w:rsidRDefault="00C32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C" w:rsidRDefault="00863D8C">
    <w:pPr>
      <w:pStyle w:val="Footer"/>
      <w:jc w:val="center"/>
    </w:pPr>
    <w:r>
      <w:fldChar w:fldCharType="begin"/>
    </w:r>
    <w:r>
      <w:instrText xml:space="preserve"> PAGE   \* MERGEFORMAT </w:instrText>
    </w:r>
    <w:r>
      <w:fldChar w:fldCharType="separate"/>
    </w:r>
    <w:r w:rsidR="00CC258B">
      <w:rPr>
        <w:noProof/>
      </w:rPr>
      <w:t>2</w:t>
    </w:r>
    <w:r>
      <w:rPr>
        <w:noProof/>
      </w:rPr>
      <w:fldChar w:fldCharType="end"/>
    </w:r>
  </w:p>
  <w:p w:rsidR="00863D8C" w:rsidRDefault="00863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71" w:rsidRDefault="00C3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15" w:rsidRDefault="00EF2B15">
      <w:r>
        <w:separator/>
      </w:r>
    </w:p>
  </w:footnote>
  <w:footnote w:type="continuationSeparator" w:id="0">
    <w:p w:rsidR="00EF2B15" w:rsidRDefault="00EF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71" w:rsidRDefault="00C32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71" w:rsidRDefault="00C32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9757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C73C79">
      <w:rPr>
        <w:rFonts w:ascii="Arial" w:hAnsi="Arial"/>
        <w:b/>
        <w:sz w:val="96"/>
      </w:rPr>
      <w:t>PUBLIC NOTICE</w:t>
    </w:r>
  </w:p>
  <w:p w:rsidR="00602577" w:rsidRDefault="0019757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233E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24A29D5"/>
    <w:multiLevelType w:val="hybridMultilevel"/>
    <w:tmpl w:val="C2D2AB5E"/>
    <w:lvl w:ilvl="0" w:tplc="1CFC76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375085A"/>
    <w:multiLevelType w:val="hybridMultilevel"/>
    <w:tmpl w:val="39225942"/>
    <w:lvl w:ilvl="0" w:tplc="E7C612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4E470FD"/>
    <w:multiLevelType w:val="hybridMultilevel"/>
    <w:tmpl w:val="161218C6"/>
    <w:lvl w:ilvl="0" w:tplc="553C4F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5"/>
  </w:num>
  <w:num w:numId="3">
    <w:abstractNumId w:val="8"/>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3"/>
  </w:num>
  <w:num w:numId="12">
    <w:abstractNumId w:val="1"/>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36"/>
    <w:rsid w:val="0000208F"/>
    <w:rsid w:val="00012EAE"/>
    <w:rsid w:val="000265AE"/>
    <w:rsid w:val="000414BE"/>
    <w:rsid w:val="00076EF0"/>
    <w:rsid w:val="00084A3B"/>
    <w:rsid w:val="000B0E23"/>
    <w:rsid w:val="000B1774"/>
    <w:rsid w:val="00114DBE"/>
    <w:rsid w:val="00197570"/>
    <w:rsid w:val="001B166E"/>
    <w:rsid w:val="001C23B6"/>
    <w:rsid w:val="001F1C25"/>
    <w:rsid w:val="00203EF2"/>
    <w:rsid w:val="00217BBA"/>
    <w:rsid w:val="00244E0A"/>
    <w:rsid w:val="002A6341"/>
    <w:rsid w:val="002D3230"/>
    <w:rsid w:val="002E3617"/>
    <w:rsid w:val="0032625C"/>
    <w:rsid w:val="0037287C"/>
    <w:rsid w:val="003C0A43"/>
    <w:rsid w:val="003F4A45"/>
    <w:rsid w:val="003F636B"/>
    <w:rsid w:val="00401E38"/>
    <w:rsid w:val="00405419"/>
    <w:rsid w:val="00423B74"/>
    <w:rsid w:val="00444348"/>
    <w:rsid w:val="00461BF3"/>
    <w:rsid w:val="004D5BE3"/>
    <w:rsid w:val="004E02C9"/>
    <w:rsid w:val="004E0899"/>
    <w:rsid w:val="00530440"/>
    <w:rsid w:val="00602577"/>
    <w:rsid w:val="00633A66"/>
    <w:rsid w:val="00686C53"/>
    <w:rsid w:val="006B19B4"/>
    <w:rsid w:val="006C4880"/>
    <w:rsid w:val="006D79E5"/>
    <w:rsid w:val="006E1DEE"/>
    <w:rsid w:val="00702045"/>
    <w:rsid w:val="00737E38"/>
    <w:rsid w:val="00764FF4"/>
    <w:rsid w:val="007C4EAC"/>
    <w:rsid w:val="007D2B65"/>
    <w:rsid w:val="007E6DF7"/>
    <w:rsid w:val="007F0CF6"/>
    <w:rsid w:val="00810F52"/>
    <w:rsid w:val="00863D8C"/>
    <w:rsid w:val="0088664E"/>
    <w:rsid w:val="00892C30"/>
    <w:rsid w:val="00893E8D"/>
    <w:rsid w:val="009268E4"/>
    <w:rsid w:val="009611E4"/>
    <w:rsid w:val="0099015E"/>
    <w:rsid w:val="009A0C5B"/>
    <w:rsid w:val="009C27E7"/>
    <w:rsid w:val="009C418B"/>
    <w:rsid w:val="009C5C98"/>
    <w:rsid w:val="009C6FCB"/>
    <w:rsid w:val="00AF4D87"/>
    <w:rsid w:val="00B17983"/>
    <w:rsid w:val="00B453B5"/>
    <w:rsid w:val="00B55853"/>
    <w:rsid w:val="00B5715F"/>
    <w:rsid w:val="00BA37CC"/>
    <w:rsid w:val="00BE6F6F"/>
    <w:rsid w:val="00C13F69"/>
    <w:rsid w:val="00C2694C"/>
    <w:rsid w:val="00C32571"/>
    <w:rsid w:val="00C4581B"/>
    <w:rsid w:val="00C6483D"/>
    <w:rsid w:val="00C73C79"/>
    <w:rsid w:val="00C9687A"/>
    <w:rsid w:val="00CC258B"/>
    <w:rsid w:val="00D17DC0"/>
    <w:rsid w:val="00D45E41"/>
    <w:rsid w:val="00D60EFF"/>
    <w:rsid w:val="00D754D0"/>
    <w:rsid w:val="00DB111A"/>
    <w:rsid w:val="00DE1438"/>
    <w:rsid w:val="00DE764F"/>
    <w:rsid w:val="00DF05B3"/>
    <w:rsid w:val="00EC2AC3"/>
    <w:rsid w:val="00EF2B15"/>
    <w:rsid w:val="00F178F6"/>
    <w:rsid w:val="00F53505"/>
    <w:rsid w:val="00F64EBD"/>
    <w:rsid w:val="00F767ED"/>
    <w:rsid w:val="00FD0C80"/>
    <w:rsid w:val="00F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5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table" w:styleId="TableGrid">
    <w:name w:val="Table Grid"/>
    <w:basedOn w:val="TableNormal"/>
    <w:uiPriority w:val="59"/>
    <w:rsid w:val="00530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63D8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5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table" w:styleId="TableGrid">
    <w:name w:val="Table Grid"/>
    <w:basedOn w:val="TableNormal"/>
    <w:uiPriority w:val="59"/>
    <w:rsid w:val="00530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63D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425</Words>
  <Characters>2283</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2017-05-01T16:17:00Z</dcterms:created>
  <dcterms:modified xsi:type="dcterms:W3CDTF">2017-05-01T16:17:00Z</dcterms:modified>
  <cp:category> </cp:category>
  <cp:contentStatus> </cp:contentStatus>
</cp:coreProperties>
</file>