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5FE00" w14:textId="77777777" w:rsidR="00C70D8C" w:rsidRPr="00BF3568" w:rsidRDefault="00322C73" w:rsidP="00322C73">
      <w:pPr>
        <w:spacing w:after="0" w:line="240" w:lineRule="auto"/>
        <w:jc w:val="center"/>
        <w:rPr>
          <w:rFonts w:cstheme="minorHAnsi"/>
          <w:b/>
        </w:rPr>
      </w:pPr>
      <w:bookmarkStart w:id="0" w:name="_GoBack"/>
      <w:bookmarkEnd w:id="0"/>
      <w:r w:rsidRPr="00BF3568">
        <w:rPr>
          <w:rFonts w:cstheme="minorHAnsi"/>
          <w:b/>
        </w:rPr>
        <w:t xml:space="preserve">Remarks of </w:t>
      </w:r>
      <w:r w:rsidR="00096A28" w:rsidRPr="00BF3568">
        <w:rPr>
          <w:rFonts w:cstheme="minorHAnsi"/>
          <w:b/>
        </w:rPr>
        <w:t xml:space="preserve">FCC Commissioner </w:t>
      </w:r>
      <w:r w:rsidRPr="00BF3568">
        <w:rPr>
          <w:rFonts w:cstheme="minorHAnsi"/>
          <w:b/>
        </w:rPr>
        <w:t>Michael O’Rielly</w:t>
      </w:r>
    </w:p>
    <w:p w14:paraId="73CE2562" w14:textId="77777777" w:rsidR="00322C73" w:rsidRPr="00BF3568" w:rsidRDefault="00ED2AF0" w:rsidP="00322C73">
      <w:pPr>
        <w:spacing w:after="0" w:line="240" w:lineRule="auto"/>
        <w:jc w:val="center"/>
        <w:rPr>
          <w:rFonts w:cstheme="minorHAnsi"/>
          <w:b/>
        </w:rPr>
      </w:pPr>
      <w:r w:rsidRPr="00BF3568">
        <w:rPr>
          <w:rFonts w:cstheme="minorHAnsi"/>
          <w:b/>
        </w:rPr>
        <w:t>ACA International’s Washington Insights Conference</w:t>
      </w:r>
    </w:p>
    <w:p w14:paraId="467D0335" w14:textId="77777777" w:rsidR="002F6646" w:rsidRPr="00BF3568" w:rsidRDefault="00ED2AF0" w:rsidP="00322C73">
      <w:pPr>
        <w:spacing w:after="0" w:line="240" w:lineRule="auto"/>
        <w:jc w:val="center"/>
        <w:rPr>
          <w:rFonts w:cstheme="minorHAnsi"/>
          <w:b/>
        </w:rPr>
      </w:pPr>
      <w:r w:rsidRPr="00BF3568">
        <w:rPr>
          <w:rFonts w:cstheme="minorHAnsi"/>
          <w:b/>
        </w:rPr>
        <w:t>May 4, 2017</w:t>
      </w:r>
    </w:p>
    <w:p w14:paraId="44F0E397" w14:textId="77777777" w:rsidR="00322C73" w:rsidRPr="00BF3568" w:rsidRDefault="00322C73" w:rsidP="00322C73">
      <w:pPr>
        <w:spacing w:after="0" w:line="240" w:lineRule="auto"/>
        <w:jc w:val="center"/>
        <w:rPr>
          <w:rFonts w:cstheme="minorHAnsi"/>
          <w:b/>
        </w:rPr>
      </w:pPr>
    </w:p>
    <w:p w14:paraId="685801CD" w14:textId="43BE676F" w:rsidR="00471C4F" w:rsidRPr="00BF3568" w:rsidRDefault="00322C73" w:rsidP="004D5564">
      <w:pPr>
        <w:spacing w:after="0" w:line="240" w:lineRule="auto"/>
        <w:ind w:firstLine="720"/>
        <w:rPr>
          <w:rFonts w:eastAsia="Times New Roman" w:cstheme="minorHAnsi"/>
        </w:rPr>
      </w:pPr>
      <w:r w:rsidRPr="00BF3568">
        <w:rPr>
          <w:rFonts w:eastAsia="Times New Roman" w:cstheme="minorHAnsi"/>
        </w:rPr>
        <w:t xml:space="preserve">Thank you for inviting me to </w:t>
      </w:r>
      <w:r w:rsidR="00C45CBB" w:rsidRPr="00BF3568">
        <w:rPr>
          <w:rFonts w:eastAsia="Times New Roman" w:cstheme="minorHAnsi"/>
        </w:rPr>
        <w:t>join</w:t>
      </w:r>
      <w:r w:rsidRPr="00BF3568">
        <w:rPr>
          <w:rFonts w:eastAsia="Times New Roman" w:cstheme="minorHAnsi"/>
        </w:rPr>
        <w:t xml:space="preserve"> you today </w:t>
      </w:r>
      <w:r w:rsidR="00C45CBB" w:rsidRPr="00BF3568">
        <w:rPr>
          <w:rFonts w:eastAsia="Times New Roman" w:cstheme="minorHAnsi"/>
        </w:rPr>
        <w:t>to discuss</w:t>
      </w:r>
      <w:r w:rsidRPr="00BF3568">
        <w:rPr>
          <w:rFonts w:eastAsia="Times New Roman" w:cstheme="minorHAnsi"/>
        </w:rPr>
        <w:t xml:space="preserve"> the Telephone Consumer Protecti</w:t>
      </w:r>
      <w:r w:rsidR="002F6646" w:rsidRPr="00BF3568">
        <w:rPr>
          <w:rFonts w:eastAsia="Times New Roman" w:cstheme="minorHAnsi"/>
        </w:rPr>
        <w:t>on Act</w:t>
      </w:r>
      <w:r w:rsidR="007546F5" w:rsidRPr="00BF3568">
        <w:rPr>
          <w:rFonts w:eastAsia="Times New Roman" w:cstheme="minorHAnsi"/>
        </w:rPr>
        <w:t xml:space="preserve"> of 1991</w:t>
      </w:r>
      <w:r w:rsidR="002F6646" w:rsidRPr="00BF3568">
        <w:rPr>
          <w:rFonts w:eastAsia="Times New Roman" w:cstheme="minorHAnsi"/>
        </w:rPr>
        <w:t>, or TCPA.</w:t>
      </w:r>
      <w:r w:rsidR="00302C69" w:rsidRPr="00BF3568">
        <w:rPr>
          <w:rFonts w:eastAsia="Times New Roman" w:cstheme="minorHAnsi"/>
        </w:rPr>
        <w:t xml:space="preserve"> </w:t>
      </w:r>
      <w:r w:rsidR="006E002A" w:rsidRPr="00BF3568">
        <w:rPr>
          <w:rFonts w:eastAsia="Times New Roman" w:cstheme="minorHAnsi"/>
        </w:rPr>
        <w:t xml:space="preserve"> </w:t>
      </w:r>
      <w:r w:rsidR="00570EA7" w:rsidRPr="00BF3568">
        <w:rPr>
          <w:rFonts w:eastAsia="Times New Roman" w:cstheme="minorHAnsi"/>
        </w:rPr>
        <w:t xml:space="preserve">You have been kind enough to invite me before, and </w:t>
      </w:r>
      <w:r w:rsidR="00471C4F" w:rsidRPr="00BF3568">
        <w:rPr>
          <w:rFonts w:eastAsia="Times New Roman" w:cstheme="minorHAnsi"/>
        </w:rPr>
        <w:t>looking back on how I ultimately arrived here today, I had to smile because it seemed relevant to the topic at hand</w:t>
      </w:r>
      <w:r w:rsidR="00753617">
        <w:rPr>
          <w:rFonts w:eastAsia="Times New Roman" w:cstheme="minorHAnsi"/>
        </w:rPr>
        <w:t xml:space="preserve"> and your industry</w:t>
      </w:r>
      <w:r w:rsidR="001132D0">
        <w:rPr>
          <w:rFonts w:eastAsia="Times New Roman" w:cstheme="minorHAnsi"/>
        </w:rPr>
        <w:t>’s</w:t>
      </w:r>
      <w:r w:rsidR="00753617">
        <w:rPr>
          <w:rFonts w:eastAsia="Times New Roman" w:cstheme="minorHAnsi"/>
        </w:rPr>
        <w:t xml:space="preserve"> operations</w:t>
      </w:r>
      <w:r w:rsidR="00471C4F" w:rsidRPr="00BF3568">
        <w:rPr>
          <w:rFonts w:eastAsia="Times New Roman" w:cstheme="minorHAnsi"/>
        </w:rPr>
        <w:t xml:space="preserve">.  The first time I was </w:t>
      </w:r>
      <w:r w:rsidR="00E55522" w:rsidRPr="00BF3568">
        <w:rPr>
          <w:rFonts w:eastAsia="Times New Roman" w:cstheme="minorHAnsi"/>
        </w:rPr>
        <w:t>called upon</w:t>
      </w:r>
      <w:r w:rsidR="00471C4F" w:rsidRPr="00BF3568">
        <w:rPr>
          <w:rFonts w:eastAsia="Times New Roman" w:cstheme="minorHAnsi"/>
        </w:rPr>
        <w:t xml:space="preserve"> to speak, I turned it down.  When I was contacted a second time, I was interested but </w:t>
      </w:r>
      <w:r w:rsidR="00702678">
        <w:t>it wasn’t the right time to discuss these issues</w:t>
      </w:r>
      <w:r w:rsidR="00471C4F" w:rsidRPr="00BF3568">
        <w:rPr>
          <w:rFonts w:eastAsia="Times New Roman" w:cstheme="minorHAnsi"/>
        </w:rPr>
        <w:t xml:space="preserve">, so I said no again.  The third time, I was both interested and ready, but it didn’t fit my schedule, so I had to decline.  </w:t>
      </w:r>
      <w:r w:rsidR="00514CFF" w:rsidRPr="00BF3568">
        <w:rPr>
          <w:rFonts w:eastAsia="Times New Roman" w:cstheme="minorHAnsi"/>
        </w:rPr>
        <w:t>Finally, on this fourth time, the stars aligned</w:t>
      </w:r>
      <w:r w:rsidR="006461D9">
        <w:rPr>
          <w:rFonts w:eastAsia="Times New Roman" w:cstheme="minorHAnsi"/>
        </w:rPr>
        <w:t>,</w:t>
      </w:r>
      <w:r w:rsidR="00514CFF" w:rsidRPr="00BF3568">
        <w:rPr>
          <w:rFonts w:eastAsia="Times New Roman" w:cstheme="minorHAnsi"/>
        </w:rPr>
        <w:t xml:space="preserve"> and I was able to accept.  But imagine if you had only been allowed to contact m</w:t>
      </w:r>
      <w:r w:rsidR="006D27EC" w:rsidRPr="00BF3568">
        <w:rPr>
          <w:rFonts w:eastAsia="Times New Roman" w:cstheme="minorHAnsi"/>
        </w:rPr>
        <w:t xml:space="preserve">e three times.  Perseverance </w:t>
      </w:r>
      <w:r w:rsidR="00514CFF" w:rsidRPr="00BF3568">
        <w:rPr>
          <w:rFonts w:eastAsia="Times New Roman" w:cstheme="minorHAnsi"/>
        </w:rPr>
        <w:t xml:space="preserve">can </w:t>
      </w:r>
      <w:r w:rsidR="006D27EC" w:rsidRPr="00BF3568">
        <w:rPr>
          <w:rFonts w:eastAsia="Times New Roman" w:cstheme="minorHAnsi"/>
        </w:rPr>
        <w:t xml:space="preserve">make all the difference and ultimately benefit everyone involved.  </w:t>
      </w:r>
      <w:r w:rsidR="00514CFF" w:rsidRPr="00BF3568">
        <w:rPr>
          <w:rFonts w:eastAsia="Times New Roman" w:cstheme="minorHAnsi"/>
        </w:rPr>
        <w:t xml:space="preserve">I am </w:t>
      </w:r>
      <w:r w:rsidR="006D27EC" w:rsidRPr="00BF3568">
        <w:rPr>
          <w:rFonts w:eastAsia="Times New Roman" w:cstheme="minorHAnsi"/>
        </w:rPr>
        <w:t xml:space="preserve">certainly </w:t>
      </w:r>
      <w:r w:rsidR="00514CFF" w:rsidRPr="00BF3568">
        <w:rPr>
          <w:rFonts w:eastAsia="Times New Roman" w:cstheme="minorHAnsi"/>
        </w:rPr>
        <w:t>glad that you kept calling</w:t>
      </w:r>
      <w:r w:rsidR="006D27EC" w:rsidRPr="00BF3568">
        <w:rPr>
          <w:rFonts w:eastAsia="Times New Roman" w:cstheme="minorHAnsi"/>
        </w:rPr>
        <w:t xml:space="preserve">, because this an </w:t>
      </w:r>
      <w:r w:rsidR="00A81672">
        <w:rPr>
          <w:rFonts w:eastAsia="Times New Roman" w:cstheme="minorHAnsi"/>
        </w:rPr>
        <w:t>interesting</w:t>
      </w:r>
      <w:r w:rsidR="006D27EC" w:rsidRPr="00BF3568">
        <w:rPr>
          <w:rFonts w:eastAsia="Times New Roman" w:cstheme="minorHAnsi"/>
        </w:rPr>
        <w:t xml:space="preserve"> time to talk about TCPA</w:t>
      </w:r>
      <w:r w:rsidR="00514CFF" w:rsidRPr="00BF3568">
        <w:rPr>
          <w:rFonts w:eastAsia="Times New Roman" w:cstheme="minorHAnsi"/>
        </w:rPr>
        <w:t xml:space="preserve">.  </w:t>
      </w:r>
    </w:p>
    <w:p w14:paraId="134A0F89" w14:textId="77777777" w:rsidR="00471C4F" w:rsidRPr="00BF3568" w:rsidRDefault="00471C4F" w:rsidP="004D5564">
      <w:pPr>
        <w:spacing w:after="0" w:line="240" w:lineRule="auto"/>
        <w:ind w:firstLine="720"/>
        <w:rPr>
          <w:rFonts w:eastAsia="Times New Roman" w:cstheme="minorHAnsi"/>
        </w:rPr>
      </w:pPr>
    </w:p>
    <w:p w14:paraId="1B42AA20" w14:textId="06E1C575" w:rsidR="00BF3568" w:rsidRPr="00BF3568" w:rsidRDefault="006D27EC" w:rsidP="006D27EC">
      <w:pPr>
        <w:spacing w:after="0" w:line="240" w:lineRule="auto"/>
        <w:ind w:firstLine="720"/>
        <w:rPr>
          <w:rFonts w:cstheme="minorHAnsi"/>
        </w:rPr>
      </w:pPr>
      <w:r w:rsidRPr="00BF3568">
        <w:rPr>
          <w:rFonts w:eastAsia="Times New Roman" w:cstheme="minorHAnsi"/>
        </w:rPr>
        <w:t xml:space="preserve">As you are well aware, prior decisions by the </w:t>
      </w:r>
      <w:r w:rsidR="007D01EB">
        <w:rPr>
          <w:rFonts w:eastAsia="Times New Roman" w:cstheme="minorHAnsi"/>
        </w:rPr>
        <w:t>Federal Communications Commission</w:t>
      </w:r>
      <w:r w:rsidRPr="00BF3568">
        <w:rPr>
          <w:rFonts w:eastAsia="Times New Roman" w:cstheme="minorHAnsi"/>
        </w:rPr>
        <w:t xml:space="preserve"> and courts throughout the country have expanded the boundaries of TCPA far beyond what </w:t>
      </w:r>
      <w:r w:rsidR="00F020AB">
        <w:rPr>
          <w:rFonts w:eastAsia="Times New Roman" w:cstheme="minorHAnsi"/>
        </w:rPr>
        <w:t xml:space="preserve">I believe </w:t>
      </w:r>
      <w:r w:rsidRPr="00BF3568">
        <w:rPr>
          <w:rFonts w:eastAsia="Times New Roman" w:cstheme="minorHAnsi"/>
        </w:rPr>
        <w:t>Congress intended</w:t>
      </w:r>
      <w:r w:rsidR="00A55C0B">
        <w:rPr>
          <w:rFonts w:eastAsia="Times New Roman" w:cstheme="minorHAnsi"/>
        </w:rPr>
        <w:t>,</w:t>
      </w:r>
      <w:r w:rsidR="00E32C93">
        <w:rPr>
          <w:rFonts w:eastAsia="Times New Roman" w:cstheme="minorHAnsi"/>
        </w:rPr>
        <w:t xml:space="preserve"> as </w:t>
      </w:r>
      <w:r w:rsidR="00BD56BC">
        <w:rPr>
          <w:rFonts w:eastAsia="Times New Roman" w:cstheme="minorHAnsi"/>
        </w:rPr>
        <w:t xml:space="preserve">evidenced </w:t>
      </w:r>
      <w:r w:rsidR="00E32C93">
        <w:rPr>
          <w:rFonts w:eastAsia="Times New Roman" w:cstheme="minorHAnsi"/>
        </w:rPr>
        <w:t>by the</w:t>
      </w:r>
      <w:r w:rsidR="002A6253">
        <w:rPr>
          <w:rFonts w:eastAsia="Times New Roman" w:cstheme="minorHAnsi"/>
        </w:rPr>
        <w:t xml:space="preserve"> actual wording </w:t>
      </w:r>
      <w:r w:rsidR="00CA0412">
        <w:rPr>
          <w:rFonts w:eastAsia="Times New Roman" w:cstheme="minorHAnsi"/>
        </w:rPr>
        <w:t>of</w:t>
      </w:r>
      <w:r w:rsidR="002A6253">
        <w:rPr>
          <w:rFonts w:eastAsia="Times New Roman" w:cstheme="minorHAnsi"/>
        </w:rPr>
        <w:t xml:space="preserve"> the statute</w:t>
      </w:r>
      <w:r w:rsidRPr="00BF3568">
        <w:rPr>
          <w:rFonts w:eastAsia="Times New Roman" w:cstheme="minorHAnsi"/>
        </w:rPr>
        <w:t xml:space="preserve">.  As the scope of TCPA has increased, so too has TCPA litigation.  Thousands of lawsuits are filed each year against businesses who thought they were taking the right precautions to stay within the law. </w:t>
      </w:r>
      <w:r w:rsidRPr="00BF3568">
        <w:rPr>
          <w:rFonts w:cstheme="minorHAnsi"/>
        </w:rPr>
        <w:t xml:space="preserve"> </w:t>
      </w:r>
      <w:r w:rsidR="00D70DDB" w:rsidRPr="00BF3568">
        <w:rPr>
          <w:rFonts w:cstheme="minorHAnsi"/>
        </w:rPr>
        <w:t>As your research has shown, b</w:t>
      </w:r>
      <w:r w:rsidRPr="00BF3568">
        <w:rPr>
          <w:rFonts w:cstheme="minorHAnsi"/>
        </w:rPr>
        <w:t>etween 2010 and 2015 there was a 948</w:t>
      </w:r>
      <w:r w:rsidR="00367460">
        <w:rPr>
          <w:rFonts w:cstheme="minorHAnsi"/>
        </w:rPr>
        <w:t xml:space="preserve"> percent</w:t>
      </w:r>
      <w:r w:rsidR="00367460" w:rsidRPr="00BF3568">
        <w:rPr>
          <w:rFonts w:cstheme="minorHAnsi"/>
        </w:rPr>
        <w:t xml:space="preserve"> </w:t>
      </w:r>
      <w:r w:rsidRPr="00BF3568">
        <w:rPr>
          <w:rFonts w:cstheme="minorHAnsi"/>
        </w:rPr>
        <w:t>increase in litigants involved in TCPA-related lawsuits.</w:t>
      </w:r>
      <w:r w:rsidR="00BF3568" w:rsidRPr="00BF3568">
        <w:rPr>
          <w:rStyle w:val="FootnoteReference"/>
          <w:rFonts w:asciiTheme="minorHAnsi" w:hAnsiTheme="minorHAnsi" w:cstheme="minorHAnsi"/>
        </w:rPr>
        <w:footnoteReference w:id="1"/>
      </w:r>
      <w:r w:rsidR="00BF3568" w:rsidRPr="00BF3568">
        <w:rPr>
          <w:rFonts w:cstheme="minorHAnsi"/>
        </w:rPr>
        <w:t xml:space="preserve">  And these lawsuits impact every sector of the economy.  </w:t>
      </w:r>
    </w:p>
    <w:p w14:paraId="67855FAB" w14:textId="77777777" w:rsidR="00BF3568" w:rsidRPr="00BF3568" w:rsidRDefault="00BF3568" w:rsidP="006D27EC">
      <w:pPr>
        <w:spacing w:after="0" w:line="240" w:lineRule="auto"/>
        <w:ind w:firstLine="720"/>
        <w:rPr>
          <w:rFonts w:cstheme="minorHAnsi"/>
        </w:rPr>
      </w:pPr>
    </w:p>
    <w:p w14:paraId="02B41F5B" w14:textId="50961323" w:rsidR="00BF3568" w:rsidRPr="00BF3568" w:rsidRDefault="007F7892" w:rsidP="004D5564">
      <w:pPr>
        <w:spacing w:after="0" w:line="240" w:lineRule="auto"/>
        <w:ind w:firstLine="720"/>
        <w:rPr>
          <w:rFonts w:eastAsia="Times New Roman" w:cstheme="minorHAnsi"/>
        </w:rPr>
      </w:pPr>
      <w:r>
        <w:rPr>
          <w:rFonts w:eastAsia="Times New Roman" w:cstheme="minorHAnsi"/>
        </w:rPr>
        <w:t>Despite this, there</w:t>
      </w:r>
      <w:r w:rsidR="00BF3568" w:rsidRPr="00BF3568">
        <w:rPr>
          <w:rFonts w:eastAsia="Times New Roman" w:cstheme="minorHAnsi"/>
        </w:rPr>
        <w:t xml:space="preserve"> is reason for optimism.  With the change in Administration</w:t>
      </w:r>
      <w:r w:rsidR="00CA0412">
        <w:rPr>
          <w:rFonts w:eastAsia="Times New Roman" w:cstheme="minorHAnsi"/>
        </w:rPr>
        <w:t>,</w:t>
      </w:r>
      <w:r w:rsidR="00BF3568" w:rsidRPr="00BF3568">
        <w:rPr>
          <w:rFonts w:eastAsia="Times New Roman" w:cstheme="minorHAnsi"/>
        </w:rPr>
        <w:t xml:space="preserve"> new leadership </w:t>
      </w:r>
      <w:r w:rsidR="00367460">
        <w:rPr>
          <w:rFonts w:eastAsia="Times New Roman" w:cstheme="minorHAnsi"/>
        </w:rPr>
        <w:t>at</w:t>
      </w:r>
      <w:r w:rsidR="00CA491B">
        <w:rPr>
          <w:rFonts w:eastAsia="Times New Roman" w:cstheme="minorHAnsi"/>
        </w:rPr>
        <w:t xml:space="preserve"> the </w:t>
      </w:r>
      <w:r w:rsidR="00BF3568" w:rsidRPr="00BF3568">
        <w:rPr>
          <w:rFonts w:eastAsia="Times New Roman" w:cstheme="minorHAnsi"/>
        </w:rPr>
        <w:t>Commission</w:t>
      </w:r>
      <w:r w:rsidR="0091426D">
        <w:rPr>
          <w:rFonts w:eastAsia="Times New Roman" w:cstheme="minorHAnsi"/>
        </w:rPr>
        <w:t xml:space="preserve"> and a new </w:t>
      </w:r>
      <w:r w:rsidR="006461D9">
        <w:rPr>
          <w:rFonts w:eastAsia="Times New Roman" w:cstheme="minorHAnsi"/>
        </w:rPr>
        <w:t xml:space="preserve">Bureau </w:t>
      </w:r>
      <w:r w:rsidR="0091426D">
        <w:rPr>
          <w:rFonts w:eastAsia="Times New Roman" w:cstheme="minorHAnsi"/>
        </w:rPr>
        <w:t xml:space="preserve">head </w:t>
      </w:r>
      <w:r w:rsidR="006B1EE5">
        <w:rPr>
          <w:rFonts w:eastAsia="Times New Roman" w:cstheme="minorHAnsi"/>
        </w:rPr>
        <w:t>overseeing TCPA</w:t>
      </w:r>
      <w:r w:rsidR="00BF3568" w:rsidRPr="00BF3568">
        <w:rPr>
          <w:rFonts w:eastAsia="Times New Roman" w:cstheme="minorHAnsi"/>
        </w:rPr>
        <w:t>, we have the chance to undo the misguided and harmful TCPA decisions of the past that exposed legitimate companies to massive legal liability without actually protecting consumers.  The D</w:t>
      </w:r>
      <w:r w:rsidR="00BD56BC">
        <w:rPr>
          <w:rFonts w:eastAsia="Times New Roman" w:cstheme="minorHAnsi"/>
        </w:rPr>
        <w:t>.</w:t>
      </w:r>
      <w:r w:rsidR="00BF3568" w:rsidRPr="00BF3568">
        <w:rPr>
          <w:rFonts w:eastAsia="Times New Roman" w:cstheme="minorHAnsi"/>
        </w:rPr>
        <w:t>C</w:t>
      </w:r>
      <w:r w:rsidR="00BD56BC">
        <w:rPr>
          <w:rFonts w:eastAsia="Times New Roman" w:cstheme="minorHAnsi"/>
        </w:rPr>
        <w:t>.</w:t>
      </w:r>
      <w:r w:rsidR="00BF3568" w:rsidRPr="00BF3568">
        <w:rPr>
          <w:rFonts w:eastAsia="Times New Roman" w:cstheme="minorHAnsi"/>
        </w:rPr>
        <w:t xml:space="preserve"> Circuit has yet to issue an opinion on ACA</w:t>
      </w:r>
      <w:r w:rsidR="000340E5">
        <w:rPr>
          <w:rFonts w:eastAsia="Times New Roman" w:cstheme="minorHAnsi"/>
        </w:rPr>
        <w:t xml:space="preserve"> International</w:t>
      </w:r>
      <w:r w:rsidR="00BF3568" w:rsidRPr="00BF3568">
        <w:rPr>
          <w:rFonts w:eastAsia="Times New Roman" w:cstheme="minorHAnsi"/>
        </w:rPr>
        <w:t xml:space="preserve">’s appeal of the FCC’s </w:t>
      </w:r>
      <w:r w:rsidR="00BF3568" w:rsidRPr="00BF3568">
        <w:rPr>
          <w:rFonts w:eastAsia="Times New Roman" w:cstheme="minorHAnsi"/>
          <w:i/>
        </w:rPr>
        <w:t>TCPA Omnibus Order</w:t>
      </w:r>
      <w:r w:rsidR="00BF3568" w:rsidRPr="00BF3568">
        <w:rPr>
          <w:rFonts w:eastAsia="Times New Roman" w:cstheme="minorHAnsi"/>
        </w:rPr>
        <w:t xml:space="preserve">, which was joined by a wide array of parties.  And I hope </w:t>
      </w:r>
      <w:r w:rsidR="006D6852">
        <w:rPr>
          <w:rFonts w:eastAsia="Times New Roman" w:cstheme="minorHAnsi"/>
        </w:rPr>
        <w:t>against</w:t>
      </w:r>
      <w:r w:rsidR="00FC35EA">
        <w:rPr>
          <w:rFonts w:eastAsia="Times New Roman" w:cstheme="minorHAnsi"/>
        </w:rPr>
        <w:t xml:space="preserve"> all hope </w:t>
      </w:r>
      <w:r w:rsidR="00BF3568" w:rsidRPr="00BF3568">
        <w:rPr>
          <w:rFonts w:eastAsia="Times New Roman" w:cstheme="minorHAnsi"/>
        </w:rPr>
        <w:t xml:space="preserve">that a number of aspects of that Order will be overturned.  </w:t>
      </w:r>
      <w:r w:rsidR="005349EE">
        <w:rPr>
          <w:rFonts w:eastAsia="Times New Roman" w:cstheme="minorHAnsi"/>
        </w:rPr>
        <w:t xml:space="preserve">Perhaps </w:t>
      </w:r>
      <w:r w:rsidR="00B51B53">
        <w:rPr>
          <w:rFonts w:eastAsia="Times New Roman" w:cstheme="minorHAnsi"/>
        </w:rPr>
        <w:t>indicative</w:t>
      </w:r>
      <w:r w:rsidR="00BF3568" w:rsidRPr="00BF3568">
        <w:rPr>
          <w:rFonts w:eastAsia="Times New Roman" w:cstheme="minorHAnsi"/>
        </w:rPr>
        <w:t>, the D</w:t>
      </w:r>
      <w:r w:rsidR="00BD56BC">
        <w:rPr>
          <w:rFonts w:eastAsia="Times New Roman" w:cstheme="minorHAnsi"/>
        </w:rPr>
        <w:t>.</w:t>
      </w:r>
      <w:r w:rsidR="00BF3568" w:rsidRPr="00BF3568">
        <w:rPr>
          <w:rFonts w:eastAsia="Times New Roman" w:cstheme="minorHAnsi"/>
        </w:rPr>
        <w:t>C</w:t>
      </w:r>
      <w:r w:rsidR="00BD56BC">
        <w:rPr>
          <w:rFonts w:eastAsia="Times New Roman" w:cstheme="minorHAnsi"/>
        </w:rPr>
        <w:t>.</w:t>
      </w:r>
      <w:r w:rsidR="00BF3568" w:rsidRPr="00BF3568">
        <w:rPr>
          <w:rFonts w:eastAsia="Times New Roman" w:cstheme="minorHAnsi"/>
        </w:rPr>
        <w:t xml:space="preserve"> Circuit recently said that TCPA did not give the FCC authority </w:t>
      </w:r>
      <w:r w:rsidR="003B24F5">
        <w:rPr>
          <w:rFonts w:eastAsia="Times New Roman" w:cstheme="minorHAnsi"/>
        </w:rPr>
        <w:t xml:space="preserve">to </w:t>
      </w:r>
      <w:r w:rsidR="00BF3568" w:rsidRPr="00BF3568">
        <w:rPr>
          <w:rFonts w:eastAsia="Times New Roman" w:cstheme="minorHAnsi"/>
        </w:rPr>
        <w:t xml:space="preserve">require opt-out notices on solicited faxes.  But regardless of the outcome on the broader TCPA appeal, I expect that the FCC will need to </w:t>
      </w:r>
      <w:r w:rsidR="00367A2C">
        <w:rPr>
          <w:rFonts w:eastAsia="Times New Roman" w:cstheme="minorHAnsi"/>
        </w:rPr>
        <w:t xml:space="preserve">revisit the issue to </w:t>
      </w:r>
      <w:r w:rsidR="00887E45">
        <w:rPr>
          <w:rFonts w:eastAsia="Times New Roman" w:cstheme="minorHAnsi"/>
        </w:rPr>
        <w:t xml:space="preserve">write </w:t>
      </w:r>
      <w:r w:rsidR="00BF3568" w:rsidRPr="00BF3568">
        <w:rPr>
          <w:rFonts w:eastAsia="Times New Roman" w:cstheme="minorHAnsi"/>
        </w:rPr>
        <w:t>rules</w:t>
      </w:r>
      <w:r w:rsidR="00EA29BB">
        <w:rPr>
          <w:rFonts w:eastAsia="Times New Roman" w:cstheme="minorHAnsi"/>
        </w:rPr>
        <w:t xml:space="preserve"> that are truly</w:t>
      </w:r>
      <w:r w:rsidR="00BF3568" w:rsidRPr="00BF3568">
        <w:rPr>
          <w:rFonts w:eastAsia="Times New Roman" w:cstheme="minorHAnsi"/>
        </w:rPr>
        <w:t xml:space="preserve"> clear and rational.  </w:t>
      </w:r>
      <w:r w:rsidR="001907C7">
        <w:rPr>
          <w:rFonts w:eastAsia="Times New Roman" w:cstheme="minorHAnsi"/>
        </w:rPr>
        <w:t>The 2015 ru</w:t>
      </w:r>
      <w:r w:rsidR="00CB6C7B">
        <w:rPr>
          <w:rFonts w:eastAsia="Times New Roman" w:cstheme="minorHAnsi"/>
        </w:rPr>
        <w:t>les are neither</w:t>
      </w:r>
      <w:r w:rsidR="00704DD6">
        <w:rPr>
          <w:rFonts w:eastAsia="Times New Roman" w:cstheme="minorHAnsi"/>
        </w:rPr>
        <w:t xml:space="preserve">. </w:t>
      </w:r>
    </w:p>
    <w:p w14:paraId="53239FAD" w14:textId="77777777" w:rsidR="00BF3568" w:rsidRPr="00BF3568" w:rsidRDefault="00BF3568" w:rsidP="004D5564">
      <w:pPr>
        <w:spacing w:after="0" w:line="240" w:lineRule="auto"/>
        <w:ind w:firstLine="720"/>
        <w:rPr>
          <w:rFonts w:eastAsia="Times New Roman" w:cstheme="minorHAnsi"/>
        </w:rPr>
      </w:pPr>
    </w:p>
    <w:p w14:paraId="18B1A3D7" w14:textId="3A7CAF50" w:rsidR="00BF3568" w:rsidRPr="00BF3568" w:rsidRDefault="00A342D7" w:rsidP="004D5564">
      <w:pPr>
        <w:spacing w:after="0" w:line="240" w:lineRule="auto"/>
        <w:ind w:firstLine="720"/>
        <w:rPr>
          <w:rFonts w:eastAsia="Times New Roman" w:cstheme="minorHAnsi"/>
        </w:rPr>
      </w:pPr>
      <w:r>
        <w:rPr>
          <w:rFonts w:eastAsia="Times New Roman" w:cstheme="minorHAnsi"/>
        </w:rPr>
        <w:t xml:space="preserve">Recognizing </w:t>
      </w:r>
      <w:r w:rsidR="00C30369">
        <w:rPr>
          <w:rFonts w:eastAsia="Times New Roman" w:cstheme="minorHAnsi"/>
        </w:rPr>
        <w:t>this reality</w:t>
      </w:r>
      <w:r w:rsidR="00BF3568" w:rsidRPr="00BF3568">
        <w:rPr>
          <w:rFonts w:eastAsia="Times New Roman" w:cstheme="minorHAnsi"/>
        </w:rPr>
        <w:t xml:space="preserve">, I would like to outline three overarching points to help frame the discussion and guide the adoption of any replacement rules.  </w:t>
      </w:r>
    </w:p>
    <w:p w14:paraId="71E7407A" w14:textId="77777777" w:rsidR="00BF3568" w:rsidRPr="00BF3568" w:rsidRDefault="00BF3568" w:rsidP="004D5564">
      <w:pPr>
        <w:spacing w:after="0" w:line="240" w:lineRule="auto"/>
        <w:ind w:firstLine="720"/>
        <w:rPr>
          <w:rFonts w:eastAsia="Times New Roman" w:cstheme="minorHAnsi"/>
        </w:rPr>
      </w:pPr>
    </w:p>
    <w:p w14:paraId="4FA16C33" w14:textId="77777777" w:rsidR="00BF3568" w:rsidRPr="00BF3568" w:rsidRDefault="00BF3568" w:rsidP="00BF1F8B">
      <w:pPr>
        <w:spacing w:after="0" w:line="240" w:lineRule="auto"/>
        <w:rPr>
          <w:rFonts w:eastAsia="Times New Roman" w:cstheme="minorHAnsi"/>
          <w:u w:val="single"/>
        </w:rPr>
      </w:pPr>
      <w:r w:rsidRPr="00BF3568">
        <w:rPr>
          <w:rFonts w:eastAsia="Times New Roman" w:cstheme="minorHAnsi"/>
          <w:u w:val="single"/>
        </w:rPr>
        <w:t>Legitimate Businesses Should be Able to Make Informational and Telemarketing Calls</w:t>
      </w:r>
    </w:p>
    <w:p w14:paraId="7EC0BF4F" w14:textId="77777777" w:rsidR="00BF3568" w:rsidRPr="00BF3568" w:rsidRDefault="00BF3568" w:rsidP="004D5564">
      <w:pPr>
        <w:spacing w:after="0" w:line="240" w:lineRule="auto"/>
        <w:ind w:firstLine="720"/>
        <w:rPr>
          <w:rFonts w:eastAsia="Times New Roman" w:cstheme="minorHAnsi"/>
        </w:rPr>
      </w:pPr>
    </w:p>
    <w:p w14:paraId="43783149" w14:textId="335FC8FE" w:rsidR="00BF3568" w:rsidRPr="00BF3568" w:rsidRDefault="00BF3568" w:rsidP="004D5564">
      <w:pPr>
        <w:spacing w:after="0" w:line="240" w:lineRule="auto"/>
        <w:ind w:firstLine="720"/>
        <w:rPr>
          <w:rFonts w:eastAsia="Times New Roman" w:cstheme="minorHAnsi"/>
        </w:rPr>
      </w:pPr>
      <w:r w:rsidRPr="00BF3568">
        <w:rPr>
          <w:rFonts w:eastAsia="Times New Roman" w:cstheme="minorHAnsi"/>
        </w:rPr>
        <w:t>The first point I want to stress is the value of ensuring that legitimate businesses are able to contact consumers to communicate information that they want, need or expect to receive.  Whether it is an informational call like an appointment reminder or a telemarketing call to a person that has previously provided contact information, these can be beneficial</w:t>
      </w:r>
      <w:r w:rsidR="00E17A27">
        <w:rPr>
          <w:rFonts w:eastAsia="Times New Roman" w:cstheme="minorHAnsi"/>
        </w:rPr>
        <w:t xml:space="preserve"> </w:t>
      </w:r>
      <w:r w:rsidR="00A73F71">
        <w:rPr>
          <w:rFonts w:eastAsia="Times New Roman" w:cstheme="minorHAnsi"/>
        </w:rPr>
        <w:t xml:space="preserve">to the </w:t>
      </w:r>
      <w:r w:rsidR="00E17A27">
        <w:rPr>
          <w:rFonts w:eastAsia="Times New Roman" w:cstheme="minorHAnsi"/>
        </w:rPr>
        <w:t>party</w:t>
      </w:r>
      <w:r w:rsidR="00A73F71">
        <w:rPr>
          <w:rFonts w:eastAsia="Times New Roman" w:cstheme="minorHAnsi"/>
        </w:rPr>
        <w:t xml:space="preserve"> being called</w:t>
      </w:r>
      <w:r w:rsidRPr="00BF3568">
        <w:rPr>
          <w:rFonts w:eastAsia="Times New Roman" w:cstheme="minorHAnsi"/>
        </w:rPr>
        <w:t xml:space="preserve">.  TCPA was intended to protect consumers from </w:t>
      </w:r>
      <w:r w:rsidRPr="00BF3568">
        <w:rPr>
          <w:rFonts w:eastAsia="Times New Roman" w:cstheme="minorHAnsi"/>
          <w:i/>
        </w:rPr>
        <w:t>illegal</w:t>
      </w:r>
      <w:r w:rsidRPr="00BF3568">
        <w:rPr>
          <w:rFonts w:eastAsia="Times New Roman" w:cstheme="minorHAnsi"/>
        </w:rPr>
        <w:t xml:space="preserve"> robocalls and abusive calling practices.  </w:t>
      </w:r>
      <w:r w:rsidR="00D87A26">
        <w:rPr>
          <w:rFonts w:eastAsia="Times New Roman" w:cstheme="minorHAnsi"/>
        </w:rPr>
        <w:t>This notwithstanding</w:t>
      </w:r>
      <w:r w:rsidRPr="00BF3568">
        <w:rPr>
          <w:rFonts w:eastAsia="Times New Roman" w:cstheme="minorHAnsi"/>
        </w:rPr>
        <w:t>, it is increasingly common to hear all automated calls</w:t>
      </w:r>
      <w:r w:rsidR="00886A51">
        <w:rPr>
          <w:rFonts w:eastAsia="Times New Roman" w:cstheme="minorHAnsi"/>
        </w:rPr>
        <w:t xml:space="preserve"> lumped together and</w:t>
      </w:r>
      <w:r w:rsidRPr="00BF3568">
        <w:rPr>
          <w:rFonts w:eastAsia="Times New Roman" w:cstheme="minorHAnsi"/>
        </w:rPr>
        <w:t xml:space="preserve"> branded as </w:t>
      </w:r>
      <w:r w:rsidRPr="00BF3568">
        <w:rPr>
          <w:rFonts w:eastAsia="Times New Roman" w:cstheme="minorHAnsi"/>
        </w:rPr>
        <w:lastRenderedPageBreak/>
        <w:t xml:space="preserve">harmful or a nuisance.  I know from personal experience that is not the case, and the Commission too has recognized this by carving out particular types of automated calls or texts for special treatment.  </w:t>
      </w:r>
    </w:p>
    <w:p w14:paraId="75079376" w14:textId="77777777" w:rsidR="00BF3568" w:rsidRPr="00BF3568" w:rsidRDefault="00BF3568" w:rsidP="004D5564">
      <w:pPr>
        <w:spacing w:after="0" w:line="240" w:lineRule="auto"/>
        <w:ind w:firstLine="720"/>
        <w:rPr>
          <w:rFonts w:eastAsia="Times New Roman" w:cstheme="minorHAnsi"/>
        </w:rPr>
      </w:pPr>
    </w:p>
    <w:p w14:paraId="72EC8597" w14:textId="20EAD961" w:rsidR="00BF3568" w:rsidRPr="00BF3568" w:rsidRDefault="00BF3568" w:rsidP="004D5564">
      <w:pPr>
        <w:spacing w:after="0" w:line="240" w:lineRule="auto"/>
        <w:ind w:firstLine="720"/>
        <w:rPr>
          <w:rFonts w:cstheme="minorHAnsi"/>
        </w:rPr>
      </w:pPr>
      <w:r w:rsidRPr="00BF3568">
        <w:rPr>
          <w:rFonts w:cstheme="minorHAnsi"/>
        </w:rPr>
        <w:t>In each case, however, the prior Commission provided the narrowest possible relief, to the point of being unworkable and meaningless</w:t>
      </w:r>
      <w:r w:rsidR="00DE5C81">
        <w:rPr>
          <w:rFonts w:cstheme="minorHAnsi"/>
        </w:rPr>
        <w:t xml:space="preserve"> in some instances</w:t>
      </w:r>
      <w:r w:rsidRPr="00BF3568">
        <w:rPr>
          <w:rFonts w:cstheme="minorHAnsi"/>
        </w:rPr>
        <w:t xml:space="preserve">.  For example, Congress enacted </w:t>
      </w:r>
      <w:r w:rsidR="00C42AA1">
        <w:rPr>
          <w:rFonts w:cstheme="minorHAnsi"/>
        </w:rPr>
        <w:t xml:space="preserve">a </w:t>
      </w:r>
      <w:r w:rsidR="00820AE2">
        <w:rPr>
          <w:rFonts w:cstheme="minorHAnsi"/>
        </w:rPr>
        <w:t xml:space="preserve">provision </w:t>
      </w:r>
      <w:r w:rsidR="00C42AA1">
        <w:rPr>
          <w:rFonts w:cstheme="minorHAnsi"/>
        </w:rPr>
        <w:t>within the</w:t>
      </w:r>
      <w:r w:rsidR="00820AE2">
        <w:rPr>
          <w:rFonts w:cstheme="minorHAnsi"/>
        </w:rPr>
        <w:t xml:space="preserve"> </w:t>
      </w:r>
      <w:r w:rsidRPr="00BF3568">
        <w:rPr>
          <w:rFonts w:cstheme="minorHAnsi"/>
        </w:rPr>
        <w:t>Bipartisan Budget Act of 2015</w:t>
      </w:r>
      <w:r w:rsidR="00044886">
        <w:rPr>
          <w:rFonts w:cstheme="minorHAnsi"/>
        </w:rPr>
        <w:t xml:space="preserve"> </w:t>
      </w:r>
      <w:r w:rsidRPr="00BF3568">
        <w:rPr>
          <w:rFonts w:cstheme="minorHAnsi"/>
        </w:rPr>
        <w:t xml:space="preserve">to exempt federal debt collection calls from the FCC’s </w:t>
      </w:r>
      <w:r w:rsidR="003F2016">
        <w:rPr>
          <w:rFonts w:cstheme="minorHAnsi"/>
        </w:rPr>
        <w:t>unwarranted</w:t>
      </w:r>
      <w:r w:rsidRPr="00BF3568">
        <w:rPr>
          <w:rFonts w:cstheme="minorHAnsi"/>
        </w:rPr>
        <w:t xml:space="preserve"> TCPA interpretations that could prevent the United States from being repaid.  Yet, incredibly, the Commission’s order implementing the Budget Act actually placed </w:t>
      </w:r>
      <w:r w:rsidRPr="00BF3568">
        <w:rPr>
          <w:rFonts w:cstheme="minorHAnsi"/>
          <w:i/>
        </w:rPr>
        <w:t>more restrictions</w:t>
      </w:r>
      <w:r w:rsidRPr="00BF3568">
        <w:rPr>
          <w:rFonts w:cstheme="minorHAnsi"/>
        </w:rPr>
        <w:t xml:space="preserve"> on these calls.  In particular, federal callers and their contractors are limited to three call attempts, even though it can take dozens of call attempts just to reach borrowers, much less help them navigate their loan options.  In fact, several parties noted that federal laws and rules </w:t>
      </w:r>
      <w:r w:rsidRPr="00BF3568">
        <w:rPr>
          <w:rFonts w:cstheme="minorHAnsi"/>
          <w:i/>
        </w:rPr>
        <w:t>require</w:t>
      </w:r>
      <w:r w:rsidRPr="00BF3568">
        <w:rPr>
          <w:rFonts w:cstheme="minorHAnsi"/>
        </w:rPr>
        <w:t xml:space="preserve"> them to place more than three calls per month, but the FCC paid no heed.  The FCC also ignored data showing that when callers do reach borrowers, people get the information and relief that they need.  One commenter noted: “More than 90 percent of the time that we have a live conversation with a federal loan borrower, we are able to resolve a loan delinquency.”</w:t>
      </w:r>
      <w:r w:rsidRPr="00BF3568">
        <w:rPr>
          <w:rStyle w:val="FootnoteReference"/>
          <w:rFonts w:asciiTheme="minorHAnsi" w:hAnsiTheme="minorHAnsi" w:cstheme="minorHAnsi"/>
        </w:rPr>
        <w:footnoteReference w:id="2"/>
      </w:r>
      <w:r w:rsidRPr="00BF3568">
        <w:rPr>
          <w:rFonts w:cstheme="minorHAnsi"/>
        </w:rPr>
        <w:t xml:space="preserve">  Unless the Commission changes its course, countless consumers will see their credit ruined for want of a phone call or text, and everyone else will pay more to obtain credit in the future to help defray the cost of unnecessary defaults.</w:t>
      </w:r>
      <w:r w:rsidRPr="00BF3568">
        <w:rPr>
          <w:rStyle w:val="FootnoteReference"/>
          <w:rFonts w:asciiTheme="minorHAnsi" w:hAnsiTheme="minorHAnsi" w:cstheme="minorHAnsi"/>
        </w:rPr>
        <w:footnoteReference w:id="3"/>
      </w:r>
    </w:p>
    <w:p w14:paraId="76CDF966" w14:textId="77777777" w:rsidR="009D16AB" w:rsidRPr="00BF3568" w:rsidRDefault="009D16AB" w:rsidP="004D5564">
      <w:pPr>
        <w:spacing w:after="0" w:line="240" w:lineRule="auto"/>
        <w:ind w:firstLine="720"/>
        <w:rPr>
          <w:rFonts w:cstheme="minorHAnsi"/>
        </w:rPr>
      </w:pPr>
    </w:p>
    <w:p w14:paraId="56E5AE85" w14:textId="30F66F1F" w:rsidR="00984F22" w:rsidRPr="00BF3568" w:rsidRDefault="00F274EE" w:rsidP="004D5564">
      <w:pPr>
        <w:spacing w:after="0" w:line="240" w:lineRule="auto"/>
        <w:ind w:firstLine="720"/>
        <w:rPr>
          <w:rFonts w:cstheme="minorHAnsi"/>
        </w:rPr>
      </w:pPr>
      <w:r w:rsidRPr="00BF3568">
        <w:rPr>
          <w:rFonts w:eastAsia="Times New Roman" w:cstheme="minorHAnsi"/>
        </w:rPr>
        <w:t>T</w:t>
      </w:r>
      <w:r w:rsidR="00675886" w:rsidRPr="00BF3568">
        <w:rPr>
          <w:rFonts w:eastAsia="Times New Roman" w:cstheme="minorHAnsi"/>
        </w:rPr>
        <w:t>he Commission’s narrow</w:t>
      </w:r>
      <w:r w:rsidR="00C761E4">
        <w:rPr>
          <w:rFonts w:eastAsia="Times New Roman" w:cstheme="minorHAnsi"/>
        </w:rPr>
        <w:t>,</w:t>
      </w:r>
      <w:r w:rsidR="00675886" w:rsidRPr="00BF3568">
        <w:rPr>
          <w:rFonts w:eastAsia="Times New Roman" w:cstheme="minorHAnsi"/>
        </w:rPr>
        <w:t xml:space="preserve"> ad hoc approach has left </w:t>
      </w:r>
      <w:r w:rsidR="00C0751A" w:rsidRPr="00BF3568">
        <w:rPr>
          <w:rFonts w:eastAsia="Times New Roman" w:cstheme="minorHAnsi"/>
        </w:rPr>
        <w:t xml:space="preserve">many </w:t>
      </w:r>
      <w:r w:rsidR="00675886" w:rsidRPr="00BF3568">
        <w:rPr>
          <w:rFonts w:eastAsia="Times New Roman" w:cstheme="minorHAnsi"/>
        </w:rPr>
        <w:t>other legitimate businesses out in the cold</w:t>
      </w:r>
      <w:r w:rsidRPr="00BF3568">
        <w:rPr>
          <w:rFonts w:eastAsia="Times New Roman" w:cstheme="minorHAnsi"/>
        </w:rPr>
        <w:t xml:space="preserve"> and must be revamped</w:t>
      </w:r>
      <w:r w:rsidR="00675886" w:rsidRPr="00BF3568">
        <w:rPr>
          <w:rFonts w:eastAsia="Times New Roman" w:cstheme="minorHAnsi"/>
        </w:rPr>
        <w:t xml:space="preserve">.  </w:t>
      </w:r>
      <w:r w:rsidR="00CF2283" w:rsidRPr="00BF3568">
        <w:rPr>
          <w:rFonts w:eastAsia="Times New Roman" w:cstheme="minorHAnsi"/>
        </w:rPr>
        <w:t xml:space="preserve">For example, </w:t>
      </w:r>
      <w:r w:rsidRPr="00BF3568">
        <w:rPr>
          <w:rFonts w:eastAsia="Times New Roman" w:cstheme="minorHAnsi"/>
        </w:rPr>
        <w:t xml:space="preserve">at the very end of the last Administration, </w:t>
      </w:r>
      <w:r w:rsidR="00CF2283" w:rsidRPr="00BF3568">
        <w:rPr>
          <w:rFonts w:eastAsia="Times New Roman" w:cstheme="minorHAnsi"/>
        </w:rPr>
        <w:t xml:space="preserve">Commission staff </w:t>
      </w:r>
      <w:r w:rsidR="002D2945" w:rsidRPr="00BF3568">
        <w:rPr>
          <w:rFonts w:eastAsia="Times New Roman" w:cstheme="minorHAnsi"/>
        </w:rPr>
        <w:t xml:space="preserve">denied a Petition by the Mortgage Bankers Association </w:t>
      </w:r>
      <w:r w:rsidR="00CF2283" w:rsidRPr="00BF3568">
        <w:rPr>
          <w:rFonts w:eastAsia="Times New Roman" w:cstheme="minorHAnsi"/>
        </w:rPr>
        <w:t xml:space="preserve">asking </w:t>
      </w:r>
      <w:r w:rsidR="002D2945" w:rsidRPr="00BF3568">
        <w:rPr>
          <w:rFonts w:eastAsia="Times New Roman" w:cstheme="minorHAnsi"/>
        </w:rPr>
        <w:t xml:space="preserve">to </w:t>
      </w:r>
      <w:r w:rsidR="00CF2283" w:rsidRPr="00BF3568">
        <w:rPr>
          <w:rFonts w:eastAsia="Times New Roman" w:cstheme="minorHAnsi"/>
        </w:rPr>
        <w:t xml:space="preserve">treat </w:t>
      </w:r>
      <w:r w:rsidR="00CF2283" w:rsidRPr="00BF3568">
        <w:rPr>
          <w:rFonts w:cstheme="minorHAnsi"/>
        </w:rPr>
        <w:t xml:space="preserve">calls to borrowers uniformly, regardless of whether the federal government or a private entity owns or insures the mortgage loan.  In addition, </w:t>
      </w:r>
      <w:r w:rsidRPr="00BF3568">
        <w:rPr>
          <w:rFonts w:eastAsia="Times New Roman" w:cstheme="minorHAnsi"/>
        </w:rPr>
        <w:t>several</w:t>
      </w:r>
      <w:r w:rsidR="00675886" w:rsidRPr="00BF3568">
        <w:rPr>
          <w:rFonts w:eastAsia="Times New Roman" w:cstheme="minorHAnsi"/>
        </w:rPr>
        <w:t xml:space="preserve"> courts have rule</w:t>
      </w:r>
      <w:r w:rsidR="002D2945" w:rsidRPr="00BF3568">
        <w:rPr>
          <w:rFonts w:eastAsia="Times New Roman" w:cstheme="minorHAnsi"/>
        </w:rPr>
        <w:t>d</w:t>
      </w:r>
      <w:r w:rsidR="00675886" w:rsidRPr="00BF3568">
        <w:rPr>
          <w:rFonts w:eastAsia="Times New Roman" w:cstheme="minorHAnsi"/>
        </w:rPr>
        <w:t xml:space="preserve"> against companies on informational calls or texts </w:t>
      </w:r>
      <w:r w:rsidR="001A52C8">
        <w:rPr>
          <w:rFonts w:eastAsia="Times New Roman" w:cstheme="minorHAnsi"/>
        </w:rPr>
        <w:t xml:space="preserve">– such as social media updates or other notifications – </w:t>
      </w:r>
      <w:r w:rsidR="00675886" w:rsidRPr="00BF3568">
        <w:rPr>
          <w:rFonts w:eastAsia="Times New Roman" w:cstheme="minorHAnsi"/>
        </w:rPr>
        <w:t>that consumers expect to receive</w:t>
      </w:r>
      <w:r w:rsidR="002D2945" w:rsidRPr="00BF3568">
        <w:rPr>
          <w:rFonts w:cstheme="minorHAnsi"/>
        </w:rPr>
        <w:t xml:space="preserve">.  I have </w:t>
      </w:r>
      <w:r w:rsidR="008E001A" w:rsidRPr="00BF3568">
        <w:rPr>
          <w:rFonts w:cstheme="minorHAnsi"/>
        </w:rPr>
        <w:t xml:space="preserve">also </w:t>
      </w:r>
      <w:r w:rsidR="002D2945" w:rsidRPr="00BF3568">
        <w:rPr>
          <w:rFonts w:cstheme="minorHAnsi"/>
        </w:rPr>
        <w:t xml:space="preserve">heard that the fact that the FCC has granted certain exemptions is being used against other companies who haven’t </w:t>
      </w:r>
      <w:r w:rsidR="00E8670D" w:rsidRPr="00BF3568">
        <w:rPr>
          <w:rFonts w:cstheme="minorHAnsi"/>
        </w:rPr>
        <w:t xml:space="preserve">asked for or </w:t>
      </w:r>
      <w:r w:rsidR="002D2945" w:rsidRPr="00BF3568">
        <w:rPr>
          <w:rFonts w:cstheme="minorHAnsi"/>
        </w:rPr>
        <w:t xml:space="preserve">received </w:t>
      </w:r>
      <w:r w:rsidR="00AC1419" w:rsidRPr="00BF3568">
        <w:rPr>
          <w:rFonts w:cstheme="minorHAnsi"/>
        </w:rPr>
        <w:t>favorable treatment</w:t>
      </w:r>
      <w:r w:rsidR="002D2945" w:rsidRPr="00BF3568">
        <w:rPr>
          <w:rFonts w:cstheme="minorHAnsi"/>
        </w:rPr>
        <w:t xml:space="preserve">.  </w:t>
      </w:r>
    </w:p>
    <w:p w14:paraId="446516E2" w14:textId="77777777" w:rsidR="00984F22" w:rsidRPr="00BF3568" w:rsidRDefault="00984F22" w:rsidP="004D5564">
      <w:pPr>
        <w:spacing w:after="0" w:line="240" w:lineRule="auto"/>
        <w:ind w:firstLine="720"/>
        <w:rPr>
          <w:rFonts w:cstheme="minorHAnsi"/>
        </w:rPr>
      </w:pPr>
    </w:p>
    <w:p w14:paraId="752BAB86" w14:textId="58C5EBDD" w:rsidR="009D16AB" w:rsidRPr="00BF3568" w:rsidRDefault="002D2945" w:rsidP="004D5564">
      <w:pPr>
        <w:spacing w:after="0" w:line="240" w:lineRule="auto"/>
        <w:ind w:firstLine="720"/>
        <w:rPr>
          <w:rFonts w:cstheme="minorHAnsi"/>
        </w:rPr>
      </w:pPr>
      <w:r w:rsidRPr="00BF3568">
        <w:rPr>
          <w:rFonts w:cstheme="minorHAnsi"/>
        </w:rPr>
        <w:t xml:space="preserve">We need to make broader changes to </w:t>
      </w:r>
      <w:r w:rsidR="00C0751A" w:rsidRPr="00BF3568">
        <w:rPr>
          <w:rFonts w:cstheme="minorHAnsi"/>
        </w:rPr>
        <w:t xml:space="preserve">the rules to </w:t>
      </w:r>
      <w:r w:rsidRPr="00BF3568">
        <w:rPr>
          <w:rFonts w:cstheme="minorHAnsi"/>
        </w:rPr>
        <w:t xml:space="preserve">ensure that all consumers are able to get </w:t>
      </w:r>
      <w:r w:rsidR="00E8670D" w:rsidRPr="00BF3568">
        <w:rPr>
          <w:rFonts w:cstheme="minorHAnsi"/>
        </w:rPr>
        <w:t>relevant and timely information</w:t>
      </w:r>
      <w:r w:rsidRPr="00BF3568">
        <w:rPr>
          <w:rFonts w:cstheme="minorHAnsi"/>
        </w:rPr>
        <w:t>.</w:t>
      </w:r>
      <w:r w:rsidR="00C0751A" w:rsidRPr="00BF3568">
        <w:rPr>
          <w:rFonts w:cstheme="minorHAnsi"/>
        </w:rPr>
        <w:t xml:space="preserve">  </w:t>
      </w:r>
      <w:r w:rsidR="00984F22" w:rsidRPr="00BF3568">
        <w:rPr>
          <w:rFonts w:cstheme="minorHAnsi"/>
        </w:rPr>
        <w:t xml:space="preserve">For example, companies that follow industry practices </w:t>
      </w:r>
      <w:r w:rsidR="00C0751A" w:rsidRPr="00BF3568">
        <w:rPr>
          <w:rFonts w:cstheme="minorHAnsi"/>
        </w:rPr>
        <w:t xml:space="preserve">to </w:t>
      </w:r>
      <w:r w:rsidR="00984F22" w:rsidRPr="00BF3568">
        <w:rPr>
          <w:rFonts w:cstheme="minorHAnsi"/>
        </w:rPr>
        <w:t xml:space="preserve">limit stray calls should be able </w:t>
      </w:r>
      <w:r w:rsidR="00C0751A" w:rsidRPr="00BF3568">
        <w:rPr>
          <w:rFonts w:cstheme="minorHAnsi"/>
        </w:rPr>
        <w:t xml:space="preserve">contact a person until they have </w:t>
      </w:r>
      <w:r w:rsidR="00C0751A" w:rsidRPr="00BF3568">
        <w:rPr>
          <w:rFonts w:cstheme="minorHAnsi"/>
          <w:i/>
        </w:rPr>
        <w:t>actual</w:t>
      </w:r>
      <w:r w:rsidR="00C0751A" w:rsidRPr="00BF3568">
        <w:rPr>
          <w:rFonts w:cstheme="minorHAnsi"/>
        </w:rPr>
        <w:t xml:space="preserve"> knowledge that a number has been reassigned.  </w:t>
      </w:r>
      <w:r w:rsidR="002A798E">
        <w:rPr>
          <w:rFonts w:cstheme="minorHAnsi"/>
        </w:rPr>
        <w:t>To help facilitate</w:t>
      </w:r>
      <w:r w:rsidR="00D80E90">
        <w:rPr>
          <w:rFonts w:cstheme="minorHAnsi"/>
        </w:rPr>
        <w:t xml:space="preserve"> this</w:t>
      </w:r>
      <w:r w:rsidR="002A798E">
        <w:rPr>
          <w:rFonts w:cstheme="minorHAnsi"/>
        </w:rPr>
        <w:t xml:space="preserve">, </w:t>
      </w:r>
      <w:r w:rsidR="00F800E9">
        <w:rPr>
          <w:rFonts w:cstheme="minorHAnsi"/>
        </w:rPr>
        <w:t xml:space="preserve">I urge </w:t>
      </w:r>
      <w:r w:rsidR="002A798E">
        <w:rPr>
          <w:rFonts w:cstheme="minorHAnsi"/>
        </w:rPr>
        <w:t xml:space="preserve">the </w:t>
      </w:r>
      <w:r w:rsidR="0029464A">
        <w:rPr>
          <w:rFonts w:cstheme="minorHAnsi"/>
        </w:rPr>
        <w:t xml:space="preserve">Commission </w:t>
      </w:r>
      <w:r w:rsidR="00F800E9">
        <w:rPr>
          <w:rFonts w:cstheme="minorHAnsi"/>
        </w:rPr>
        <w:t>to promptly</w:t>
      </w:r>
      <w:r w:rsidR="002A798E">
        <w:rPr>
          <w:rFonts w:cstheme="minorHAnsi"/>
        </w:rPr>
        <w:t xml:space="preserve"> take up </w:t>
      </w:r>
      <w:r w:rsidR="0029464A">
        <w:rPr>
          <w:rFonts w:cstheme="minorHAnsi"/>
        </w:rPr>
        <w:t>an</w:t>
      </w:r>
      <w:r w:rsidR="002E0B55">
        <w:rPr>
          <w:rFonts w:cstheme="minorHAnsi"/>
        </w:rPr>
        <w:t xml:space="preserve"> idea I advocated that we use our </w:t>
      </w:r>
      <w:r w:rsidR="00E4409A">
        <w:rPr>
          <w:rFonts w:cstheme="minorHAnsi"/>
        </w:rPr>
        <w:t xml:space="preserve">existing </w:t>
      </w:r>
      <w:r w:rsidR="002E0B55">
        <w:rPr>
          <w:rFonts w:cstheme="minorHAnsi"/>
        </w:rPr>
        <w:t xml:space="preserve">numbering databases to help </w:t>
      </w:r>
      <w:r w:rsidR="008D3318">
        <w:rPr>
          <w:rFonts w:cstheme="minorHAnsi"/>
        </w:rPr>
        <w:t>inform</w:t>
      </w:r>
      <w:r w:rsidR="00E4409A">
        <w:rPr>
          <w:rFonts w:cstheme="minorHAnsi"/>
        </w:rPr>
        <w:t xml:space="preserve"> parties </w:t>
      </w:r>
      <w:r w:rsidR="002E0B55">
        <w:rPr>
          <w:rFonts w:cstheme="minorHAnsi"/>
        </w:rPr>
        <w:t xml:space="preserve">which numbers have </w:t>
      </w:r>
      <w:r w:rsidR="00E4409A">
        <w:rPr>
          <w:rFonts w:cstheme="minorHAnsi"/>
        </w:rPr>
        <w:t xml:space="preserve">been reassigned. </w:t>
      </w:r>
      <w:r w:rsidR="00B52314">
        <w:rPr>
          <w:rFonts w:cstheme="minorHAnsi"/>
        </w:rPr>
        <w:t xml:space="preserve"> Coupled with an appropriate safe harbor, we </w:t>
      </w:r>
      <w:r w:rsidR="00DA1953">
        <w:rPr>
          <w:rFonts w:cstheme="minorHAnsi"/>
        </w:rPr>
        <w:t xml:space="preserve">could minimize unwanted calls and remove unnecessary liability </w:t>
      </w:r>
      <w:r w:rsidR="00FA5C99">
        <w:rPr>
          <w:rFonts w:cstheme="minorHAnsi"/>
        </w:rPr>
        <w:t xml:space="preserve">exposure </w:t>
      </w:r>
      <w:r w:rsidR="00DA1953">
        <w:rPr>
          <w:rFonts w:cstheme="minorHAnsi"/>
        </w:rPr>
        <w:t xml:space="preserve">at the same time. </w:t>
      </w:r>
    </w:p>
    <w:p w14:paraId="27602233" w14:textId="77777777" w:rsidR="00AC1419" w:rsidRPr="00BF3568" w:rsidRDefault="00AC1419" w:rsidP="004D5564">
      <w:pPr>
        <w:spacing w:after="0" w:line="240" w:lineRule="auto"/>
        <w:ind w:firstLine="720"/>
        <w:rPr>
          <w:rFonts w:cstheme="minorHAnsi"/>
        </w:rPr>
      </w:pPr>
    </w:p>
    <w:p w14:paraId="2E0CD55F" w14:textId="17F8FBFA" w:rsidR="00AC1419" w:rsidRPr="00BF3568" w:rsidRDefault="00AC1419" w:rsidP="004D5564">
      <w:pPr>
        <w:spacing w:after="0" w:line="240" w:lineRule="auto"/>
        <w:ind w:firstLine="720"/>
        <w:rPr>
          <w:rFonts w:eastAsia="Times New Roman" w:cstheme="minorHAnsi"/>
        </w:rPr>
      </w:pPr>
      <w:r w:rsidRPr="00BF3568">
        <w:rPr>
          <w:rFonts w:cstheme="minorHAnsi"/>
        </w:rPr>
        <w:t>In addition</w:t>
      </w:r>
      <w:r w:rsidR="00F274EE" w:rsidRPr="00BF3568">
        <w:rPr>
          <w:rFonts w:cstheme="minorHAnsi"/>
        </w:rPr>
        <w:t xml:space="preserve"> to providing sensible relief for informational calls</w:t>
      </w:r>
      <w:r w:rsidRPr="00BF3568">
        <w:rPr>
          <w:rFonts w:cstheme="minorHAnsi"/>
        </w:rPr>
        <w:t xml:space="preserve">, the Commission should not discriminate against valid telemarketing calls or texts.  </w:t>
      </w:r>
      <w:r w:rsidR="008A3957">
        <w:rPr>
          <w:rFonts w:cstheme="minorHAnsi"/>
        </w:rPr>
        <w:t xml:space="preserve">We must embrace this simple </w:t>
      </w:r>
      <w:r w:rsidR="00522CB7">
        <w:rPr>
          <w:rFonts w:cstheme="minorHAnsi"/>
        </w:rPr>
        <w:t>truism</w:t>
      </w:r>
      <w:r w:rsidR="008A3957">
        <w:rPr>
          <w:rFonts w:cstheme="minorHAnsi"/>
        </w:rPr>
        <w:t xml:space="preserve">: </w:t>
      </w:r>
      <w:r w:rsidRPr="00BF3568">
        <w:rPr>
          <w:rFonts w:cstheme="minorHAnsi"/>
        </w:rPr>
        <w:t xml:space="preserve">Advertising is </w:t>
      </w:r>
      <w:r w:rsidR="00E8670D" w:rsidRPr="00BF3568">
        <w:rPr>
          <w:rFonts w:cstheme="minorHAnsi"/>
        </w:rPr>
        <w:t xml:space="preserve">an </w:t>
      </w:r>
      <w:r w:rsidRPr="00BF3568">
        <w:rPr>
          <w:rFonts w:cstheme="minorHAnsi"/>
        </w:rPr>
        <w:t xml:space="preserve">essential component of our economy, enabling companies to </w:t>
      </w:r>
      <w:r w:rsidR="00E8670D" w:rsidRPr="00BF3568">
        <w:rPr>
          <w:rFonts w:cstheme="minorHAnsi"/>
        </w:rPr>
        <w:t>get</w:t>
      </w:r>
      <w:r w:rsidRPr="00BF3568">
        <w:rPr>
          <w:rFonts w:cstheme="minorHAnsi"/>
        </w:rPr>
        <w:t xml:space="preserve"> their products and services </w:t>
      </w:r>
      <w:r w:rsidR="00E8670D" w:rsidRPr="00BF3568">
        <w:rPr>
          <w:rFonts w:cstheme="minorHAnsi"/>
        </w:rPr>
        <w:t>into the hands of</w:t>
      </w:r>
      <w:r w:rsidRPr="00BF3568">
        <w:rPr>
          <w:rFonts w:cstheme="minorHAnsi"/>
        </w:rPr>
        <w:t xml:space="preserve"> receptive </w:t>
      </w:r>
      <w:r w:rsidR="006564C5" w:rsidRPr="00BF3568">
        <w:rPr>
          <w:rFonts w:cstheme="minorHAnsi"/>
        </w:rPr>
        <w:t xml:space="preserve">consumers.  The fact that a company may want to try to sell you something that you would actually enjoy purchasing is not the high crime or misdemeanor that the prior Commission made it out to be.  Consumers that </w:t>
      </w:r>
      <w:r w:rsidR="003B36B5" w:rsidRPr="00BF3568">
        <w:rPr>
          <w:rFonts w:cstheme="minorHAnsi"/>
        </w:rPr>
        <w:t>sign up for a retailer’s</w:t>
      </w:r>
      <w:r w:rsidR="006564C5" w:rsidRPr="00BF3568">
        <w:rPr>
          <w:rFonts w:cstheme="minorHAnsi"/>
        </w:rPr>
        <w:t xml:space="preserve"> promotional text campaign to receive </w:t>
      </w:r>
      <w:r w:rsidR="003B36B5" w:rsidRPr="00BF3568">
        <w:rPr>
          <w:rFonts w:cstheme="minorHAnsi"/>
        </w:rPr>
        <w:t xml:space="preserve">a </w:t>
      </w:r>
      <w:r w:rsidR="006564C5" w:rsidRPr="00BF3568">
        <w:rPr>
          <w:rFonts w:cstheme="minorHAnsi"/>
        </w:rPr>
        <w:t xml:space="preserve">discount on </w:t>
      </w:r>
      <w:r w:rsidR="003B36B5" w:rsidRPr="00BF3568">
        <w:rPr>
          <w:rFonts w:cstheme="minorHAnsi"/>
        </w:rPr>
        <w:t xml:space="preserve">a </w:t>
      </w:r>
      <w:r w:rsidR="006564C5" w:rsidRPr="00BF3568">
        <w:rPr>
          <w:rFonts w:cstheme="minorHAnsi"/>
        </w:rPr>
        <w:t xml:space="preserve">purchase, </w:t>
      </w:r>
      <w:r w:rsidR="00286751" w:rsidRPr="00BF3568">
        <w:rPr>
          <w:rFonts w:cstheme="minorHAnsi"/>
        </w:rPr>
        <w:t xml:space="preserve">for example, </w:t>
      </w:r>
      <w:r w:rsidR="006564C5" w:rsidRPr="00BF3568">
        <w:rPr>
          <w:rFonts w:cstheme="minorHAnsi"/>
        </w:rPr>
        <w:t>cannot be surprised when they are informed about related products, upcoming sales events</w:t>
      </w:r>
      <w:r w:rsidR="001A52C8">
        <w:rPr>
          <w:rFonts w:cstheme="minorHAnsi"/>
        </w:rPr>
        <w:t>,</w:t>
      </w:r>
      <w:r w:rsidR="006564C5" w:rsidRPr="00BF3568">
        <w:rPr>
          <w:rFonts w:cstheme="minorHAnsi"/>
        </w:rPr>
        <w:t xml:space="preserve"> or new store openings.  It is a tradeoff that consumers have come to </w:t>
      </w:r>
      <w:r w:rsidR="006564C5" w:rsidRPr="00BF3568">
        <w:rPr>
          <w:rFonts w:cstheme="minorHAnsi"/>
        </w:rPr>
        <w:lastRenderedPageBreak/>
        <w:t xml:space="preserve">expect, and legitimate companies make clear in their disclosures how that information will be used and how to stop communications in the future.  </w:t>
      </w:r>
    </w:p>
    <w:p w14:paraId="3D6264FE" w14:textId="77777777" w:rsidR="008A5F7F" w:rsidRPr="00BF3568" w:rsidRDefault="008A5F7F" w:rsidP="004D5564">
      <w:pPr>
        <w:spacing w:after="0" w:line="240" w:lineRule="auto"/>
        <w:ind w:firstLine="720"/>
        <w:rPr>
          <w:rFonts w:eastAsia="Times New Roman" w:cstheme="minorHAnsi"/>
        </w:rPr>
      </w:pPr>
    </w:p>
    <w:p w14:paraId="02C9490E" w14:textId="12D72957" w:rsidR="003B36B5" w:rsidRPr="00BF3568" w:rsidRDefault="003B36B5" w:rsidP="003B36B5">
      <w:pPr>
        <w:spacing w:after="0" w:line="240" w:lineRule="auto"/>
        <w:ind w:firstLine="720"/>
        <w:rPr>
          <w:rFonts w:eastAsia="Times New Roman" w:cstheme="minorHAnsi"/>
        </w:rPr>
      </w:pPr>
      <w:r w:rsidRPr="00BF3568">
        <w:rPr>
          <w:rFonts w:eastAsia="Times New Roman" w:cstheme="minorHAnsi"/>
        </w:rPr>
        <w:t xml:space="preserve">Relatedly, </w:t>
      </w:r>
      <w:r w:rsidR="00BF1F8B" w:rsidRPr="00BF3568">
        <w:rPr>
          <w:rFonts w:eastAsia="Times New Roman" w:cstheme="minorHAnsi"/>
        </w:rPr>
        <w:t>this Commission should expressly disavow the prior</w:t>
      </w:r>
      <w:r w:rsidRPr="00BF3568">
        <w:rPr>
          <w:rFonts w:eastAsia="Times New Roman" w:cstheme="minorHAnsi"/>
        </w:rPr>
        <w:t xml:space="preserve"> citations </w:t>
      </w:r>
      <w:r w:rsidR="00BF1F8B" w:rsidRPr="00BF3568">
        <w:rPr>
          <w:rFonts w:eastAsia="Times New Roman" w:cstheme="minorHAnsi"/>
        </w:rPr>
        <w:t xml:space="preserve">issued against </w:t>
      </w:r>
      <w:r w:rsidRPr="00BF3568">
        <w:rPr>
          <w:rFonts w:eastAsia="Times New Roman" w:cstheme="minorHAnsi"/>
        </w:rPr>
        <w:t>Lyft and First National Bank because their terms of service stated that customers could receive promotional calls or texts.</w:t>
      </w:r>
      <w:r w:rsidR="00F06C79">
        <w:rPr>
          <w:rFonts w:eastAsia="Times New Roman" w:cstheme="minorHAnsi"/>
        </w:rPr>
        <w:t xml:space="preserve">  </w:t>
      </w:r>
      <w:r w:rsidRPr="00BF3568">
        <w:rPr>
          <w:rFonts w:eastAsia="Times New Roman" w:cstheme="minorHAnsi"/>
        </w:rPr>
        <w:t>Millions of consumers voluntarily sign up for these types of innovative services because they see them as valuable</w:t>
      </w:r>
      <w:r w:rsidR="008E001A" w:rsidRPr="00BF3568">
        <w:rPr>
          <w:rFonts w:eastAsia="Times New Roman" w:cstheme="minorHAnsi"/>
        </w:rPr>
        <w:t xml:space="preserve"> and want to access them on their devices</w:t>
      </w:r>
      <w:r w:rsidRPr="00BF3568">
        <w:rPr>
          <w:rFonts w:eastAsia="Times New Roman" w:cstheme="minorHAnsi"/>
        </w:rPr>
        <w:t xml:space="preserve">.  In return, companies expect to be able to contact </w:t>
      </w:r>
      <w:r w:rsidR="008E001A" w:rsidRPr="00BF3568">
        <w:rPr>
          <w:rFonts w:eastAsia="Times New Roman" w:cstheme="minorHAnsi"/>
        </w:rPr>
        <w:t xml:space="preserve">and advertise to </w:t>
      </w:r>
      <w:r w:rsidRPr="00BF3568">
        <w:rPr>
          <w:rFonts w:eastAsia="Times New Roman" w:cstheme="minorHAnsi"/>
        </w:rPr>
        <w:t>their customers on those devices</w:t>
      </w:r>
      <w:r w:rsidR="008E001A" w:rsidRPr="00BF3568">
        <w:rPr>
          <w:rFonts w:eastAsia="Times New Roman" w:cstheme="minorHAnsi"/>
        </w:rPr>
        <w:t xml:space="preserve">, including to </w:t>
      </w:r>
      <w:r w:rsidRPr="00BF3568">
        <w:rPr>
          <w:rFonts w:eastAsia="Times New Roman" w:cstheme="minorHAnsi"/>
        </w:rPr>
        <w:t xml:space="preserve">encourage greater participation and engender brand loyalty.  </w:t>
      </w:r>
    </w:p>
    <w:p w14:paraId="7F045D52" w14:textId="77777777" w:rsidR="003B36B5" w:rsidRPr="00BF3568" w:rsidRDefault="003B36B5" w:rsidP="003B36B5">
      <w:pPr>
        <w:spacing w:after="0" w:line="240" w:lineRule="auto"/>
        <w:rPr>
          <w:rFonts w:eastAsia="Times New Roman" w:cstheme="minorHAnsi"/>
        </w:rPr>
      </w:pPr>
    </w:p>
    <w:p w14:paraId="33EAFB8C" w14:textId="77777777" w:rsidR="003B36B5" w:rsidRPr="00BF3568" w:rsidRDefault="00286751" w:rsidP="00BF1F8B">
      <w:pPr>
        <w:spacing w:after="0" w:line="240" w:lineRule="auto"/>
        <w:rPr>
          <w:rFonts w:eastAsia="Times New Roman" w:cstheme="minorHAnsi"/>
          <w:u w:val="single"/>
        </w:rPr>
      </w:pPr>
      <w:r w:rsidRPr="00BF3568">
        <w:rPr>
          <w:rFonts w:eastAsia="Times New Roman" w:cstheme="minorHAnsi"/>
          <w:u w:val="single"/>
        </w:rPr>
        <w:t xml:space="preserve">Valid Callers Should be Able to </w:t>
      </w:r>
      <w:r w:rsidR="008422D6" w:rsidRPr="00BF3568">
        <w:rPr>
          <w:rFonts w:eastAsia="Times New Roman" w:cstheme="minorHAnsi"/>
          <w:u w:val="single"/>
        </w:rPr>
        <w:t>Operate in</w:t>
      </w:r>
      <w:r w:rsidRPr="00BF3568">
        <w:rPr>
          <w:rFonts w:eastAsia="Times New Roman" w:cstheme="minorHAnsi"/>
          <w:u w:val="single"/>
        </w:rPr>
        <w:t xml:space="preserve"> an Efficient Manner</w:t>
      </w:r>
    </w:p>
    <w:p w14:paraId="58C0E6A0" w14:textId="77777777" w:rsidR="003B36B5" w:rsidRPr="00BF3568" w:rsidRDefault="003B36B5" w:rsidP="004D5564">
      <w:pPr>
        <w:spacing w:after="0" w:line="240" w:lineRule="auto"/>
        <w:ind w:firstLine="720"/>
        <w:rPr>
          <w:rFonts w:eastAsia="Times New Roman" w:cstheme="minorHAnsi"/>
        </w:rPr>
      </w:pPr>
    </w:p>
    <w:p w14:paraId="7B5C6DE0" w14:textId="2A4E0769" w:rsidR="00BE75F4" w:rsidRPr="00BF3568" w:rsidRDefault="00E8670D" w:rsidP="004D5564">
      <w:pPr>
        <w:spacing w:after="0" w:line="240" w:lineRule="auto"/>
        <w:ind w:firstLine="720"/>
        <w:rPr>
          <w:rFonts w:eastAsia="Times New Roman" w:cstheme="minorHAnsi"/>
        </w:rPr>
      </w:pPr>
      <w:r w:rsidRPr="00BF3568">
        <w:rPr>
          <w:rFonts w:eastAsia="Times New Roman" w:cstheme="minorHAnsi"/>
        </w:rPr>
        <w:t>My</w:t>
      </w:r>
      <w:r w:rsidR="00CA0C55" w:rsidRPr="00BF3568">
        <w:rPr>
          <w:rFonts w:eastAsia="Times New Roman" w:cstheme="minorHAnsi"/>
        </w:rPr>
        <w:t xml:space="preserve"> next point is that valid callers should be able to communicate with consumers in an efficient manner.  </w:t>
      </w:r>
      <w:r w:rsidR="00BE75F4" w:rsidRPr="00BF3568">
        <w:rPr>
          <w:rFonts w:eastAsia="Times New Roman" w:cstheme="minorHAnsi"/>
        </w:rPr>
        <w:t xml:space="preserve">When the TCPA was enacted, </w:t>
      </w:r>
      <w:r w:rsidR="008422D6" w:rsidRPr="00BF3568">
        <w:rPr>
          <w:rFonts w:eastAsia="Times New Roman" w:cstheme="minorHAnsi"/>
        </w:rPr>
        <w:t>lawmakers were concerned about ca</w:t>
      </w:r>
      <w:r w:rsidR="00BE75F4" w:rsidRPr="00BF3568">
        <w:rPr>
          <w:rFonts w:eastAsia="Times New Roman" w:cstheme="minorHAnsi"/>
        </w:rPr>
        <w:t>lling equipment that dialed random or sequential numbers</w:t>
      </w:r>
      <w:r w:rsidR="001F4321" w:rsidRPr="00BF3568">
        <w:rPr>
          <w:rFonts w:eastAsia="Times New Roman" w:cstheme="minorHAnsi"/>
        </w:rPr>
        <w:t xml:space="preserve">, </w:t>
      </w:r>
      <w:r w:rsidR="00BE75F4" w:rsidRPr="00BF3568">
        <w:rPr>
          <w:rFonts w:eastAsia="Times New Roman" w:cstheme="minorHAnsi"/>
        </w:rPr>
        <w:t>tying up emergency lines</w:t>
      </w:r>
      <w:r w:rsidR="001F4321" w:rsidRPr="00BF3568">
        <w:rPr>
          <w:rFonts w:eastAsia="Times New Roman" w:cstheme="minorHAnsi"/>
        </w:rPr>
        <w:t xml:space="preserve"> at hospitals and police stations</w:t>
      </w:r>
      <w:r w:rsidR="00BE75F4" w:rsidRPr="00BF3568">
        <w:rPr>
          <w:rFonts w:eastAsia="Times New Roman" w:cstheme="minorHAnsi"/>
        </w:rPr>
        <w:t xml:space="preserve">.  </w:t>
      </w:r>
      <w:r w:rsidR="00881B87">
        <w:rPr>
          <w:rFonts w:eastAsia="Times New Roman" w:cstheme="minorHAnsi"/>
        </w:rPr>
        <w:t>In contrast, l</w:t>
      </w:r>
      <w:r w:rsidR="00BE75F4" w:rsidRPr="00BF3568">
        <w:rPr>
          <w:rFonts w:eastAsia="Times New Roman" w:cstheme="minorHAnsi"/>
        </w:rPr>
        <w:t>egitimate businesses use modern dialing equipment to reach a specific set of numbers – their customers.  Moreover, automating calls cuts down on misdialing</w:t>
      </w:r>
      <w:r w:rsidR="00984F22" w:rsidRPr="00BF3568">
        <w:rPr>
          <w:rFonts w:eastAsia="Times New Roman" w:cstheme="minorHAnsi"/>
        </w:rPr>
        <w:t>,</w:t>
      </w:r>
      <w:r w:rsidR="00BE75F4" w:rsidRPr="00BF3568">
        <w:rPr>
          <w:rFonts w:eastAsia="Times New Roman" w:cstheme="minorHAnsi"/>
        </w:rPr>
        <w:t xml:space="preserve"> and predictive dialing can help live </w:t>
      </w:r>
      <w:r w:rsidR="008422D6" w:rsidRPr="00BF3568">
        <w:rPr>
          <w:rFonts w:eastAsia="Times New Roman" w:cstheme="minorHAnsi"/>
        </w:rPr>
        <w:t xml:space="preserve">agents </w:t>
      </w:r>
      <w:r w:rsidR="00984F22" w:rsidRPr="00BF3568">
        <w:rPr>
          <w:rFonts w:eastAsia="Times New Roman" w:cstheme="minorHAnsi"/>
        </w:rPr>
        <w:t>be more productive</w:t>
      </w:r>
      <w:r w:rsidR="008422D6" w:rsidRPr="00BF3568">
        <w:rPr>
          <w:rFonts w:eastAsia="Times New Roman" w:cstheme="minorHAnsi"/>
        </w:rPr>
        <w:t xml:space="preserve"> by avoiding busy lines and voicemail</w:t>
      </w:r>
      <w:r w:rsidR="00BE75F4" w:rsidRPr="00BF3568">
        <w:rPr>
          <w:rFonts w:eastAsia="Times New Roman" w:cstheme="minorHAnsi"/>
        </w:rPr>
        <w:t xml:space="preserve">.  </w:t>
      </w:r>
      <w:r w:rsidR="007546F5" w:rsidRPr="00BF3568">
        <w:rPr>
          <w:rFonts w:eastAsia="Times New Roman" w:cstheme="minorHAnsi"/>
        </w:rPr>
        <w:t xml:space="preserve">Therefore, </w:t>
      </w:r>
      <w:r w:rsidR="00C40B02">
        <w:rPr>
          <w:rFonts w:eastAsia="Times New Roman" w:cstheme="minorHAnsi"/>
        </w:rPr>
        <w:t xml:space="preserve">we must </w:t>
      </w:r>
      <w:r w:rsidR="007546F5" w:rsidRPr="00BF3568">
        <w:rPr>
          <w:rFonts w:eastAsia="Times New Roman" w:cstheme="minorHAnsi"/>
        </w:rPr>
        <w:t xml:space="preserve">change the definition of an autodialer to conform it to the law so that legitimate companies are not precluded from using technology that works.  </w:t>
      </w:r>
    </w:p>
    <w:p w14:paraId="23F01DD7" w14:textId="77777777" w:rsidR="00BE75F4" w:rsidRPr="00BF3568" w:rsidRDefault="00BE75F4" w:rsidP="004D5564">
      <w:pPr>
        <w:spacing w:after="0" w:line="240" w:lineRule="auto"/>
        <w:ind w:firstLine="720"/>
        <w:rPr>
          <w:rFonts w:eastAsia="Times New Roman" w:cstheme="minorHAnsi"/>
        </w:rPr>
      </w:pPr>
    </w:p>
    <w:p w14:paraId="4DB5977F" w14:textId="1043637D" w:rsidR="00984F22" w:rsidRPr="00BF3568" w:rsidRDefault="00CA0C55" w:rsidP="00984F22">
      <w:pPr>
        <w:spacing w:after="0" w:line="240" w:lineRule="auto"/>
        <w:ind w:firstLine="720"/>
        <w:rPr>
          <w:rFonts w:eastAsia="Times New Roman" w:cstheme="minorHAnsi"/>
        </w:rPr>
      </w:pPr>
      <w:r w:rsidRPr="00BF3568">
        <w:rPr>
          <w:rFonts w:eastAsia="Times New Roman" w:cstheme="minorHAnsi"/>
        </w:rPr>
        <w:t xml:space="preserve">One of the most ludicrous arguments made in TCPA proceedings is that callers can simply </w:t>
      </w:r>
      <w:r w:rsidR="00E570FA" w:rsidRPr="00BF3568">
        <w:rPr>
          <w:rFonts w:eastAsia="Times New Roman" w:cstheme="minorHAnsi"/>
        </w:rPr>
        <w:t xml:space="preserve">avoid </w:t>
      </w:r>
      <w:r w:rsidR="00984F22" w:rsidRPr="00BF3568">
        <w:rPr>
          <w:rFonts w:eastAsia="Times New Roman" w:cstheme="minorHAnsi"/>
        </w:rPr>
        <w:t xml:space="preserve">liability by not </w:t>
      </w:r>
      <w:r w:rsidR="00E570FA" w:rsidRPr="00BF3568">
        <w:rPr>
          <w:rFonts w:eastAsia="Times New Roman" w:cstheme="minorHAnsi"/>
        </w:rPr>
        <w:t xml:space="preserve">using autodialers, </w:t>
      </w:r>
      <w:r w:rsidRPr="00BF3568">
        <w:rPr>
          <w:rFonts w:eastAsia="Times New Roman" w:cstheme="minorHAnsi"/>
        </w:rPr>
        <w:t>manually dial</w:t>
      </w:r>
      <w:r w:rsidR="00984F22" w:rsidRPr="00BF3568">
        <w:rPr>
          <w:rFonts w:eastAsia="Times New Roman" w:cstheme="minorHAnsi"/>
        </w:rPr>
        <w:t>ing</w:t>
      </w:r>
      <w:r w:rsidRPr="00BF3568">
        <w:rPr>
          <w:rFonts w:eastAsia="Times New Roman" w:cstheme="minorHAnsi"/>
        </w:rPr>
        <w:t xml:space="preserve"> calls</w:t>
      </w:r>
      <w:r w:rsidR="00E570FA" w:rsidRPr="00BF3568">
        <w:rPr>
          <w:rFonts w:eastAsia="Times New Roman" w:cstheme="minorHAnsi"/>
        </w:rPr>
        <w:t>,</w:t>
      </w:r>
      <w:r w:rsidRPr="00BF3568">
        <w:rPr>
          <w:rFonts w:eastAsia="Times New Roman" w:cstheme="minorHAnsi"/>
        </w:rPr>
        <w:t xml:space="preserve"> or </w:t>
      </w:r>
      <w:r w:rsidR="00984F22" w:rsidRPr="00BF3568">
        <w:rPr>
          <w:rFonts w:eastAsia="Times New Roman" w:cstheme="minorHAnsi"/>
        </w:rPr>
        <w:t xml:space="preserve">by </w:t>
      </w:r>
      <w:r w:rsidRPr="00BF3568">
        <w:rPr>
          <w:rFonts w:eastAsia="Times New Roman" w:cstheme="minorHAnsi"/>
        </w:rPr>
        <w:t>us</w:t>
      </w:r>
      <w:r w:rsidR="00984F22" w:rsidRPr="00BF3568">
        <w:rPr>
          <w:rFonts w:eastAsia="Times New Roman" w:cstheme="minorHAnsi"/>
        </w:rPr>
        <w:t>ing</w:t>
      </w:r>
      <w:r w:rsidRPr="00BF3568">
        <w:rPr>
          <w:rFonts w:eastAsia="Times New Roman" w:cstheme="minorHAnsi"/>
        </w:rPr>
        <w:t xml:space="preserve"> other forms of communication like email.  This is a red herring designed to prevent businesses from calling at all, and it has worked in many cases</w:t>
      </w:r>
      <w:r w:rsidR="00E570FA" w:rsidRPr="00BF3568">
        <w:rPr>
          <w:rFonts w:eastAsia="Times New Roman" w:cstheme="minorHAnsi"/>
        </w:rPr>
        <w:t xml:space="preserve"> because companies can’t risk the liability</w:t>
      </w:r>
      <w:r w:rsidRPr="00BF3568">
        <w:rPr>
          <w:rFonts w:eastAsia="Times New Roman" w:cstheme="minorHAnsi"/>
        </w:rPr>
        <w:t xml:space="preserve">.  With the FCC defining autodialer to include modern communications equipment, including </w:t>
      </w:r>
      <w:r w:rsidR="00F274EE" w:rsidRPr="00BF3568">
        <w:rPr>
          <w:rFonts w:eastAsia="Times New Roman" w:cstheme="minorHAnsi"/>
        </w:rPr>
        <w:t xml:space="preserve">predictive dialers and </w:t>
      </w:r>
      <w:r w:rsidRPr="00BF3568">
        <w:rPr>
          <w:rFonts w:eastAsia="Times New Roman" w:cstheme="minorHAnsi"/>
        </w:rPr>
        <w:t xml:space="preserve">smartphones, </w:t>
      </w:r>
      <w:r w:rsidR="00F274EE" w:rsidRPr="00BF3568">
        <w:rPr>
          <w:rFonts w:eastAsia="Times New Roman" w:cstheme="minorHAnsi"/>
        </w:rPr>
        <w:t>companies do not have a good option to reach consumers.  In addition, by defining capacity to include future capabilities, it is not safe to manually dial a call from any modern equipment.</w:t>
      </w:r>
      <w:r w:rsidR="00DE3D0E">
        <w:rPr>
          <w:rFonts w:eastAsia="Times New Roman" w:cstheme="minorHAnsi"/>
        </w:rPr>
        <w:t xml:space="preserve">  Here is one of the </w:t>
      </w:r>
      <w:r w:rsidR="00AF0909">
        <w:rPr>
          <w:rFonts w:eastAsia="Times New Roman" w:cstheme="minorHAnsi"/>
        </w:rPr>
        <w:t>only</w:t>
      </w:r>
      <w:r w:rsidR="00D83766">
        <w:rPr>
          <w:rFonts w:eastAsia="Times New Roman" w:cstheme="minorHAnsi"/>
        </w:rPr>
        <w:t xml:space="preserve"> devices the prev</w:t>
      </w:r>
      <w:r w:rsidR="002E1091">
        <w:rPr>
          <w:rFonts w:eastAsia="Times New Roman" w:cstheme="minorHAnsi"/>
        </w:rPr>
        <w:t xml:space="preserve">ious Commission </w:t>
      </w:r>
      <w:r w:rsidR="002113C9">
        <w:rPr>
          <w:rFonts w:eastAsia="Times New Roman" w:cstheme="minorHAnsi"/>
        </w:rPr>
        <w:t>wanted you</w:t>
      </w:r>
      <w:r w:rsidR="00F96E75">
        <w:rPr>
          <w:rFonts w:eastAsia="Times New Roman" w:cstheme="minorHAnsi"/>
        </w:rPr>
        <w:t>r industry</w:t>
      </w:r>
      <w:r w:rsidR="002113C9">
        <w:rPr>
          <w:rFonts w:eastAsia="Times New Roman" w:cstheme="minorHAnsi"/>
        </w:rPr>
        <w:t xml:space="preserve"> to use to </w:t>
      </w:r>
      <w:r w:rsidR="002E1091">
        <w:rPr>
          <w:rFonts w:eastAsia="Times New Roman" w:cstheme="minorHAnsi"/>
        </w:rPr>
        <w:t>make calls in the 21</w:t>
      </w:r>
      <w:r w:rsidR="002E1091" w:rsidRPr="003A0971">
        <w:rPr>
          <w:rFonts w:eastAsia="Times New Roman" w:cstheme="minorHAnsi"/>
          <w:vertAlign w:val="superscript"/>
        </w:rPr>
        <w:t>st</w:t>
      </w:r>
      <w:r w:rsidR="002E1091">
        <w:rPr>
          <w:rFonts w:eastAsia="Times New Roman" w:cstheme="minorHAnsi"/>
        </w:rPr>
        <w:t xml:space="preserve"> Century</w:t>
      </w:r>
      <w:r w:rsidR="00913624">
        <w:rPr>
          <w:rFonts w:eastAsia="Times New Roman" w:cstheme="minorHAnsi"/>
        </w:rPr>
        <w:t xml:space="preserve"> – a rotary phone</w:t>
      </w:r>
      <w:r w:rsidR="00F96E75">
        <w:rPr>
          <w:rFonts w:eastAsia="Times New Roman" w:cstheme="minorHAnsi"/>
        </w:rPr>
        <w:t>.</w:t>
      </w:r>
      <w:r w:rsidR="00F274EE" w:rsidRPr="00BF3568">
        <w:rPr>
          <w:rFonts w:eastAsia="Times New Roman" w:cstheme="minorHAnsi"/>
        </w:rPr>
        <w:t xml:space="preserve">  </w:t>
      </w:r>
      <w:r w:rsidR="00E570FA" w:rsidRPr="00BF3568">
        <w:rPr>
          <w:rFonts w:eastAsia="Times New Roman" w:cstheme="minorHAnsi"/>
        </w:rPr>
        <w:t xml:space="preserve">Yet even if callers had the option to manually dial, it is ridiculous to expect that they would dial hundreds or thousands of numbers by hand.  That would </w:t>
      </w:r>
      <w:r w:rsidR="00E8670D" w:rsidRPr="00BF3568">
        <w:rPr>
          <w:rFonts w:eastAsia="Times New Roman" w:cstheme="minorHAnsi"/>
        </w:rPr>
        <w:t xml:space="preserve">be </w:t>
      </w:r>
      <w:r w:rsidR="00E570FA" w:rsidRPr="00BF3568">
        <w:rPr>
          <w:rFonts w:eastAsia="Times New Roman" w:cstheme="minorHAnsi"/>
        </w:rPr>
        <w:t xml:space="preserve">a costly waste of time and does not serve any legitimate purpose.  These are calls to people </w:t>
      </w:r>
      <w:r w:rsidR="00CD0A18">
        <w:rPr>
          <w:rFonts w:eastAsia="Times New Roman" w:cstheme="minorHAnsi"/>
        </w:rPr>
        <w:t>who</w:t>
      </w:r>
      <w:r w:rsidR="00CD0A18" w:rsidRPr="00BF3568">
        <w:rPr>
          <w:rFonts w:eastAsia="Times New Roman" w:cstheme="minorHAnsi"/>
        </w:rPr>
        <w:t xml:space="preserve"> </w:t>
      </w:r>
      <w:r w:rsidR="00E570FA" w:rsidRPr="00BF3568">
        <w:rPr>
          <w:rFonts w:eastAsia="Times New Roman" w:cstheme="minorHAnsi"/>
        </w:rPr>
        <w:t xml:space="preserve">have </w:t>
      </w:r>
      <w:r w:rsidR="00BE75F4" w:rsidRPr="00BF3568">
        <w:rPr>
          <w:rFonts w:eastAsia="Times New Roman" w:cstheme="minorHAnsi"/>
        </w:rPr>
        <w:t>provided their number</w:t>
      </w:r>
      <w:r w:rsidR="00562D1A">
        <w:rPr>
          <w:rFonts w:eastAsia="Times New Roman" w:cstheme="minorHAnsi"/>
        </w:rPr>
        <w:t>s</w:t>
      </w:r>
      <w:r w:rsidR="00BE75F4" w:rsidRPr="00BF3568">
        <w:rPr>
          <w:rFonts w:eastAsia="Times New Roman" w:cstheme="minorHAnsi"/>
        </w:rPr>
        <w:t xml:space="preserve">, </w:t>
      </w:r>
      <w:r w:rsidR="00E570FA" w:rsidRPr="00BF3568">
        <w:rPr>
          <w:rFonts w:eastAsia="Times New Roman" w:cstheme="minorHAnsi"/>
        </w:rPr>
        <w:t>expresse</w:t>
      </w:r>
      <w:r w:rsidR="00BE75F4" w:rsidRPr="00BF3568">
        <w:rPr>
          <w:rFonts w:eastAsia="Times New Roman" w:cstheme="minorHAnsi"/>
        </w:rPr>
        <w:t xml:space="preserve">d interest in being contacted, or need to be notified for a specific reason.  It makes no sense to put up artificial barriers to these types of communications.  </w:t>
      </w:r>
      <w:r w:rsidR="008422D6" w:rsidRPr="00BF3568">
        <w:rPr>
          <w:rFonts w:eastAsia="Times New Roman" w:cstheme="minorHAnsi"/>
        </w:rPr>
        <w:t xml:space="preserve">And if the concern </w:t>
      </w:r>
      <w:r w:rsidR="00CD0A18">
        <w:rPr>
          <w:rFonts w:eastAsia="Times New Roman" w:cstheme="minorHAnsi"/>
        </w:rPr>
        <w:t>of</w:t>
      </w:r>
      <w:r w:rsidR="00CD0A18" w:rsidRPr="00BF3568">
        <w:rPr>
          <w:rFonts w:eastAsia="Times New Roman" w:cstheme="minorHAnsi"/>
        </w:rPr>
        <w:t xml:space="preserve"> </w:t>
      </w:r>
      <w:r w:rsidR="008422D6" w:rsidRPr="00BF3568">
        <w:rPr>
          <w:rFonts w:eastAsia="Times New Roman" w:cstheme="minorHAnsi"/>
        </w:rPr>
        <w:t>some is that occasionally these communications are unwanted, then shifting to email doesn’t resolve that issue</w:t>
      </w:r>
      <w:r w:rsidR="00984F22" w:rsidRPr="00BF3568">
        <w:rPr>
          <w:rFonts w:eastAsia="Times New Roman" w:cstheme="minorHAnsi"/>
        </w:rPr>
        <w:t xml:space="preserve">.  </w:t>
      </w:r>
    </w:p>
    <w:p w14:paraId="4A81CD89" w14:textId="77777777" w:rsidR="003B36B5" w:rsidRPr="00BF3568" w:rsidRDefault="003B36B5" w:rsidP="004D5564">
      <w:pPr>
        <w:spacing w:after="0" w:line="240" w:lineRule="auto"/>
        <w:ind w:firstLine="720"/>
        <w:rPr>
          <w:rFonts w:eastAsia="Times New Roman" w:cstheme="minorHAnsi"/>
        </w:rPr>
      </w:pPr>
    </w:p>
    <w:p w14:paraId="70B6D7E9" w14:textId="1C108DEB" w:rsidR="003B36B5" w:rsidRPr="00BF3568" w:rsidRDefault="008422D6" w:rsidP="004D5564">
      <w:pPr>
        <w:spacing w:after="0" w:line="240" w:lineRule="auto"/>
        <w:ind w:firstLine="720"/>
        <w:rPr>
          <w:rFonts w:eastAsia="Times New Roman" w:cstheme="minorHAnsi"/>
        </w:rPr>
      </w:pPr>
      <w:r w:rsidRPr="00BF3568">
        <w:rPr>
          <w:rFonts w:eastAsia="Times New Roman" w:cstheme="minorHAnsi"/>
        </w:rPr>
        <w:t xml:space="preserve">The Commission also </w:t>
      </w:r>
      <w:r w:rsidR="00E8670D" w:rsidRPr="00BF3568">
        <w:rPr>
          <w:rFonts w:eastAsia="Times New Roman" w:cstheme="minorHAnsi"/>
        </w:rPr>
        <w:t xml:space="preserve">should </w:t>
      </w:r>
      <w:r w:rsidRPr="00BF3568">
        <w:rPr>
          <w:rFonts w:eastAsia="Times New Roman" w:cstheme="minorHAnsi"/>
        </w:rPr>
        <w:t xml:space="preserve">not </w:t>
      </w:r>
      <w:r w:rsidR="007546F5" w:rsidRPr="00BF3568">
        <w:rPr>
          <w:rFonts w:eastAsia="Times New Roman" w:cstheme="minorHAnsi"/>
        </w:rPr>
        <w:t>prevent</w:t>
      </w:r>
      <w:r w:rsidRPr="00BF3568">
        <w:rPr>
          <w:rFonts w:eastAsia="Times New Roman" w:cstheme="minorHAnsi"/>
        </w:rPr>
        <w:t xml:space="preserve"> companies or government agencies from using third party contractors.  </w:t>
      </w:r>
      <w:r w:rsidR="003E0831" w:rsidRPr="00BF3568">
        <w:rPr>
          <w:rFonts w:eastAsia="Times New Roman" w:cstheme="minorHAnsi"/>
        </w:rPr>
        <w:t xml:space="preserve">These arrangements can be a cost-effective solution.  </w:t>
      </w:r>
      <w:r w:rsidR="00CD0A18">
        <w:rPr>
          <w:rFonts w:eastAsia="Times New Roman" w:cstheme="minorHAnsi"/>
        </w:rPr>
        <w:t>C</w:t>
      </w:r>
      <w:r w:rsidR="003E0831" w:rsidRPr="00BF3568">
        <w:rPr>
          <w:rFonts w:eastAsia="Times New Roman" w:cstheme="minorHAnsi"/>
        </w:rPr>
        <w:t xml:space="preserve">ontractors that specialize in making calls can be more efficient and provide a higher quality service than in-house employees.  </w:t>
      </w:r>
      <w:r w:rsidR="001E3599">
        <w:rPr>
          <w:rFonts w:eastAsia="Times New Roman" w:cstheme="minorHAnsi"/>
        </w:rPr>
        <w:t xml:space="preserve">Do </w:t>
      </w:r>
      <w:r w:rsidR="00D2419D">
        <w:rPr>
          <w:rFonts w:eastAsia="Times New Roman" w:cstheme="minorHAnsi"/>
        </w:rPr>
        <w:t>we really want the Federal government paying</w:t>
      </w:r>
      <w:r w:rsidR="009C5B3F">
        <w:rPr>
          <w:rFonts w:eastAsia="Times New Roman" w:cstheme="minorHAnsi"/>
        </w:rPr>
        <w:t xml:space="preserve"> more and getting </w:t>
      </w:r>
      <w:r w:rsidR="00C97866">
        <w:rPr>
          <w:rFonts w:eastAsia="Times New Roman" w:cstheme="minorHAnsi"/>
        </w:rPr>
        <w:t xml:space="preserve">a less precise result?  </w:t>
      </w:r>
      <w:r w:rsidR="003E0831" w:rsidRPr="00BF3568">
        <w:rPr>
          <w:rFonts w:eastAsia="Times New Roman" w:cstheme="minorHAnsi"/>
        </w:rPr>
        <w:t xml:space="preserve">Here again, the real concern seems to be about companies or agencies making the calls at all, and restrictions on the use of contractors is </w:t>
      </w:r>
      <w:r w:rsidR="00A90E6B">
        <w:rPr>
          <w:rFonts w:eastAsia="Times New Roman" w:cstheme="minorHAnsi"/>
        </w:rPr>
        <w:t xml:space="preserve">just </w:t>
      </w:r>
      <w:r w:rsidR="003E0831" w:rsidRPr="00BF3568">
        <w:rPr>
          <w:rFonts w:eastAsia="Times New Roman" w:cstheme="minorHAnsi"/>
        </w:rPr>
        <w:t>another avenue to discourage calling altogether.</w:t>
      </w:r>
    </w:p>
    <w:p w14:paraId="3185E900" w14:textId="77777777" w:rsidR="003E0831" w:rsidRPr="00BF3568" w:rsidRDefault="003E0831" w:rsidP="004D5564">
      <w:pPr>
        <w:spacing w:after="0" w:line="240" w:lineRule="auto"/>
        <w:ind w:firstLine="720"/>
        <w:rPr>
          <w:rFonts w:eastAsia="Times New Roman" w:cstheme="minorHAnsi"/>
        </w:rPr>
      </w:pPr>
    </w:p>
    <w:p w14:paraId="79487971" w14:textId="77777777" w:rsidR="003E0831" w:rsidRPr="00BF3568" w:rsidRDefault="003E0831" w:rsidP="004D5564">
      <w:pPr>
        <w:spacing w:after="0" w:line="240" w:lineRule="auto"/>
        <w:ind w:firstLine="720"/>
        <w:rPr>
          <w:rFonts w:cstheme="minorHAnsi"/>
        </w:rPr>
      </w:pPr>
      <w:r w:rsidRPr="00BF3568">
        <w:rPr>
          <w:rFonts w:eastAsia="Times New Roman" w:cstheme="minorHAnsi"/>
        </w:rPr>
        <w:t>In addition, to the extent that the Commission creates new rules on revocation of consent to enable consumers to cease communications, it should do so in a standardized way that is clear and convenient for consumers but also does not upend standard best practices of legitimate companies.  C</w:t>
      </w:r>
      <w:r w:rsidRPr="00BF3568">
        <w:rPr>
          <w:rFonts w:cstheme="minorHAnsi"/>
        </w:rPr>
        <w:t xml:space="preserve">ommenters have noted that the systems used by mobile marketers are programmed to process a specific, industry recognized list of keywords as an opt-out request:  STOP, CANCEL, UNSUBSCRIBE, QUIT, END, and STOPALL.  If customers are able to use any words – such as DECLINE, NO THANKS, or LEAVE ME ALONE – companies will have no way to ensure that opt-out requests are processed.  That is not efficient for companies and does not provide certainty for consumers that their requests will be </w:t>
      </w:r>
      <w:r w:rsidR="001F4321" w:rsidRPr="00BF3568">
        <w:rPr>
          <w:rFonts w:cstheme="minorHAnsi"/>
        </w:rPr>
        <w:t xml:space="preserve">understood and </w:t>
      </w:r>
      <w:r w:rsidRPr="00BF3568">
        <w:rPr>
          <w:rFonts w:cstheme="minorHAnsi"/>
        </w:rPr>
        <w:t xml:space="preserve">honored.  </w:t>
      </w:r>
    </w:p>
    <w:p w14:paraId="6C67D916" w14:textId="77777777" w:rsidR="003E0831" w:rsidRPr="00BF3568" w:rsidRDefault="003E0831" w:rsidP="004D5564">
      <w:pPr>
        <w:spacing w:after="0" w:line="240" w:lineRule="auto"/>
        <w:ind w:firstLine="720"/>
        <w:rPr>
          <w:rFonts w:cstheme="minorHAnsi"/>
        </w:rPr>
      </w:pPr>
    </w:p>
    <w:p w14:paraId="670016B4" w14:textId="77777777" w:rsidR="00E4546D" w:rsidRPr="00BF3568" w:rsidRDefault="00286751" w:rsidP="003E0831">
      <w:pPr>
        <w:spacing w:after="0" w:line="240" w:lineRule="auto"/>
        <w:rPr>
          <w:rFonts w:eastAsia="Times New Roman" w:cstheme="minorHAnsi"/>
          <w:u w:val="single"/>
        </w:rPr>
      </w:pPr>
      <w:r w:rsidRPr="00BF3568">
        <w:rPr>
          <w:rFonts w:eastAsia="Times New Roman" w:cstheme="minorHAnsi"/>
          <w:u w:val="single"/>
        </w:rPr>
        <w:t>The Commission</w:t>
      </w:r>
      <w:r w:rsidR="00E4546D" w:rsidRPr="00BF3568">
        <w:rPr>
          <w:rFonts w:eastAsia="Times New Roman" w:cstheme="minorHAnsi"/>
          <w:u w:val="single"/>
        </w:rPr>
        <w:t xml:space="preserve"> Should Focus on Actual Harms and Real Bad Actors</w:t>
      </w:r>
    </w:p>
    <w:p w14:paraId="0973DF05" w14:textId="77777777" w:rsidR="00E4546D" w:rsidRPr="00BF3568" w:rsidRDefault="00E4546D" w:rsidP="004D5564">
      <w:pPr>
        <w:spacing w:after="0" w:line="240" w:lineRule="auto"/>
        <w:ind w:firstLine="720"/>
        <w:rPr>
          <w:rFonts w:eastAsia="Times New Roman" w:cstheme="minorHAnsi"/>
        </w:rPr>
      </w:pPr>
    </w:p>
    <w:p w14:paraId="3D3F7E4F" w14:textId="4ED88AEF" w:rsidR="008E001A" w:rsidRPr="00BF3568" w:rsidRDefault="008E001A" w:rsidP="004D5564">
      <w:pPr>
        <w:spacing w:after="0" w:line="240" w:lineRule="auto"/>
        <w:ind w:firstLine="720"/>
        <w:rPr>
          <w:rFonts w:eastAsia="Times New Roman" w:cstheme="minorHAnsi"/>
        </w:rPr>
      </w:pPr>
      <w:r w:rsidRPr="00BF3568">
        <w:rPr>
          <w:rFonts w:eastAsia="Times New Roman" w:cstheme="minorHAnsi"/>
        </w:rPr>
        <w:t xml:space="preserve">My last point is that the Commission should focus on actual instances of harm and </w:t>
      </w:r>
      <w:r w:rsidR="00DF7C1E" w:rsidRPr="00BF3568">
        <w:rPr>
          <w:rFonts w:eastAsia="Times New Roman" w:cstheme="minorHAnsi"/>
        </w:rPr>
        <w:t xml:space="preserve">stopping </w:t>
      </w:r>
      <w:r w:rsidRPr="00BF3568">
        <w:rPr>
          <w:rFonts w:eastAsia="Times New Roman" w:cstheme="minorHAnsi"/>
        </w:rPr>
        <w:t xml:space="preserve">companies that are truly bad actors.  The prior Commission and some courts have taken the position that </w:t>
      </w:r>
      <w:r w:rsidR="00DF7C1E" w:rsidRPr="00BF3568">
        <w:rPr>
          <w:rFonts w:eastAsia="Times New Roman" w:cstheme="minorHAnsi"/>
        </w:rPr>
        <w:t xml:space="preserve">simply receiving a couple of stray calls or voicemails constitutes a real harm that can subject well-intentioned companies to liability.  Some go so far as to suggest that </w:t>
      </w:r>
      <w:r w:rsidRPr="00BF3568">
        <w:rPr>
          <w:rFonts w:eastAsia="Times New Roman" w:cstheme="minorHAnsi"/>
        </w:rPr>
        <w:t xml:space="preserve">the mere appearance of a </w:t>
      </w:r>
      <w:r w:rsidR="00DF7C1E" w:rsidRPr="00BF3568">
        <w:rPr>
          <w:rFonts w:eastAsia="Times New Roman" w:cstheme="minorHAnsi"/>
        </w:rPr>
        <w:t>phone number</w:t>
      </w:r>
      <w:r w:rsidRPr="00BF3568">
        <w:rPr>
          <w:rFonts w:eastAsia="Times New Roman" w:cstheme="minorHAnsi"/>
        </w:rPr>
        <w:t xml:space="preserve"> on </w:t>
      </w:r>
      <w:r w:rsidR="00DF7C1E" w:rsidRPr="00BF3568">
        <w:rPr>
          <w:rFonts w:eastAsia="Times New Roman" w:cstheme="minorHAnsi"/>
        </w:rPr>
        <w:t xml:space="preserve">a </w:t>
      </w:r>
      <w:r w:rsidRPr="00BF3568">
        <w:rPr>
          <w:rFonts w:eastAsia="Times New Roman" w:cstheme="minorHAnsi"/>
        </w:rPr>
        <w:t xml:space="preserve">missed call screen somehow </w:t>
      </w:r>
      <w:r w:rsidR="00DF7C1E" w:rsidRPr="00BF3568">
        <w:rPr>
          <w:rFonts w:eastAsia="Times New Roman" w:cstheme="minorHAnsi"/>
        </w:rPr>
        <w:t>invades</w:t>
      </w:r>
      <w:r w:rsidRPr="00BF3568">
        <w:rPr>
          <w:rFonts w:eastAsia="Times New Roman" w:cstheme="minorHAnsi"/>
        </w:rPr>
        <w:t xml:space="preserve"> consumers</w:t>
      </w:r>
      <w:r w:rsidR="00DF7C1E" w:rsidRPr="00BF3568">
        <w:rPr>
          <w:rFonts w:eastAsia="Times New Roman" w:cstheme="minorHAnsi"/>
        </w:rPr>
        <w:t>’ privacy</w:t>
      </w:r>
      <w:r w:rsidRPr="00BF3568">
        <w:rPr>
          <w:rFonts w:eastAsia="Times New Roman" w:cstheme="minorHAnsi"/>
        </w:rPr>
        <w:t xml:space="preserve">.  </w:t>
      </w:r>
      <w:r w:rsidR="00DF7C1E" w:rsidRPr="00BF3568">
        <w:rPr>
          <w:rFonts w:eastAsia="Times New Roman" w:cstheme="minorHAnsi"/>
        </w:rPr>
        <w:t>At times</w:t>
      </w:r>
      <w:r w:rsidR="00D81874">
        <w:rPr>
          <w:rFonts w:eastAsia="Times New Roman" w:cstheme="minorHAnsi"/>
        </w:rPr>
        <w:t>,</w:t>
      </w:r>
      <w:r w:rsidR="00DF7C1E" w:rsidRPr="00BF3568">
        <w:rPr>
          <w:rFonts w:eastAsia="Times New Roman" w:cstheme="minorHAnsi"/>
        </w:rPr>
        <w:t xml:space="preserve"> the FCC has claimed it can even act in the absence of any harm.  This approach is completely wrongheaded and does not actually protect consumers.  </w:t>
      </w:r>
    </w:p>
    <w:p w14:paraId="47DD7F14" w14:textId="77777777" w:rsidR="00DF7C1E" w:rsidRPr="00BF3568" w:rsidRDefault="00DF7C1E" w:rsidP="004D5564">
      <w:pPr>
        <w:spacing w:after="0" w:line="240" w:lineRule="auto"/>
        <w:ind w:firstLine="720"/>
        <w:rPr>
          <w:rFonts w:eastAsia="Times New Roman" w:cstheme="minorHAnsi"/>
        </w:rPr>
      </w:pPr>
    </w:p>
    <w:p w14:paraId="17610F10" w14:textId="316A099B" w:rsidR="00DF7C1E" w:rsidRPr="00BF3568" w:rsidRDefault="00DF7C1E" w:rsidP="004D5564">
      <w:pPr>
        <w:spacing w:after="0" w:line="240" w:lineRule="auto"/>
        <w:ind w:firstLine="720"/>
        <w:rPr>
          <w:rFonts w:eastAsia="Times New Roman" w:cstheme="minorHAnsi"/>
        </w:rPr>
      </w:pPr>
      <w:r w:rsidRPr="00BF3568">
        <w:rPr>
          <w:rFonts w:eastAsia="Times New Roman" w:cstheme="minorHAnsi"/>
        </w:rPr>
        <w:t>Instead, the FCC should focus its resources on callers that engage in abusive calling practices</w:t>
      </w:r>
      <w:r w:rsidR="00880D6C">
        <w:rPr>
          <w:rFonts w:eastAsia="Times New Roman" w:cstheme="minorHAnsi"/>
        </w:rPr>
        <w:t>, many of which initia</w:t>
      </w:r>
      <w:r w:rsidR="007427C5">
        <w:rPr>
          <w:rFonts w:eastAsia="Times New Roman" w:cstheme="minorHAnsi"/>
        </w:rPr>
        <w:t>te overseas</w:t>
      </w:r>
      <w:r w:rsidRPr="00BF3568">
        <w:rPr>
          <w:rFonts w:eastAsia="Times New Roman" w:cstheme="minorHAnsi"/>
        </w:rPr>
        <w:t xml:space="preserve">.  For instance, the FCC recently launched a proceeding </w:t>
      </w:r>
      <w:r w:rsidR="001F4321" w:rsidRPr="00BF3568">
        <w:rPr>
          <w:rFonts w:eastAsia="Times New Roman" w:cstheme="minorHAnsi"/>
        </w:rPr>
        <w:t xml:space="preserve">that sought comment, in part, on </w:t>
      </w:r>
      <w:r w:rsidR="001F4321" w:rsidRPr="00BF3568">
        <w:rPr>
          <w:rFonts w:cstheme="minorHAnsi"/>
        </w:rPr>
        <w:t>authorizing providers to block calls from invalid numbers, valid numbers that are not allocated to a voice service provider, and valid numbers that are allocated but not assigned to a subscriber.  It is hard to even imagine a lawful reason for a caller to appear to place calls from such numbers.  Therefore, stopping calls from these numbers, subject to appropriate processes, could actually protect consumers from scammers.</w:t>
      </w:r>
    </w:p>
    <w:p w14:paraId="018BA8C4" w14:textId="77777777" w:rsidR="004C57CC" w:rsidRPr="00BF3568" w:rsidRDefault="004C57CC" w:rsidP="00322C73">
      <w:pPr>
        <w:spacing w:after="0" w:line="240" w:lineRule="auto"/>
        <w:rPr>
          <w:rFonts w:eastAsia="Times New Roman" w:cstheme="minorHAnsi"/>
        </w:rPr>
      </w:pPr>
    </w:p>
    <w:p w14:paraId="65D61369" w14:textId="623E1EA5" w:rsidR="007546F5" w:rsidRPr="00BF3568" w:rsidRDefault="007546F5" w:rsidP="00322C73">
      <w:pPr>
        <w:spacing w:after="0" w:line="240" w:lineRule="auto"/>
        <w:rPr>
          <w:rFonts w:eastAsia="Times New Roman" w:cstheme="minorHAnsi"/>
        </w:rPr>
      </w:pPr>
      <w:r w:rsidRPr="00BF3568">
        <w:rPr>
          <w:rFonts w:eastAsia="Times New Roman" w:cstheme="minorHAnsi"/>
        </w:rPr>
        <w:tab/>
        <w:t xml:space="preserve">Finally, one bit of advice.  I expect that any effort to change TCPA rules, even to make them more rational, will be met with hysterical claims about the harms that will come to consumers.  It will be helpful for legitimate companies and associations across all parts of the economy to work together to </w:t>
      </w:r>
      <w:r w:rsidR="00096A28" w:rsidRPr="00BF3568">
        <w:rPr>
          <w:rFonts w:eastAsia="Times New Roman" w:cstheme="minorHAnsi"/>
        </w:rPr>
        <w:t xml:space="preserve">show the steps they are </w:t>
      </w:r>
      <w:r w:rsidR="00E8670D" w:rsidRPr="00BF3568">
        <w:rPr>
          <w:rFonts w:eastAsia="Times New Roman" w:cstheme="minorHAnsi"/>
        </w:rPr>
        <w:t xml:space="preserve">already </w:t>
      </w:r>
      <w:r w:rsidR="00096A28" w:rsidRPr="00BF3568">
        <w:rPr>
          <w:rFonts w:eastAsia="Times New Roman" w:cstheme="minorHAnsi"/>
        </w:rPr>
        <w:t xml:space="preserve">taking to avoid unwanted calls </w:t>
      </w:r>
      <w:r w:rsidR="00151100">
        <w:rPr>
          <w:rFonts w:eastAsia="Times New Roman" w:cstheme="minorHAnsi"/>
        </w:rPr>
        <w:t>and</w:t>
      </w:r>
      <w:r w:rsidR="00151100" w:rsidRPr="00BF3568">
        <w:rPr>
          <w:rFonts w:eastAsia="Times New Roman" w:cstheme="minorHAnsi"/>
        </w:rPr>
        <w:t xml:space="preserve"> </w:t>
      </w:r>
      <w:r w:rsidR="00096A28" w:rsidRPr="00BF3568">
        <w:rPr>
          <w:rFonts w:eastAsia="Times New Roman" w:cstheme="minorHAnsi"/>
        </w:rPr>
        <w:t>highlight</w:t>
      </w:r>
      <w:r w:rsidRPr="00BF3568">
        <w:rPr>
          <w:rFonts w:eastAsia="Times New Roman" w:cstheme="minorHAnsi"/>
        </w:rPr>
        <w:t xml:space="preserve"> the </w:t>
      </w:r>
      <w:r w:rsidR="00096A28" w:rsidRPr="00BF3568">
        <w:rPr>
          <w:rFonts w:eastAsia="Times New Roman" w:cstheme="minorHAnsi"/>
        </w:rPr>
        <w:t xml:space="preserve">specific </w:t>
      </w:r>
      <w:r w:rsidRPr="00BF3568">
        <w:rPr>
          <w:rFonts w:eastAsia="Times New Roman" w:cstheme="minorHAnsi"/>
        </w:rPr>
        <w:t xml:space="preserve">benefits </w:t>
      </w:r>
      <w:r w:rsidR="00096A28" w:rsidRPr="00BF3568">
        <w:rPr>
          <w:rFonts w:eastAsia="Times New Roman" w:cstheme="minorHAnsi"/>
        </w:rPr>
        <w:t xml:space="preserve">of being able to contact consumers. </w:t>
      </w:r>
      <w:r w:rsidR="00A22BED">
        <w:rPr>
          <w:rFonts w:eastAsia="Times New Roman" w:cstheme="minorHAnsi"/>
        </w:rPr>
        <w:t xml:space="preserve"> That </w:t>
      </w:r>
      <w:r w:rsidR="001A52C8">
        <w:rPr>
          <w:rFonts w:eastAsia="Times New Roman" w:cstheme="minorHAnsi"/>
        </w:rPr>
        <w:t xml:space="preserve">hasn’t </w:t>
      </w:r>
      <w:r w:rsidR="00A22BED">
        <w:rPr>
          <w:rFonts w:eastAsia="Times New Roman" w:cstheme="minorHAnsi"/>
        </w:rPr>
        <w:t>occurred</w:t>
      </w:r>
      <w:r w:rsidR="00574A19">
        <w:rPr>
          <w:rFonts w:eastAsia="Times New Roman" w:cstheme="minorHAnsi"/>
        </w:rPr>
        <w:t xml:space="preserve"> </w:t>
      </w:r>
      <w:r w:rsidR="00F800E9">
        <w:rPr>
          <w:rFonts w:eastAsia="Times New Roman" w:cstheme="minorHAnsi"/>
        </w:rPr>
        <w:t xml:space="preserve">in a coordinated manner </w:t>
      </w:r>
      <w:r w:rsidR="00574A19">
        <w:rPr>
          <w:rFonts w:eastAsia="Times New Roman" w:cstheme="minorHAnsi"/>
        </w:rPr>
        <w:t xml:space="preserve">to date and the failure to do so helped produce </w:t>
      </w:r>
      <w:r w:rsidR="00007F6E">
        <w:rPr>
          <w:rFonts w:eastAsia="Times New Roman" w:cstheme="minorHAnsi"/>
        </w:rPr>
        <w:t xml:space="preserve">the mess you face today. </w:t>
      </w:r>
    </w:p>
    <w:p w14:paraId="60B3836D" w14:textId="77777777" w:rsidR="007546F5" w:rsidRPr="00BF3568" w:rsidRDefault="007546F5" w:rsidP="00322C73">
      <w:pPr>
        <w:spacing w:after="0" w:line="240" w:lineRule="auto"/>
        <w:rPr>
          <w:rFonts w:eastAsia="Times New Roman" w:cstheme="minorHAnsi"/>
        </w:rPr>
      </w:pPr>
    </w:p>
    <w:p w14:paraId="61C5E18F" w14:textId="77777777" w:rsidR="00A85E08" w:rsidRPr="00BF3568" w:rsidRDefault="00A85E08" w:rsidP="00A85E08">
      <w:pPr>
        <w:spacing w:after="0" w:line="240" w:lineRule="auto"/>
        <w:jc w:val="center"/>
        <w:rPr>
          <w:rFonts w:cstheme="minorHAnsi"/>
        </w:rPr>
      </w:pPr>
      <w:r w:rsidRPr="00BF3568">
        <w:rPr>
          <w:rFonts w:cstheme="minorHAnsi"/>
        </w:rPr>
        <w:t>*</w:t>
      </w:r>
      <w:r w:rsidRPr="00BF3568">
        <w:rPr>
          <w:rFonts w:cstheme="minorHAnsi"/>
        </w:rPr>
        <w:tab/>
        <w:t>*</w:t>
      </w:r>
      <w:r w:rsidRPr="00BF3568">
        <w:rPr>
          <w:rFonts w:cstheme="minorHAnsi"/>
        </w:rPr>
        <w:tab/>
        <w:t>*</w:t>
      </w:r>
    </w:p>
    <w:p w14:paraId="7F6B198A" w14:textId="77777777" w:rsidR="00A85E08" w:rsidRPr="00BF3568" w:rsidRDefault="00A85E08" w:rsidP="00322C73">
      <w:pPr>
        <w:spacing w:after="0" w:line="240" w:lineRule="auto"/>
        <w:rPr>
          <w:rFonts w:cstheme="minorHAnsi"/>
        </w:rPr>
      </w:pPr>
    </w:p>
    <w:p w14:paraId="4ABFC73B" w14:textId="6651A6C2" w:rsidR="00A85E08" w:rsidRPr="00BF3568" w:rsidRDefault="00096A28" w:rsidP="00643BEB">
      <w:pPr>
        <w:spacing w:after="0" w:line="240" w:lineRule="auto"/>
        <w:ind w:firstLine="720"/>
        <w:rPr>
          <w:rFonts w:eastAsia="Times New Roman" w:cstheme="minorHAnsi"/>
        </w:rPr>
      </w:pPr>
      <w:r w:rsidRPr="00BF3568">
        <w:rPr>
          <w:rFonts w:eastAsia="Times New Roman" w:cstheme="minorHAnsi"/>
        </w:rPr>
        <w:t>In closing, I firmly believe that with</w:t>
      </w:r>
      <w:r w:rsidR="00471C4F" w:rsidRPr="00BF3568">
        <w:rPr>
          <w:rFonts w:eastAsia="Times New Roman" w:cstheme="minorHAnsi"/>
        </w:rPr>
        <w:t xml:space="preserve"> a renewed purpose and perseverance, we can bring </w:t>
      </w:r>
      <w:r w:rsidR="00007F6E">
        <w:rPr>
          <w:rFonts w:eastAsia="Times New Roman" w:cstheme="minorHAnsi"/>
        </w:rPr>
        <w:t xml:space="preserve">TCPA </w:t>
      </w:r>
      <w:r w:rsidR="00471C4F" w:rsidRPr="00BF3568">
        <w:rPr>
          <w:rFonts w:eastAsia="Times New Roman" w:cstheme="minorHAnsi"/>
        </w:rPr>
        <w:t>rules back in line with the statute.  As your keynote speaker</w:t>
      </w:r>
      <w:r w:rsidR="00266E74">
        <w:rPr>
          <w:rFonts w:eastAsia="Times New Roman" w:cstheme="minorHAnsi"/>
        </w:rPr>
        <w:t xml:space="preserve">, the former Speaker </w:t>
      </w:r>
      <w:r w:rsidR="004C091E">
        <w:rPr>
          <w:rFonts w:eastAsia="Times New Roman" w:cstheme="minorHAnsi"/>
        </w:rPr>
        <w:t xml:space="preserve">of the </w:t>
      </w:r>
      <w:r w:rsidR="00266E74">
        <w:rPr>
          <w:rFonts w:eastAsia="Times New Roman" w:cstheme="minorHAnsi"/>
        </w:rPr>
        <w:t xml:space="preserve">House </w:t>
      </w:r>
      <w:r w:rsidR="006466EF">
        <w:rPr>
          <w:rFonts w:eastAsia="Times New Roman" w:cstheme="minorHAnsi"/>
        </w:rPr>
        <w:t>of Representatives</w:t>
      </w:r>
      <w:r w:rsidR="002D36C4">
        <w:rPr>
          <w:rFonts w:eastAsia="Times New Roman" w:cstheme="minorHAnsi"/>
        </w:rPr>
        <w:t>,</w:t>
      </w:r>
      <w:r w:rsidR="00471C4F" w:rsidRPr="00BF3568">
        <w:rPr>
          <w:rFonts w:eastAsia="Times New Roman" w:cstheme="minorHAnsi"/>
        </w:rPr>
        <w:t xml:space="preserve"> has </w:t>
      </w:r>
      <w:r w:rsidR="006466EF">
        <w:rPr>
          <w:rFonts w:eastAsia="Times New Roman" w:cstheme="minorHAnsi"/>
        </w:rPr>
        <w:t xml:space="preserve">previously </w:t>
      </w:r>
      <w:r w:rsidR="00471C4F" w:rsidRPr="00BF3568">
        <w:rPr>
          <w:rFonts w:eastAsia="Times New Roman" w:cstheme="minorHAnsi"/>
        </w:rPr>
        <w:t>remarked: “Perseverance is the hard work you do after you get tired of doing the hard work you already did.”</w:t>
      </w:r>
      <w:r w:rsidR="001A52C8">
        <w:rPr>
          <w:rStyle w:val="FootnoteReference"/>
          <w:rFonts w:eastAsia="Times New Roman" w:cstheme="minorHAnsi"/>
        </w:rPr>
        <w:footnoteReference w:id="4"/>
      </w:r>
      <w:r w:rsidR="00471C4F" w:rsidRPr="00BF3568">
        <w:rPr>
          <w:rFonts w:eastAsia="Times New Roman" w:cstheme="minorHAnsi"/>
        </w:rPr>
        <w:t xml:space="preserve">  The last few years have been immensely frustrating as the FCC issued a series of </w:t>
      </w:r>
      <w:r w:rsidR="008C3172">
        <w:rPr>
          <w:rFonts w:eastAsia="Times New Roman" w:cstheme="minorHAnsi"/>
        </w:rPr>
        <w:t xml:space="preserve">bad </w:t>
      </w:r>
      <w:r w:rsidR="00471C4F" w:rsidRPr="00BF3568">
        <w:rPr>
          <w:rFonts w:eastAsia="Times New Roman" w:cstheme="minorHAnsi"/>
        </w:rPr>
        <w:t xml:space="preserve">decisions that </w:t>
      </w:r>
      <w:r w:rsidR="007D6150">
        <w:rPr>
          <w:rFonts w:eastAsia="Times New Roman" w:cstheme="minorHAnsi"/>
        </w:rPr>
        <w:t>had</w:t>
      </w:r>
      <w:r w:rsidR="00471C4F" w:rsidRPr="00BF3568">
        <w:rPr>
          <w:rFonts w:eastAsia="Times New Roman" w:cstheme="minorHAnsi"/>
        </w:rPr>
        <w:t xml:space="preserve"> no basis in the law or common sense.  But I am ready to roll up my sleeves and fix them</w:t>
      </w:r>
      <w:r w:rsidR="006466EF">
        <w:rPr>
          <w:rFonts w:eastAsia="Times New Roman" w:cstheme="minorHAnsi"/>
        </w:rPr>
        <w:t xml:space="preserve"> as there’s </w:t>
      </w:r>
      <w:r w:rsidR="004C091E">
        <w:rPr>
          <w:rFonts w:eastAsia="Times New Roman" w:cstheme="minorHAnsi"/>
        </w:rPr>
        <w:t xml:space="preserve">more </w:t>
      </w:r>
      <w:r w:rsidR="006466EF">
        <w:rPr>
          <w:rFonts w:eastAsia="Times New Roman" w:cstheme="minorHAnsi"/>
        </w:rPr>
        <w:t>hard work ahead</w:t>
      </w:r>
      <w:r w:rsidR="00471C4F" w:rsidRPr="00BF3568">
        <w:rPr>
          <w:rFonts w:eastAsia="Times New Roman" w:cstheme="minorHAnsi"/>
        </w:rPr>
        <w:t xml:space="preserve">.  </w:t>
      </w:r>
    </w:p>
    <w:sectPr w:rsidR="00A85E08" w:rsidRPr="00BF3568" w:rsidSect="008C475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73B22" w14:textId="77777777" w:rsidR="00050463" w:rsidRDefault="00050463" w:rsidP="004C57CC">
      <w:pPr>
        <w:spacing w:after="0" w:line="240" w:lineRule="auto"/>
      </w:pPr>
      <w:r>
        <w:separator/>
      </w:r>
    </w:p>
  </w:endnote>
  <w:endnote w:type="continuationSeparator" w:id="0">
    <w:p w14:paraId="239D9840" w14:textId="77777777" w:rsidR="00050463" w:rsidRDefault="00050463" w:rsidP="004C5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1E056" w14:textId="77777777" w:rsidR="00711BA7" w:rsidRDefault="00711B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997105"/>
      <w:docPartObj>
        <w:docPartGallery w:val="Page Numbers (Bottom of Page)"/>
        <w:docPartUnique/>
      </w:docPartObj>
    </w:sdtPr>
    <w:sdtEndPr>
      <w:rPr>
        <w:noProof/>
      </w:rPr>
    </w:sdtEndPr>
    <w:sdtContent>
      <w:p w14:paraId="3E568E19" w14:textId="66A59E14" w:rsidR="006165AB" w:rsidRDefault="00EB5C50">
        <w:pPr>
          <w:pStyle w:val="Footer"/>
          <w:jc w:val="center"/>
        </w:pPr>
        <w:r>
          <w:fldChar w:fldCharType="begin"/>
        </w:r>
        <w:r w:rsidR="006165AB">
          <w:instrText xml:space="preserve"> PAGE   \* MERGEFORMAT </w:instrText>
        </w:r>
        <w:r>
          <w:fldChar w:fldCharType="separate"/>
        </w:r>
        <w:r w:rsidR="00F251BF">
          <w:rPr>
            <w:noProof/>
          </w:rPr>
          <w:t>1</w:t>
        </w:r>
        <w:r>
          <w:rPr>
            <w:noProof/>
          </w:rPr>
          <w:fldChar w:fldCharType="end"/>
        </w:r>
      </w:p>
    </w:sdtContent>
  </w:sdt>
  <w:p w14:paraId="1996245C" w14:textId="77777777" w:rsidR="006165AB" w:rsidRDefault="006165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68123" w14:textId="77777777" w:rsidR="00711BA7" w:rsidRDefault="00711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047DD" w14:textId="77777777" w:rsidR="00050463" w:rsidRDefault="00050463" w:rsidP="004C57CC">
      <w:pPr>
        <w:spacing w:after="0" w:line="240" w:lineRule="auto"/>
      </w:pPr>
      <w:r>
        <w:separator/>
      </w:r>
    </w:p>
  </w:footnote>
  <w:footnote w:type="continuationSeparator" w:id="0">
    <w:p w14:paraId="56971720" w14:textId="77777777" w:rsidR="00050463" w:rsidRDefault="00050463" w:rsidP="004C57CC">
      <w:pPr>
        <w:spacing w:after="0" w:line="240" w:lineRule="auto"/>
      </w:pPr>
      <w:r>
        <w:continuationSeparator/>
      </w:r>
    </w:p>
  </w:footnote>
  <w:footnote w:id="1">
    <w:p w14:paraId="1640599F" w14:textId="77777777" w:rsidR="00BF3568" w:rsidRPr="00562D1A" w:rsidRDefault="00BF3568" w:rsidP="00BF3568">
      <w:pPr>
        <w:pStyle w:val="FootnoteText"/>
        <w:spacing w:after="0"/>
        <w:rPr>
          <w:rFonts w:asciiTheme="minorHAnsi" w:hAnsiTheme="minorHAnsi" w:cstheme="minorHAnsi"/>
        </w:rPr>
      </w:pPr>
      <w:r w:rsidRPr="00562D1A">
        <w:rPr>
          <w:rStyle w:val="FootnoteReference"/>
          <w:rFonts w:asciiTheme="minorHAnsi" w:hAnsiTheme="minorHAnsi"/>
        </w:rPr>
        <w:footnoteRef/>
      </w:r>
      <w:r w:rsidRPr="00562D1A">
        <w:rPr>
          <w:rFonts w:asciiTheme="minorHAnsi" w:hAnsiTheme="minorHAnsi"/>
        </w:rPr>
        <w:t xml:space="preserve"> </w:t>
      </w:r>
      <w:r w:rsidRPr="00562D1A">
        <w:rPr>
          <w:rFonts w:asciiTheme="minorHAnsi" w:hAnsiTheme="minorHAnsi" w:cstheme="minorHAnsi"/>
        </w:rPr>
        <w:t>Josh Adams, PhD, ACA International, The Imperative to Modernize the TCPA: Why an Outdated Law Hurts Consumers and Encourages Abusive Lawsuits (June 2016).</w:t>
      </w:r>
    </w:p>
  </w:footnote>
  <w:footnote w:id="2">
    <w:p w14:paraId="47EFDBAE" w14:textId="77777777" w:rsidR="00BF3568" w:rsidRPr="00562D1A" w:rsidRDefault="00BF3568" w:rsidP="00BF3568">
      <w:pPr>
        <w:pStyle w:val="FootnoteText"/>
        <w:spacing w:after="0"/>
        <w:rPr>
          <w:rFonts w:asciiTheme="minorHAnsi" w:hAnsiTheme="minorHAnsi" w:cstheme="minorHAnsi"/>
        </w:rPr>
      </w:pPr>
      <w:r w:rsidRPr="00562D1A">
        <w:rPr>
          <w:rStyle w:val="FootnoteReference"/>
          <w:rFonts w:asciiTheme="minorHAnsi" w:hAnsiTheme="minorHAnsi" w:cstheme="minorHAnsi"/>
        </w:rPr>
        <w:footnoteRef/>
      </w:r>
      <w:r w:rsidRPr="00562D1A">
        <w:rPr>
          <w:rFonts w:asciiTheme="minorHAnsi" w:hAnsiTheme="minorHAnsi" w:cstheme="minorHAnsi"/>
        </w:rPr>
        <w:t xml:space="preserve"> Comments of Navient Corporation, CC Docket No. 02-278, at 6 (filed June 6, 2016).</w:t>
      </w:r>
    </w:p>
  </w:footnote>
  <w:footnote w:id="3">
    <w:p w14:paraId="57CB8783" w14:textId="215A27C2" w:rsidR="00BF3568" w:rsidRPr="00562D1A" w:rsidRDefault="00BF3568" w:rsidP="00BF3568">
      <w:pPr>
        <w:pStyle w:val="FootnoteText"/>
        <w:spacing w:after="0"/>
        <w:rPr>
          <w:rFonts w:asciiTheme="minorHAnsi" w:hAnsiTheme="minorHAnsi" w:cstheme="minorHAnsi"/>
        </w:rPr>
      </w:pPr>
      <w:r w:rsidRPr="00562D1A">
        <w:rPr>
          <w:rStyle w:val="FootnoteReference"/>
          <w:rFonts w:asciiTheme="minorHAnsi" w:hAnsiTheme="minorHAnsi" w:cstheme="minorHAnsi"/>
        </w:rPr>
        <w:footnoteRef/>
      </w:r>
      <w:r w:rsidRPr="00562D1A">
        <w:rPr>
          <w:rFonts w:asciiTheme="minorHAnsi" w:hAnsiTheme="minorHAnsi" w:cstheme="minorHAnsi"/>
        </w:rPr>
        <w:t xml:space="preserve"> </w:t>
      </w:r>
      <w:r w:rsidR="00562D1A" w:rsidRPr="00562D1A">
        <w:rPr>
          <w:rFonts w:asciiTheme="minorHAnsi" w:hAnsiTheme="minorHAnsi" w:cstheme="minorHAnsi"/>
          <w:i/>
        </w:rPr>
        <w:t>See, e.g</w:t>
      </w:r>
      <w:r w:rsidR="00562D1A" w:rsidRPr="00562D1A">
        <w:rPr>
          <w:rFonts w:asciiTheme="minorHAnsi" w:hAnsiTheme="minorHAnsi" w:cstheme="minorHAnsi"/>
        </w:rPr>
        <w:t xml:space="preserve">., Letter from </w:t>
      </w:r>
      <w:r w:rsidR="00562D1A" w:rsidRPr="00562D1A">
        <w:rPr>
          <w:rFonts w:asciiTheme="minorHAnsi" w:hAnsiTheme="minorHAnsi"/>
        </w:rPr>
        <w:t>Christopher L. Williston, Independent Bankers Association of Texas to Marlene Dortch, FCC, CC Docket No. 02-278, at 4 (filed March 16, 2015).</w:t>
      </w:r>
    </w:p>
  </w:footnote>
  <w:footnote w:id="4">
    <w:p w14:paraId="65773B83" w14:textId="12C4B3A5" w:rsidR="001A52C8" w:rsidRPr="00562D1A" w:rsidRDefault="001A52C8">
      <w:pPr>
        <w:pStyle w:val="FootnoteText"/>
        <w:rPr>
          <w:rFonts w:asciiTheme="minorHAnsi" w:hAnsiTheme="minorHAnsi"/>
        </w:rPr>
      </w:pPr>
      <w:r w:rsidRPr="00562D1A">
        <w:rPr>
          <w:rStyle w:val="FootnoteReference"/>
          <w:rFonts w:asciiTheme="minorHAnsi" w:hAnsiTheme="minorHAnsi"/>
        </w:rPr>
        <w:footnoteRef/>
      </w:r>
      <w:r w:rsidRPr="00562D1A">
        <w:rPr>
          <w:rFonts w:asciiTheme="minorHAnsi" w:hAnsiTheme="minorHAnsi"/>
        </w:rPr>
        <w:t xml:space="preserve"> </w:t>
      </w:r>
      <w:r w:rsidR="00966EA3" w:rsidRPr="00562D1A">
        <w:rPr>
          <w:rFonts w:asciiTheme="minorHAnsi" w:hAnsiTheme="minorHAnsi"/>
        </w:rPr>
        <w:t>PBS FRONTLINE, The Long March of Newt Gingrich (last visited May 3, 2017), http://www.pbs.org/wgbh/pages/frontline/newt/newtquotes.html.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EF608" w14:textId="77777777" w:rsidR="00711BA7" w:rsidRDefault="00711B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3BA1A" w14:textId="77777777" w:rsidR="00711BA7" w:rsidRDefault="00711B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6CCFA" w14:textId="77777777" w:rsidR="00711BA7" w:rsidRDefault="00711B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0341"/>
    <w:multiLevelType w:val="hybridMultilevel"/>
    <w:tmpl w:val="27C07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6B7319"/>
    <w:multiLevelType w:val="hybridMultilevel"/>
    <w:tmpl w:val="08924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73"/>
    <w:rsid w:val="00000FB6"/>
    <w:rsid w:val="00004359"/>
    <w:rsid w:val="00007F6E"/>
    <w:rsid w:val="0002532C"/>
    <w:rsid w:val="00027272"/>
    <w:rsid w:val="00027DEE"/>
    <w:rsid w:val="000340E5"/>
    <w:rsid w:val="00044886"/>
    <w:rsid w:val="00045DFC"/>
    <w:rsid w:val="00050463"/>
    <w:rsid w:val="000516ED"/>
    <w:rsid w:val="00070EE3"/>
    <w:rsid w:val="00077653"/>
    <w:rsid w:val="00080599"/>
    <w:rsid w:val="00084CD3"/>
    <w:rsid w:val="00096A28"/>
    <w:rsid w:val="000B0A5A"/>
    <w:rsid w:val="000C640F"/>
    <w:rsid w:val="000C7ABF"/>
    <w:rsid w:val="000D65B7"/>
    <w:rsid w:val="000E4577"/>
    <w:rsid w:val="000F5A35"/>
    <w:rsid w:val="00100477"/>
    <w:rsid w:val="00105FF8"/>
    <w:rsid w:val="00110C22"/>
    <w:rsid w:val="001132D0"/>
    <w:rsid w:val="00114752"/>
    <w:rsid w:val="00151100"/>
    <w:rsid w:val="001555F4"/>
    <w:rsid w:val="00164832"/>
    <w:rsid w:val="00170B5A"/>
    <w:rsid w:val="00176EEB"/>
    <w:rsid w:val="001907C7"/>
    <w:rsid w:val="00192D56"/>
    <w:rsid w:val="001A52C8"/>
    <w:rsid w:val="001A5F10"/>
    <w:rsid w:val="001B278B"/>
    <w:rsid w:val="001B27CF"/>
    <w:rsid w:val="001C1D78"/>
    <w:rsid w:val="001C28A1"/>
    <w:rsid w:val="001D025C"/>
    <w:rsid w:val="001E3599"/>
    <w:rsid w:val="001E63A5"/>
    <w:rsid w:val="001F4321"/>
    <w:rsid w:val="001F4F51"/>
    <w:rsid w:val="001F7452"/>
    <w:rsid w:val="002113C9"/>
    <w:rsid w:val="00221B89"/>
    <w:rsid w:val="002249F1"/>
    <w:rsid w:val="00266E74"/>
    <w:rsid w:val="00276398"/>
    <w:rsid w:val="002830CC"/>
    <w:rsid w:val="00286751"/>
    <w:rsid w:val="0029464A"/>
    <w:rsid w:val="002A3D91"/>
    <w:rsid w:val="002A6253"/>
    <w:rsid w:val="002A720B"/>
    <w:rsid w:val="002A798E"/>
    <w:rsid w:val="002D2945"/>
    <w:rsid w:val="002D36C4"/>
    <w:rsid w:val="002E0B55"/>
    <w:rsid w:val="002E1091"/>
    <w:rsid w:val="002F6646"/>
    <w:rsid w:val="002F7C52"/>
    <w:rsid w:val="00302C69"/>
    <w:rsid w:val="003136E4"/>
    <w:rsid w:val="00322C73"/>
    <w:rsid w:val="0033476B"/>
    <w:rsid w:val="0036371B"/>
    <w:rsid w:val="00367460"/>
    <w:rsid w:val="00367A2C"/>
    <w:rsid w:val="00371A14"/>
    <w:rsid w:val="003A0971"/>
    <w:rsid w:val="003A263D"/>
    <w:rsid w:val="003B24F5"/>
    <w:rsid w:val="003B36B5"/>
    <w:rsid w:val="003C27DC"/>
    <w:rsid w:val="003D4C46"/>
    <w:rsid w:val="003E0831"/>
    <w:rsid w:val="003F0E53"/>
    <w:rsid w:val="003F2016"/>
    <w:rsid w:val="003F7A8D"/>
    <w:rsid w:val="004014C2"/>
    <w:rsid w:val="004247DC"/>
    <w:rsid w:val="004378CA"/>
    <w:rsid w:val="00470E7C"/>
    <w:rsid w:val="00471C4F"/>
    <w:rsid w:val="00475C9D"/>
    <w:rsid w:val="00476912"/>
    <w:rsid w:val="004A1030"/>
    <w:rsid w:val="004B0646"/>
    <w:rsid w:val="004C091E"/>
    <w:rsid w:val="004C57CC"/>
    <w:rsid w:val="004D221C"/>
    <w:rsid w:val="004D5564"/>
    <w:rsid w:val="004E557C"/>
    <w:rsid w:val="004F7053"/>
    <w:rsid w:val="00500F15"/>
    <w:rsid w:val="00504981"/>
    <w:rsid w:val="005149C1"/>
    <w:rsid w:val="00514CFF"/>
    <w:rsid w:val="00522CB7"/>
    <w:rsid w:val="005233BD"/>
    <w:rsid w:val="00527270"/>
    <w:rsid w:val="005349EE"/>
    <w:rsid w:val="0055388A"/>
    <w:rsid w:val="00555587"/>
    <w:rsid w:val="00562D1A"/>
    <w:rsid w:val="00570EA7"/>
    <w:rsid w:val="00574A19"/>
    <w:rsid w:val="005C71C1"/>
    <w:rsid w:val="005E46C9"/>
    <w:rsid w:val="005F124C"/>
    <w:rsid w:val="0060132C"/>
    <w:rsid w:val="00604B7C"/>
    <w:rsid w:val="006051D7"/>
    <w:rsid w:val="006165AB"/>
    <w:rsid w:val="00617F5D"/>
    <w:rsid w:val="006309E3"/>
    <w:rsid w:val="00630F9F"/>
    <w:rsid w:val="00633A06"/>
    <w:rsid w:val="00643BEB"/>
    <w:rsid w:val="006441F5"/>
    <w:rsid w:val="006461D9"/>
    <w:rsid w:val="006466E9"/>
    <w:rsid w:val="006466EF"/>
    <w:rsid w:val="006564C5"/>
    <w:rsid w:val="00666D00"/>
    <w:rsid w:val="00674FC5"/>
    <w:rsid w:val="00675886"/>
    <w:rsid w:val="00683AC7"/>
    <w:rsid w:val="00684668"/>
    <w:rsid w:val="00693D96"/>
    <w:rsid w:val="006A0D6F"/>
    <w:rsid w:val="006A15F6"/>
    <w:rsid w:val="006B1EE5"/>
    <w:rsid w:val="006D128B"/>
    <w:rsid w:val="006D1AE2"/>
    <w:rsid w:val="006D27EC"/>
    <w:rsid w:val="006D6852"/>
    <w:rsid w:val="006E002A"/>
    <w:rsid w:val="006F479D"/>
    <w:rsid w:val="00702678"/>
    <w:rsid w:val="00704DD6"/>
    <w:rsid w:val="00711BA7"/>
    <w:rsid w:val="007129FE"/>
    <w:rsid w:val="00712EF3"/>
    <w:rsid w:val="00723F22"/>
    <w:rsid w:val="007427C5"/>
    <w:rsid w:val="00746E5B"/>
    <w:rsid w:val="007476D7"/>
    <w:rsid w:val="00753617"/>
    <w:rsid w:val="007546F5"/>
    <w:rsid w:val="00761A0F"/>
    <w:rsid w:val="007701B4"/>
    <w:rsid w:val="00770F8B"/>
    <w:rsid w:val="0078173B"/>
    <w:rsid w:val="00795ACA"/>
    <w:rsid w:val="007D01EB"/>
    <w:rsid w:val="007D6150"/>
    <w:rsid w:val="007F7892"/>
    <w:rsid w:val="00801F47"/>
    <w:rsid w:val="00813493"/>
    <w:rsid w:val="00813CD0"/>
    <w:rsid w:val="00820AE2"/>
    <w:rsid w:val="00822BD8"/>
    <w:rsid w:val="00831626"/>
    <w:rsid w:val="00831CE8"/>
    <w:rsid w:val="00833E0B"/>
    <w:rsid w:val="008422D6"/>
    <w:rsid w:val="00862D93"/>
    <w:rsid w:val="00865DF5"/>
    <w:rsid w:val="00880D6C"/>
    <w:rsid w:val="00881B87"/>
    <w:rsid w:val="00886A51"/>
    <w:rsid w:val="00887E45"/>
    <w:rsid w:val="008957DB"/>
    <w:rsid w:val="008A1538"/>
    <w:rsid w:val="008A3957"/>
    <w:rsid w:val="008A5F7F"/>
    <w:rsid w:val="008B4108"/>
    <w:rsid w:val="008C3172"/>
    <w:rsid w:val="008C4759"/>
    <w:rsid w:val="008C4F75"/>
    <w:rsid w:val="008D3318"/>
    <w:rsid w:val="008D5322"/>
    <w:rsid w:val="008E001A"/>
    <w:rsid w:val="008E02DB"/>
    <w:rsid w:val="00913624"/>
    <w:rsid w:val="0091426D"/>
    <w:rsid w:val="00922E52"/>
    <w:rsid w:val="009274D2"/>
    <w:rsid w:val="00930F97"/>
    <w:rsid w:val="009335D6"/>
    <w:rsid w:val="009354F2"/>
    <w:rsid w:val="00966EA3"/>
    <w:rsid w:val="00975FFC"/>
    <w:rsid w:val="00984F22"/>
    <w:rsid w:val="009970FE"/>
    <w:rsid w:val="00997DCA"/>
    <w:rsid w:val="009A4571"/>
    <w:rsid w:val="009A4D65"/>
    <w:rsid w:val="009C5B3F"/>
    <w:rsid w:val="009C6095"/>
    <w:rsid w:val="009C76A7"/>
    <w:rsid w:val="009D16AB"/>
    <w:rsid w:val="009D5FD8"/>
    <w:rsid w:val="009E15F3"/>
    <w:rsid w:val="00A03107"/>
    <w:rsid w:val="00A07F27"/>
    <w:rsid w:val="00A22BED"/>
    <w:rsid w:val="00A27B19"/>
    <w:rsid w:val="00A27FF2"/>
    <w:rsid w:val="00A342D7"/>
    <w:rsid w:val="00A43DBB"/>
    <w:rsid w:val="00A540F5"/>
    <w:rsid w:val="00A55C0B"/>
    <w:rsid w:val="00A73F71"/>
    <w:rsid w:val="00A810F8"/>
    <w:rsid w:val="00A81672"/>
    <w:rsid w:val="00A82533"/>
    <w:rsid w:val="00A85E08"/>
    <w:rsid w:val="00A90E6B"/>
    <w:rsid w:val="00AA57B0"/>
    <w:rsid w:val="00AC1419"/>
    <w:rsid w:val="00AD54A9"/>
    <w:rsid w:val="00AE0EBD"/>
    <w:rsid w:val="00AE2527"/>
    <w:rsid w:val="00AE2A5D"/>
    <w:rsid w:val="00AE36D4"/>
    <w:rsid w:val="00AF0909"/>
    <w:rsid w:val="00B025F3"/>
    <w:rsid w:val="00B232C5"/>
    <w:rsid w:val="00B51B53"/>
    <w:rsid w:val="00B52314"/>
    <w:rsid w:val="00B53B7B"/>
    <w:rsid w:val="00B65865"/>
    <w:rsid w:val="00B93616"/>
    <w:rsid w:val="00BB0098"/>
    <w:rsid w:val="00BB48B7"/>
    <w:rsid w:val="00BC3686"/>
    <w:rsid w:val="00BD56BC"/>
    <w:rsid w:val="00BE75F4"/>
    <w:rsid w:val="00BF1F8B"/>
    <w:rsid w:val="00BF3568"/>
    <w:rsid w:val="00C0751A"/>
    <w:rsid w:val="00C10DCE"/>
    <w:rsid w:val="00C20088"/>
    <w:rsid w:val="00C30369"/>
    <w:rsid w:val="00C30B22"/>
    <w:rsid w:val="00C33F23"/>
    <w:rsid w:val="00C40B02"/>
    <w:rsid w:val="00C42AA1"/>
    <w:rsid w:val="00C4520D"/>
    <w:rsid w:val="00C45CBB"/>
    <w:rsid w:val="00C51C57"/>
    <w:rsid w:val="00C64B95"/>
    <w:rsid w:val="00C6790A"/>
    <w:rsid w:val="00C70D8C"/>
    <w:rsid w:val="00C71C6D"/>
    <w:rsid w:val="00C761E4"/>
    <w:rsid w:val="00C8036B"/>
    <w:rsid w:val="00C97866"/>
    <w:rsid w:val="00CA0412"/>
    <w:rsid w:val="00CA0C55"/>
    <w:rsid w:val="00CA491B"/>
    <w:rsid w:val="00CB6C7B"/>
    <w:rsid w:val="00CC39C6"/>
    <w:rsid w:val="00CD0A18"/>
    <w:rsid w:val="00CF2283"/>
    <w:rsid w:val="00D10A84"/>
    <w:rsid w:val="00D21253"/>
    <w:rsid w:val="00D2419D"/>
    <w:rsid w:val="00D35489"/>
    <w:rsid w:val="00D363E6"/>
    <w:rsid w:val="00D54C4E"/>
    <w:rsid w:val="00D55BC2"/>
    <w:rsid w:val="00D70DDB"/>
    <w:rsid w:val="00D80E90"/>
    <w:rsid w:val="00D81874"/>
    <w:rsid w:val="00D83766"/>
    <w:rsid w:val="00D87A26"/>
    <w:rsid w:val="00DA1953"/>
    <w:rsid w:val="00DA3734"/>
    <w:rsid w:val="00DC5924"/>
    <w:rsid w:val="00DE3866"/>
    <w:rsid w:val="00DE3D0E"/>
    <w:rsid w:val="00DE5C81"/>
    <w:rsid w:val="00DF229B"/>
    <w:rsid w:val="00DF7C1E"/>
    <w:rsid w:val="00E048BE"/>
    <w:rsid w:val="00E04E7E"/>
    <w:rsid w:val="00E17A27"/>
    <w:rsid w:val="00E32C93"/>
    <w:rsid w:val="00E4409A"/>
    <w:rsid w:val="00E4546D"/>
    <w:rsid w:val="00E55522"/>
    <w:rsid w:val="00E570FA"/>
    <w:rsid w:val="00E8670D"/>
    <w:rsid w:val="00E93075"/>
    <w:rsid w:val="00E97D2D"/>
    <w:rsid w:val="00EA29BB"/>
    <w:rsid w:val="00EB5C50"/>
    <w:rsid w:val="00EC2D52"/>
    <w:rsid w:val="00EC56E0"/>
    <w:rsid w:val="00EC721F"/>
    <w:rsid w:val="00ED2AF0"/>
    <w:rsid w:val="00ED44C6"/>
    <w:rsid w:val="00ED7FB6"/>
    <w:rsid w:val="00EE01AA"/>
    <w:rsid w:val="00F00B6C"/>
    <w:rsid w:val="00F020AB"/>
    <w:rsid w:val="00F06C79"/>
    <w:rsid w:val="00F112D9"/>
    <w:rsid w:val="00F251BF"/>
    <w:rsid w:val="00F274EE"/>
    <w:rsid w:val="00F37819"/>
    <w:rsid w:val="00F379A3"/>
    <w:rsid w:val="00F800E9"/>
    <w:rsid w:val="00F91F3F"/>
    <w:rsid w:val="00F92B70"/>
    <w:rsid w:val="00F96E75"/>
    <w:rsid w:val="00F97962"/>
    <w:rsid w:val="00FA5C99"/>
    <w:rsid w:val="00FB51F4"/>
    <w:rsid w:val="00FC35EA"/>
    <w:rsid w:val="00FD681F"/>
    <w:rsid w:val="00FE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3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fn,Footnote Text Char1,Footnote Text Char2 Char,Footnote Text Char1 Char Char,Footnote Text Char Char Char Char,Footnote Text Char1 Char Char Char Char1,Footnote Text Char Char Char Char Char Char1,fn Ch,f"/>
    <w:link w:val="FootnoteTextChar2"/>
    <w:rsid w:val="004C57CC"/>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4C57CC"/>
    <w:rPr>
      <w:sz w:val="20"/>
      <w:szCs w:val="20"/>
    </w:rPr>
  </w:style>
  <w:style w:type="character" w:styleId="FootnoteReference">
    <w:name w:val="footnote reference"/>
    <w:aliases w:val="Appel note de bas de p,Style 12,(NECG) Footnote Reference,Style 124,o,fr,Style 3,Style 13,FR,Style 17,Style 6,Footnote Reference/"/>
    <w:rsid w:val="004C57CC"/>
    <w:rPr>
      <w:rFonts w:ascii="Times New Roman" w:hAnsi="Times New Roman"/>
      <w:dstrike w:val="0"/>
      <w:color w:val="auto"/>
      <w:sz w:val="20"/>
      <w:vertAlign w:val="superscript"/>
    </w:rPr>
  </w:style>
  <w:style w:type="character" w:customStyle="1" w:styleId="FootnoteTextChar2">
    <w:name w:val="Footnote Text Char2"/>
    <w:aliases w:val="ALTS FOOTNOTE Char,fn Char,Footnote Text Char1 Char,Footnote Text Char2 Char Char,Footnote Text Char1 Char Char Char,Footnote Text Char Char Char Char Char,Footnote Text Char1 Char Char Char Char1 Char,fn Ch Char,f Char"/>
    <w:link w:val="FootnoteText"/>
    <w:locked/>
    <w:rsid w:val="004C57CC"/>
    <w:rPr>
      <w:rFonts w:ascii="Times New Roman" w:eastAsia="Times New Roman" w:hAnsi="Times New Roman" w:cs="Times New Roman"/>
      <w:sz w:val="20"/>
      <w:szCs w:val="20"/>
    </w:rPr>
  </w:style>
  <w:style w:type="paragraph" w:styleId="ListParagraph">
    <w:name w:val="List Paragraph"/>
    <w:basedOn w:val="Normal"/>
    <w:uiPriority w:val="34"/>
    <w:qFormat/>
    <w:rsid w:val="004D5564"/>
    <w:pPr>
      <w:ind w:left="720"/>
      <w:contextualSpacing/>
    </w:pPr>
  </w:style>
  <w:style w:type="paragraph" w:styleId="BalloonText">
    <w:name w:val="Balloon Text"/>
    <w:basedOn w:val="Normal"/>
    <w:link w:val="BalloonTextChar"/>
    <w:uiPriority w:val="99"/>
    <w:semiHidden/>
    <w:unhideWhenUsed/>
    <w:rsid w:val="00470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E7C"/>
    <w:rPr>
      <w:rFonts w:ascii="Segoe UI" w:hAnsi="Segoe UI" w:cs="Segoe UI"/>
      <w:sz w:val="18"/>
      <w:szCs w:val="18"/>
    </w:rPr>
  </w:style>
  <w:style w:type="paragraph" w:styleId="Header">
    <w:name w:val="header"/>
    <w:basedOn w:val="Normal"/>
    <w:link w:val="HeaderChar"/>
    <w:uiPriority w:val="99"/>
    <w:unhideWhenUsed/>
    <w:rsid w:val="00616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5AB"/>
  </w:style>
  <w:style w:type="paragraph" w:styleId="Footer">
    <w:name w:val="footer"/>
    <w:basedOn w:val="Normal"/>
    <w:link w:val="FooterChar"/>
    <w:uiPriority w:val="99"/>
    <w:unhideWhenUsed/>
    <w:rsid w:val="00616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5AB"/>
  </w:style>
  <w:style w:type="character" w:styleId="CommentReference">
    <w:name w:val="annotation reference"/>
    <w:basedOn w:val="DefaultParagraphFont"/>
    <w:uiPriority w:val="99"/>
    <w:semiHidden/>
    <w:unhideWhenUsed/>
    <w:rsid w:val="001555F4"/>
    <w:rPr>
      <w:sz w:val="16"/>
      <w:szCs w:val="16"/>
    </w:rPr>
  </w:style>
  <w:style w:type="paragraph" w:styleId="CommentText">
    <w:name w:val="annotation text"/>
    <w:basedOn w:val="Normal"/>
    <w:link w:val="CommentTextChar"/>
    <w:uiPriority w:val="99"/>
    <w:semiHidden/>
    <w:unhideWhenUsed/>
    <w:rsid w:val="001555F4"/>
    <w:pPr>
      <w:spacing w:line="240" w:lineRule="auto"/>
    </w:pPr>
    <w:rPr>
      <w:sz w:val="20"/>
      <w:szCs w:val="20"/>
    </w:rPr>
  </w:style>
  <w:style w:type="character" w:customStyle="1" w:styleId="CommentTextChar">
    <w:name w:val="Comment Text Char"/>
    <w:basedOn w:val="DefaultParagraphFont"/>
    <w:link w:val="CommentText"/>
    <w:uiPriority w:val="99"/>
    <w:semiHidden/>
    <w:rsid w:val="001555F4"/>
    <w:rPr>
      <w:sz w:val="20"/>
      <w:szCs w:val="20"/>
    </w:rPr>
  </w:style>
  <w:style w:type="paragraph" w:styleId="CommentSubject">
    <w:name w:val="annotation subject"/>
    <w:basedOn w:val="CommentText"/>
    <w:next w:val="CommentText"/>
    <w:link w:val="CommentSubjectChar"/>
    <w:uiPriority w:val="99"/>
    <w:semiHidden/>
    <w:unhideWhenUsed/>
    <w:rsid w:val="001555F4"/>
    <w:rPr>
      <w:b/>
      <w:bCs/>
    </w:rPr>
  </w:style>
  <w:style w:type="character" w:customStyle="1" w:styleId="CommentSubjectChar">
    <w:name w:val="Comment Subject Char"/>
    <w:basedOn w:val="CommentTextChar"/>
    <w:link w:val="CommentSubject"/>
    <w:uiPriority w:val="99"/>
    <w:semiHidden/>
    <w:rsid w:val="001555F4"/>
    <w:rPr>
      <w:b/>
      <w:bCs/>
      <w:sz w:val="20"/>
      <w:szCs w:val="20"/>
    </w:rPr>
  </w:style>
  <w:style w:type="paragraph" w:styleId="EndnoteText">
    <w:name w:val="endnote text"/>
    <w:basedOn w:val="Normal"/>
    <w:link w:val="EndnoteTextChar"/>
    <w:uiPriority w:val="99"/>
    <w:semiHidden/>
    <w:unhideWhenUsed/>
    <w:rsid w:val="00C803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36B"/>
    <w:rPr>
      <w:sz w:val="20"/>
      <w:szCs w:val="20"/>
    </w:rPr>
  </w:style>
  <w:style w:type="character" w:styleId="EndnoteReference">
    <w:name w:val="endnote reference"/>
    <w:basedOn w:val="DefaultParagraphFont"/>
    <w:uiPriority w:val="99"/>
    <w:semiHidden/>
    <w:unhideWhenUsed/>
    <w:rsid w:val="00C803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fn,Footnote Text Char1,Footnote Text Char2 Char,Footnote Text Char1 Char Char,Footnote Text Char Char Char Char,Footnote Text Char1 Char Char Char Char1,Footnote Text Char Char Char Char Char Char1,fn Ch,f"/>
    <w:link w:val="FootnoteTextChar2"/>
    <w:rsid w:val="004C57CC"/>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4C57CC"/>
    <w:rPr>
      <w:sz w:val="20"/>
      <w:szCs w:val="20"/>
    </w:rPr>
  </w:style>
  <w:style w:type="character" w:styleId="FootnoteReference">
    <w:name w:val="footnote reference"/>
    <w:aliases w:val="Appel note de bas de p,Style 12,(NECG) Footnote Reference,Style 124,o,fr,Style 3,Style 13,FR,Style 17,Style 6,Footnote Reference/"/>
    <w:rsid w:val="004C57CC"/>
    <w:rPr>
      <w:rFonts w:ascii="Times New Roman" w:hAnsi="Times New Roman"/>
      <w:dstrike w:val="0"/>
      <w:color w:val="auto"/>
      <w:sz w:val="20"/>
      <w:vertAlign w:val="superscript"/>
    </w:rPr>
  </w:style>
  <w:style w:type="character" w:customStyle="1" w:styleId="FootnoteTextChar2">
    <w:name w:val="Footnote Text Char2"/>
    <w:aliases w:val="ALTS FOOTNOTE Char,fn Char,Footnote Text Char1 Char,Footnote Text Char2 Char Char,Footnote Text Char1 Char Char Char,Footnote Text Char Char Char Char Char,Footnote Text Char1 Char Char Char Char1 Char,fn Ch Char,f Char"/>
    <w:link w:val="FootnoteText"/>
    <w:locked/>
    <w:rsid w:val="004C57CC"/>
    <w:rPr>
      <w:rFonts w:ascii="Times New Roman" w:eastAsia="Times New Roman" w:hAnsi="Times New Roman" w:cs="Times New Roman"/>
      <w:sz w:val="20"/>
      <w:szCs w:val="20"/>
    </w:rPr>
  </w:style>
  <w:style w:type="paragraph" w:styleId="ListParagraph">
    <w:name w:val="List Paragraph"/>
    <w:basedOn w:val="Normal"/>
    <w:uiPriority w:val="34"/>
    <w:qFormat/>
    <w:rsid w:val="004D5564"/>
    <w:pPr>
      <w:ind w:left="720"/>
      <w:contextualSpacing/>
    </w:pPr>
  </w:style>
  <w:style w:type="paragraph" w:styleId="BalloonText">
    <w:name w:val="Balloon Text"/>
    <w:basedOn w:val="Normal"/>
    <w:link w:val="BalloonTextChar"/>
    <w:uiPriority w:val="99"/>
    <w:semiHidden/>
    <w:unhideWhenUsed/>
    <w:rsid w:val="00470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E7C"/>
    <w:rPr>
      <w:rFonts w:ascii="Segoe UI" w:hAnsi="Segoe UI" w:cs="Segoe UI"/>
      <w:sz w:val="18"/>
      <w:szCs w:val="18"/>
    </w:rPr>
  </w:style>
  <w:style w:type="paragraph" w:styleId="Header">
    <w:name w:val="header"/>
    <w:basedOn w:val="Normal"/>
    <w:link w:val="HeaderChar"/>
    <w:uiPriority w:val="99"/>
    <w:unhideWhenUsed/>
    <w:rsid w:val="00616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5AB"/>
  </w:style>
  <w:style w:type="paragraph" w:styleId="Footer">
    <w:name w:val="footer"/>
    <w:basedOn w:val="Normal"/>
    <w:link w:val="FooterChar"/>
    <w:uiPriority w:val="99"/>
    <w:unhideWhenUsed/>
    <w:rsid w:val="00616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5AB"/>
  </w:style>
  <w:style w:type="character" w:styleId="CommentReference">
    <w:name w:val="annotation reference"/>
    <w:basedOn w:val="DefaultParagraphFont"/>
    <w:uiPriority w:val="99"/>
    <w:semiHidden/>
    <w:unhideWhenUsed/>
    <w:rsid w:val="001555F4"/>
    <w:rPr>
      <w:sz w:val="16"/>
      <w:szCs w:val="16"/>
    </w:rPr>
  </w:style>
  <w:style w:type="paragraph" w:styleId="CommentText">
    <w:name w:val="annotation text"/>
    <w:basedOn w:val="Normal"/>
    <w:link w:val="CommentTextChar"/>
    <w:uiPriority w:val="99"/>
    <w:semiHidden/>
    <w:unhideWhenUsed/>
    <w:rsid w:val="001555F4"/>
    <w:pPr>
      <w:spacing w:line="240" w:lineRule="auto"/>
    </w:pPr>
    <w:rPr>
      <w:sz w:val="20"/>
      <w:szCs w:val="20"/>
    </w:rPr>
  </w:style>
  <w:style w:type="character" w:customStyle="1" w:styleId="CommentTextChar">
    <w:name w:val="Comment Text Char"/>
    <w:basedOn w:val="DefaultParagraphFont"/>
    <w:link w:val="CommentText"/>
    <w:uiPriority w:val="99"/>
    <w:semiHidden/>
    <w:rsid w:val="001555F4"/>
    <w:rPr>
      <w:sz w:val="20"/>
      <w:szCs w:val="20"/>
    </w:rPr>
  </w:style>
  <w:style w:type="paragraph" w:styleId="CommentSubject">
    <w:name w:val="annotation subject"/>
    <w:basedOn w:val="CommentText"/>
    <w:next w:val="CommentText"/>
    <w:link w:val="CommentSubjectChar"/>
    <w:uiPriority w:val="99"/>
    <w:semiHidden/>
    <w:unhideWhenUsed/>
    <w:rsid w:val="001555F4"/>
    <w:rPr>
      <w:b/>
      <w:bCs/>
    </w:rPr>
  </w:style>
  <w:style w:type="character" w:customStyle="1" w:styleId="CommentSubjectChar">
    <w:name w:val="Comment Subject Char"/>
    <w:basedOn w:val="CommentTextChar"/>
    <w:link w:val="CommentSubject"/>
    <w:uiPriority w:val="99"/>
    <w:semiHidden/>
    <w:rsid w:val="001555F4"/>
    <w:rPr>
      <w:b/>
      <w:bCs/>
      <w:sz w:val="20"/>
      <w:szCs w:val="20"/>
    </w:rPr>
  </w:style>
  <w:style w:type="paragraph" w:styleId="EndnoteText">
    <w:name w:val="endnote text"/>
    <w:basedOn w:val="Normal"/>
    <w:link w:val="EndnoteTextChar"/>
    <w:uiPriority w:val="99"/>
    <w:semiHidden/>
    <w:unhideWhenUsed/>
    <w:rsid w:val="00C803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36B"/>
    <w:rPr>
      <w:sz w:val="20"/>
      <w:szCs w:val="20"/>
    </w:rPr>
  </w:style>
  <w:style w:type="character" w:styleId="EndnoteReference">
    <w:name w:val="endnote reference"/>
    <w:basedOn w:val="DefaultParagraphFont"/>
    <w:uiPriority w:val="99"/>
    <w:semiHidden/>
    <w:unhideWhenUsed/>
    <w:rsid w:val="00C803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581474">
      <w:bodyDiv w:val="1"/>
      <w:marLeft w:val="0"/>
      <w:marRight w:val="0"/>
      <w:marTop w:val="0"/>
      <w:marBottom w:val="0"/>
      <w:divBdr>
        <w:top w:val="none" w:sz="0" w:space="0" w:color="auto"/>
        <w:left w:val="none" w:sz="0" w:space="0" w:color="auto"/>
        <w:bottom w:val="none" w:sz="0" w:space="0" w:color="auto"/>
        <w:right w:val="none" w:sz="0" w:space="0" w:color="auto"/>
      </w:divBdr>
      <w:divsChild>
        <w:div w:id="120810458">
          <w:marLeft w:val="0"/>
          <w:marRight w:val="0"/>
          <w:marTop w:val="0"/>
          <w:marBottom w:val="0"/>
          <w:divBdr>
            <w:top w:val="none" w:sz="0" w:space="0" w:color="auto"/>
            <w:left w:val="none" w:sz="0" w:space="0" w:color="auto"/>
            <w:bottom w:val="none" w:sz="0" w:space="0" w:color="auto"/>
            <w:right w:val="none" w:sz="0" w:space="0" w:color="auto"/>
          </w:divBdr>
        </w:div>
        <w:div w:id="130027737">
          <w:marLeft w:val="0"/>
          <w:marRight w:val="0"/>
          <w:marTop w:val="0"/>
          <w:marBottom w:val="0"/>
          <w:divBdr>
            <w:top w:val="none" w:sz="0" w:space="0" w:color="auto"/>
            <w:left w:val="none" w:sz="0" w:space="0" w:color="auto"/>
            <w:bottom w:val="none" w:sz="0" w:space="0" w:color="auto"/>
            <w:right w:val="none" w:sz="0" w:space="0" w:color="auto"/>
          </w:divBdr>
        </w:div>
        <w:div w:id="316036167">
          <w:marLeft w:val="0"/>
          <w:marRight w:val="0"/>
          <w:marTop w:val="0"/>
          <w:marBottom w:val="0"/>
          <w:divBdr>
            <w:top w:val="none" w:sz="0" w:space="0" w:color="auto"/>
            <w:left w:val="none" w:sz="0" w:space="0" w:color="auto"/>
            <w:bottom w:val="none" w:sz="0" w:space="0" w:color="auto"/>
            <w:right w:val="none" w:sz="0" w:space="0" w:color="auto"/>
          </w:divBdr>
        </w:div>
        <w:div w:id="318927925">
          <w:marLeft w:val="0"/>
          <w:marRight w:val="0"/>
          <w:marTop w:val="0"/>
          <w:marBottom w:val="0"/>
          <w:divBdr>
            <w:top w:val="none" w:sz="0" w:space="0" w:color="auto"/>
            <w:left w:val="none" w:sz="0" w:space="0" w:color="auto"/>
            <w:bottom w:val="none" w:sz="0" w:space="0" w:color="auto"/>
            <w:right w:val="none" w:sz="0" w:space="0" w:color="auto"/>
          </w:divBdr>
        </w:div>
        <w:div w:id="439836317">
          <w:marLeft w:val="0"/>
          <w:marRight w:val="0"/>
          <w:marTop w:val="0"/>
          <w:marBottom w:val="0"/>
          <w:divBdr>
            <w:top w:val="none" w:sz="0" w:space="0" w:color="auto"/>
            <w:left w:val="none" w:sz="0" w:space="0" w:color="auto"/>
            <w:bottom w:val="none" w:sz="0" w:space="0" w:color="auto"/>
            <w:right w:val="none" w:sz="0" w:space="0" w:color="auto"/>
          </w:divBdr>
        </w:div>
        <w:div w:id="809860964">
          <w:marLeft w:val="0"/>
          <w:marRight w:val="0"/>
          <w:marTop w:val="0"/>
          <w:marBottom w:val="0"/>
          <w:divBdr>
            <w:top w:val="none" w:sz="0" w:space="0" w:color="auto"/>
            <w:left w:val="none" w:sz="0" w:space="0" w:color="auto"/>
            <w:bottom w:val="none" w:sz="0" w:space="0" w:color="auto"/>
            <w:right w:val="none" w:sz="0" w:space="0" w:color="auto"/>
          </w:divBdr>
        </w:div>
        <w:div w:id="1083916589">
          <w:marLeft w:val="0"/>
          <w:marRight w:val="0"/>
          <w:marTop w:val="0"/>
          <w:marBottom w:val="0"/>
          <w:divBdr>
            <w:top w:val="none" w:sz="0" w:space="0" w:color="auto"/>
            <w:left w:val="none" w:sz="0" w:space="0" w:color="auto"/>
            <w:bottom w:val="none" w:sz="0" w:space="0" w:color="auto"/>
            <w:right w:val="none" w:sz="0" w:space="0" w:color="auto"/>
          </w:divBdr>
        </w:div>
        <w:div w:id="1097864823">
          <w:marLeft w:val="0"/>
          <w:marRight w:val="0"/>
          <w:marTop w:val="0"/>
          <w:marBottom w:val="0"/>
          <w:divBdr>
            <w:top w:val="none" w:sz="0" w:space="0" w:color="auto"/>
            <w:left w:val="none" w:sz="0" w:space="0" w:color="auto"/>
            <w:bottom w:val="none" w:sz="0" w:space="0" w:color="auto"/>
            <w:right w:val="none" w:sz="0" w:space="0" w:color="auto"/>
          </w:divBdr>
        </w:div>
        <w:div w:id="1222449066">
          <w:marLeft w:val="0"/>
          <w:marRight w:val="0"/>
          <w:marTop w:val="0"/>
          <w:marBottom w:val="0"/>
          <w:divBdr>
            <w:top w:val="none" w:sz="0" w:space="0" w:color="auto"/>
            <w:left w:val="none" w:sz="0" w:space="0" w:color="auto"/>
            <w:bottom w:val="none" w:sz="0" w:space="0" w:color="auto"/>
            <w:right w:val="none" w:sz="0" w:space="0" w:color="auto"/>
          </w:divBdr>
        </w:div>
        <w:div w:id="1260987088">
          <w:marLeft w:val="0"/>
          <w:marRight w:val="0"/>
          <w:marTop w:val="0"/>
          <w:marBottom w:val="0"/>
          <w:divBdr>
            <w:top w:val="none" w:sz="0" w:space="0" w:color="auto"/>
            <w:left w:val="none" w:sz="0" w:space="0" w:color="auto"/>
            <w:bottom w:val="none" w:sz="0" w:space="0" w:color="auto"/>
            <w:right w:val="none" w:sz="0" w:space="0" w:color="auto"/>
          </w:divBdr>
        </w:div>
        <w:div w:id="1352486604">
          <w:marLeft w:val="0"/>
          <w:marRight w:val="0"/>
          <w:marTop w:val="0"/>
          <w:marBottom w:val="0"/>
          <w:divBdr>
            <w:top w:val="none" w:sz="0" w:space="0" w:color="auto"/>
            <w:left w:val="none" w:sz="0" w:space="0" w:color="auto"/>
            <w:bottom w:val="none" w:sz="0" w:space="0" w:color="auto"/>
            <w:right w:val="none" w:sz="0" w:space="0" w:color="auto"/>
          </w:divBdr>
        </w:div>
        <w:div w:id="1423335011">
          <w:marLeft w:val="0"/>
          <w:marRight w:val="0"/>
          <w:marTop w:val="0"/>
          <w:marBottom w:val="0"/>
          <w:divBdr>
            <w:top w:val="none" w:sz="0" w:space="0" w:color="auto"/>
            <w:left w:val="none" w:sz="0" w:space="0" w:color="auto"/>
            <w:bottom w:val="none" w:sz="0" w:space="0" w:color="auto"/>
            <w:right w:val="none" w:sz="0" w:space="0" w:color="auto"/>
          </w:divBdr>
        </w:div>
        <w:div w:id="1619680407">
          <w:marLeft w:val="0"/>
          <w:marRight w:val="0"/>
          <w:marTop w:val="0"/>
          <w:marBottom w:val="0"/>
          <w:divBdr>
            <w:top w:val="none" w:sz="0" w:space="0" w:color="auto"/>
            <w:left w:val="none" w:sz="0" w:space="0" w:color="auto"/>
            <w:bottom w:val="none" w:sz="0" w:space="0" w:color="auto"/>
            <w:right w:val="none" w:sz="0" w:space="0" w:color="auto"/>
          </w:divBdr>
        </w:div>
        <w:div w:id="1652829424">
          <w:marLeft w:val="0"/>
          <w:marRight w:val="0"/>
          <w:marTop w:val="0"/>
          <w:marBottom w:val="0"/>
          <w:divBdr>
            <w:top w:val="none" w:sz="0" w:space="0" w:color="auto"/>
            <w:left w:val="none" w:sz="0" w:space="0" w:color="auto"/>
            <w:bottom w:val="none" w:sz="0" w:space="0" w:color="auto"/>
            <w:right w:val="none" w:sz="0" w:space="0" w:color="auto"/>
          </w:divBdr>
        </w:div>
        <w:div w:id="1851529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2264</Words>
  <Characters>11511</Characters>
  <Application>Microsoft Office Word</Application>
  <DocSecurity>0</DocSecurity>
  <Lines>173</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13859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2015-09-24T14:59:00Z</cp:lastPrinted>
  <dcterms:created xsi:type="dcterms:W3CDTF">2017-05-04T15:29:00Z</dcterms:created>
  <dcterms:modified xsi:type="dcterms:W3CDTF">2017-05-04T15:29:00Z</dcterms:modified>
  <cp:category> </cp:category>
  <cp:contentStatus> </cp:contentStatus>
</cp:coreProperties>
</file>