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3611B" w14:textId="77777777" w:rsidR="00AA047F" w:rsidRPr="00D61330" w:rsidRDefault="00AA047F" w:rsidP="00AA047F">
      <w:pPr>
        <w:spacing w:after="240"/>
        <w:jc w:val="center"/>
        <w:rPr>
          <w:b/>
        </w:rPr>
      </w:pPr>
      <w:bookmarkStart w:id="0" w:name="_GoBack"/>
      <w:bookmarkEnd w:id="0"/>
      <w:r w:rsidRPr="00D61330">
        <w:rPr>
          <w:b/>
        </w:rPr>
        <w:t>STATEMENT OF</w:t>
      </w:r>
      <w:r w:rsidRPr="00D61330">
        <w:rPr>
          <w:b/>
        </w:rPr>
        <w:br/>
        <w:t>CHAIRMAN AJIT PAI</w:t>
      </w:r>
    </w:p>
    <w:p w14:paraId="63112BC9" w14:textId="77777777" w:rsidR="00AA047F" w:rsidRPr="00D61330" w:rsidRDefault="00AA047F" w:rsidP="00AA047F">
      <w:pPr>
        <w:ind w:left="720" w:hanging="720"/>
      </w:pPr>
      <w:r w:rsidRPr="00D61330">
        <w:t>Re:</w:t>
      </w:r>
      <w:r w:rsidRPr="00D61330">
        <w:tab/>
      </w:r>
      <w:r w:rsidRPr="00D61330">
        <w:rPr>
          <w:i/>
        </w:rPr>
        <w:t>Commission Launches Modernization of Media Regulation Initiative</w:t>
      </w:r>
      <w:r w:rsidRPr="00D61330">
        <w:t xml:space="preserve">, </w:t>
      </w:r>
      <w:r w:rsidRPr="00D61330">
        <w:rPr>
          <w:spacing w:val="-2"/>
        </w:rPr>
        <w:t>MB Docket No. 17-105.</w:t>
      </w:r>
    </w:p>
    <w:p w14:paraId="58A5E2CC" w14:textId="77777777" w:rsidR="00AF2DB3" w:rsidRDefault="00AF2DB3" w:rsidP="00812EA4">
      <w:pPr>
        <w:ind w:firstLine="720"/>
      </w:pPr>
    </w:p>
    <w:p w14:paraId="24C9BC33" w14:textId="77777777" w:rsidR="00AA047F" w:rsidRPr="00D61330" w:rsidRDefault="00AA047F" w:rsidP="00812EA4">
      <w:pPr>
        <w:ind w:firstLine="720"/>
      </w:pPr>
      <w:r w:rsidRPr="00D61330">
        <w:t>A few years ago, early in my tenure at the Commission, we voted to forbear from enforcing a regulation first adopted by the FCC’s Telegraph Division in 1936.</w:t>
      </w:r>
      <w:r w:rsidRPr="00D61330">
        <w:rPr>
          <w:rStyle w:val="FootnoteReference"/>
        </w:rPr>
        <w:footnoteReference w:id="1"/>
      </w:r>
      <w:r w:rsidRPr="00D61330">
        <w:t xml:space="preserve">  That rule was originally intended to address issues with claims against telegraph carriers arising from errors in, or delayed delivery or non-delivery of, messages and money orders.  I marveled that 77 years later, the rule remained on the books.</w:t>
      </w:r>
    </w:p>
    <w:p w14:paraId="6EFA9861" w14:textId="77777777" w:rsidR="00AF2DB3" w:rsidRDefault="00AF2DB3" w:rsidP="00812EA4">
      <w:pPr>
        <w:ind w:firstLine="720"/>
      </w:pPr>
    </w:p>
    <w:p w14:paraId="6A45C5DE" w14:textId="77777777" w:rsidR="00AA047F" w:rsidRPr="00D61330" w:rsidRDefault="00AA047F" w:rsidP="00812EA4">
      <w:pPr>
        <w:ind w:firstLine="720"/>
      </w:pPr>
      <w:r w:rsidRPr="00D61330">
        <w:t xml:space="preserve">That proceeding made me keenly aware of a fundamental truth: </w:t>
      </w:r>
      <w:r w:rsidR="00BF01F6" w:rsidRPr="00D61330">
        <w:t xml:space="preserve"> O</w:t>
      </w:r>
      <w:r w:rsidRPr="00D61330">
        <w:t>ne of the most powerful forces in government is regulatory inertia.  A rule that might have been necessary at one time can become yellowed and obsolete with age.  In some cases, repeal of such a rule is just a matter of good housekeeping; the conduct covered by the rule simply doesn’t happen anymore, so the rule is literally irrelevant.  In other cases, repeal is a necessity; the rule stands in the way of innovation and investment that would benefit consumers.</w:t>
      </w:r>
    </w:p>
    <w:p w14:paraId="1EB4AD23" w14:textId="77777777" w:rsidR="00AF2DB3" w:rsidRDefault="00AF2DB3" w:rsidP="00D24AD0">
      <w:pPr>
        <w:autoSpaceDE w:val="0"/>
        <w:autoSpaceDN w:val="0"/>
        <w:adjustRightInd w:val="0"/>
        <w:ind w:firstLine="720"/>
      </w:pPr>
    </w:p>
    <w:p w14:paraId="11C4D195" w14:textId="1A27574F" w:rsidR="00DE31D9" w:rsidRDefault="00AA047F" w:rsidP="00D24AD0">
      <w:pPr>
        <w:autoSpaceDE w:val="0"/>
        <w:autoSpaceDN w:val="0"/>
        <w:adjustRightInd w:val="0"/>
        <w:ind w:firstLine="720"/>
        <w:rPr>
          <w:color w:val="010101"/>
        </w:rPr>
      </w:pPr>
      <w:r w:rsidRPr="00D61330">
        <w:t xml:space="preserve">This analysis applies to the FCC’s media regulations.  </w:t>
      </w:r>
      <w:r w:rsidR="009D478F">
        <w:t xml:space="preserve">Or at least it should.  </w:t>
      </w:r>
      <w:r w:rsidR="000D327D">
        <w:t>By comparison, e</w:t>
      </w:r>
      <w:r w:rsidR="00437FB8" w:rsidRPr="00812EA4">
        <w:t xml:space="preserve">very two years, the Commission </w:t>
      </w:r>
      <w:r w:rsidR="009D478F">
        <w:t>undertakes what i</w:t>
      </w:r>
      <w:r w:rsidR="00822945">
        <w:t>s</w:t>
      </w:r>
      <w:r w:rsidR="009D478F">
        <w:t xml:space="preserve"> known as </w:t>
      </w:r>
      <w:r w:rsidR="00D24AD0">
        <w:t xml:space="preserve">a </w:t>
      </w:r>
      <w:r w:rsidR="00437FB8" w:rsidRPr="00D61330">
        <w:t>biennial review</w:t>
      </w:r>
      <w:r w:rsidR="009D478F">
        <w:t xml:space="preserve">. </w:t>
      </w:r>
      <w:r w:rsidR="00437FB8" w:rsidRPr="00D61330">
        <w:t xml:space="preserve"> </w:t>
      </w:r>
      <w:r w:rsidR="009D478F">
        <w:t xml:space="preserve">In section 11 of the </w:t>
      </w:r>
      <w:r w:rsidR="000D327D">
        <w:t>Communications Act, Congress told us to consider all regulations</w:t>
      </w:r>
      <w:r w:rsidR="00D24AD0" w:rsidRPr="005E01CD">
        <w:rPr>
          <w:color w:val="010101"/>
        </w:rPr>
        <w:t xml:space="preserve"> that apply to telecommunications service</w:t>
      </w:r>
      <w:r w:rsidR="00E16688">
        <w:rPr>
          <w:color w:val="010101"/>
        </w:rPr>
        <w:t>s</w:t>
      </w:r>
      <w:r w:rsidR="001B5A99">
        <w:rPr>
          <w:color w:val="010101"/>
        </w:rPr>
        <w:t xml:space="preserve">.  </w:t>
      </w:r>
      <w:r w:rsidR="000D327D">
        <w:t xml:space="preserve">If we </w:t>
      </w:r>
      <w:r w:rsidR="00437FB8" w:rsidRPr="00D24AD0">
        <w:rPr>
          <w:color w:val="010101"/>
        </w:rPr>
        <w:t xml:space="preserve">determine </w:t>
      </w:r>
      <w:r w:rsidR="000D327D">
        <w:rPr>
          <w:color w:val="010101"/>
        </w:rPr>
        <w:t>that any</w:t>
      </w:r>
      <w:r w:rsidR="001B5A99">
        <w:rPr>
          <w:color w:val="010101"/>
        </w:rPr>
        <w:t xml:space="preserve"> such</w:t>
      </w:r>
      <w:r w:rsidR="000D327D">
        <w:rPr>
          <w:color w:val="010101"/>
        </w:rPr>
        <w:t xml:space="preserve"> </w:t>
      </w:r>
      <w:r w:rsidR="00437FB8" w:rsidRPr="00D24AD0">
        <w:rPr>
          <w:color w:val="010101"/>
        </w:rPr>
        <w:t xml:space="preserve">regulation </w:t>
      </w:r>
      <w:r w:rsidR="000D327D">
        <w:rPr>
          <w:color w:val="010101"/>
        </w:rPr>
        <w:t>“</w:t>
      </w:r>
      <w:r w:rsidR="00437FB8" w:rsidRPr="00D24AD0">
        <w:rPr>
          <w:color w:val="010101"/>
        </w:rPr>
        <w:t>is no longer necessary in the public interest as th</w:t>
      </w:r>
      <w:r w:rsidR="00D61330" w:rsidRPr="00D24AD0">
        <w:rPr>
          <w:color w:val="010101"/>
        </w:rPr>
        <w:t xml:space="preserve">e result of meaningful economic </w:t>
      </w:r>
      <w:r w:rsidR="00437FB8" w:rsidRPr="00D24AD0">
        <w:rPr>
          <w:color w:val="010101"/>
        </w:rPr>
        <w:t>competition between providers of such service</w:t>
      </w:r>
      <w:r w:rsidR="000D327D">
        <w:rPr>
          <w:color w:val="010101"/>
        </w:rPr>
        <w:t>,</w:t>
      </w:r>
      <w:r w:rsidR="00437FB8" w:rsidRPr="00D24AD0">
        <w:rPr>
          <w:color w:val="010101"/>
        </w:rPr>
        <w:t xml:space="preserve">” </w:t>
      </w:r>
      <w:r w:rsidR="000D327D">
        <w:rPr>
          <w:color w:val="010101"/>
        </w:rPr>
        <w:t>w</w:t>
      </w:r>
      <w:r w:rsidR="009D478F">
        <w:rPr>
          <w:color w:val="010101"/>
        </w:rPr>
        <w:t xml:space="preserve">e then must </w:t>
      </w:r>
      <w:r w:rsidR="00437FB8" w:rsidRPr="00D24AD0">
        <w:rPr>
          <w:color w:val="010101"/>
        </w:rPr>
        <w:t xml:space="preserve">repeal or modify </w:t>
      </w:r>
      <w:r w:rsidR="000D327D">
        <w:rPr>
          <w:color w:val="010101"/>
        </w:rPr>
        <w:t>it</w:t>
      </w:r>
      <w:r w:rsidR="00437FB8" w:rsidRPr="00D24AD0">
        <w:rPr>
          <w:color w:val="010101"/>
        </w:rPr>
        <w:t>.</w:t>
      </w:r>
      <w:r w:rsidR="00D24AD0">
        <w:rPr>
          <w:color w:val="010101"/>
        </w:rPr>
        <w:t xml:space="preserve">  </w:t>
      </w:r>
    </w:p>
    <w:p w14:paraId="1462E0C6" w14:textId="77777777" w:rsidR="00AF2DB3" w:rsidRDefault="00AF2DB3" w:rsidP="00E03C50">
      <w:pPr>
        <w:autoSpaceDE w:val="0"/>
        <w:autoSpaceDN w:val="0"/>
        <w:adjustRightInd w:val="0"/>
        <w:ind w:firstLine="720"/>
        <w:rPr>
          <w:color w:val="010101"/>
        </w:rPr>
      </w:pPr>
    </w:p>
    <w:p w14:paraId="49D659D0" w14:textId="794D61CB" w:rsidR="00E03C50" w:rsidRDefault="00DE31D9" w:rsidP="00E03C50">
      <w:pPr>
        <w:autoSpaceDE w:val="0"/>
        <w:autoSpaceDN w:val="0"/>
        <w:adjustRightInd w:val="0"/>
        <w:ind w:firstLine="720"/>
        <w:rPr>
          <w:color w:val="010101"/>
        </w:rPr>
      </w:pPr>
      <w:r>
        <w:rPr>
          <w:color w:val="010101"/>
        </w:rPr>
        <w:t>Now</w:t>
      </w:r>
      <w:r w:rsidR="00D24AD0">
        <w:rPr>
          <w:color w:val="010101"/>
        </w:rPr>
        <w:t>, th</w:t>
      </w:r>
      <w:r>
        <w:rPr>
          <w:color w:val="010101"/>
        </w:rPr>
        <w:t>e</w:t>
      </w:r>
      <w:r w:rsidR="00D24AD0">
        <w:rPr>
          <w:color w:val="010101"/>
        </w:rPr>
        <w:t xml:space="preserve"> </w:t>
      </w:r>
      <w:r w:rsidR="001B5A99">
        <w:rPr>
          <w:color w:val="010101"/>
        </w:rPr>
        <w:t xml:space="preserve">Act </w:t>
      </w:r>
      <w:r w:rsidR="00D24AD0">
        <w:rPr>
          <w:color w:val="010101"/>
        </w:rPr>
        <w:t>does</w:t>
      </w:r>
      <w:r>
        <w:rPr>
          <w:color w:val="010101"/>
        </w:rPr>
        <w:t>n’t require</w:t>
      </w:r>
      <w:r w:rsidR="00D24AD0">
        <w:rPr>
          <w:color w:val="010101"/>
        </w:rPr>
        <w:t xml:space="preserve"> </w:t>
      </w:r>
      <w:r>
        <w:rPr>
          <w:color w:val="010101"/>
        </w:rPr>
        <w:t xml:space="preserve">us to review similarly </w:t>
      </w:r>
      <w:r w:rsidR="001B5A99">
        <w:rPr>
          <w:color w:val="010101"/>
        </w:rPr>
        <w:t>our media rules</w:t>
      </w:r>
      <w:r w:rsidR="00D24AD0">
        <w:rPr>
          <w:color w:val="010101"/>
        </w:rPr>
        <w:t>.</w:t>
      </w:r>
      <w:r w:rsidR="006A2E46">
        <w:rPr>
          <w:color w:val="010101"/>
        </w:rPr>
        <w:t xml:space="preserve">  </w:t>
      </w:r>
      <w:r>
        <w:rPr>
          <w:color w:val="010101"/>
        </w:rPr>
        <w:t xml:space="preserve">But that doesn’t mean we can’t. </w:t>
      </w:r>
      <w:r w:rsidR="00E03C50">
        <w:rPr>
          <w:color w:val="010101"/>
        </w:rPr>
        <w:t xml:space="preserve"> </w:t>
      </w:r>
      <w:r>
        <w:rPr>
          <w:color w:val="010101"/>
        </w:rPr>
        <w:t xml:space="preserve">Hence, this </w:t>
      </w:r>
      <w:r w:rsidRPr="001E7A4F">
        <w:rPr>
          <w:i/>
          <w:color w:val="010101"/>
        </w:rPr>
        <w:t>Public Notice</w:t>
      </w:r>
      <w:r>
        <w:rPr>
          <w:color w:val="010101"/>
        </w:rPr>
        <w:t xml:space="preserve">.  </w:t>
      </w:r>
    </w:p>
    <w:p w14:paraId="3055C33A" w14:textId="77777777" w:rsidR="00AF2DB3" w:rsidRDefault="0098795A" w:rsidP="001E7A4F">
      <w:pPr>
        <w:autoSpaceDE w:val="0"/>
        <w:autoSpaceDN w:val="0"/>
        <w:adjustRightInd w:val="0"/>
        <w:rPr>
          <w:color w:val="010101"/>
        </w:rPr>
      </w:pPr>
      <w:r>
        <w:rPr>
          <w:color w:val="010101"/>
        </w:rPr>
        <w:tab/>
      </w:r>
    </w:p>
    <w:p w14:paraId="34C7DD4D" w14:textId="652F63DB" w:rsidR="00AA047F" w:rsidRPr="00D24AD0" w:rsidRDefault="00437FB8" w:rsidP="00AF2DB3">
      <w:pPr>
        <w:autoSpaceDE w:val="0"/>
        <w:autoSpaceDN w:val="0"/>
        <w:adjustRightInd w:val="0"/>
        <w:ind w:firstLine="720"/>
        <w:rPr>
          <w:color w:val="010101"/>
        </w:rPr>
      </w:pPr>
      <w:r w:rsidRPr="00D61330">
        <w:t xml:space="preserve">The </w:t>
      </w:r>
      <w:r w:rsidR="00AA047F" w:rsidRPr="00D61330">
        <w:t xml:space="preserve">goal </w:t>
      </w:r>
      <w:r w:rsidR="00DE31D9">
        <w:t xml:space="preserve">here </w:t>
      </w:r>
      <w:r w:rsidR="00AA047F" w:rsidRPr="00D61330">
        <w:t xml:space="preserve">is </w:t>
      </w:r>
      <w:r w:rsidR="00DE31D9">
        <w:t xml:space="preserve">the same as it is with </w:t>
      </w:r>
      <w:r w:rsidR="001F71A4">
        <w:t xml:space="preserve">our </w:t>
      </w:r>
      <w:r w:rsidR="00DE31D9">
        <w:t>b</w:t>
      </w:r>
      <w:r w:rsidR="000B5642">
        <w:t>iennia</w:t>
      </w:r>
      <w:r w:rsidR="00EA2226">
        <w:t xml:space="preserve">l </w:t>
      </w:r>
      <w:r w:rsidR="001F71A4">
        <w:t>r</w:t>
      </w:r>
      <w:r w:rsidR="00EA2226">
        <w:t>eview</w:t>
      </w:r>
      <w:r w:rsidR="00DE31D9">
        <w:t xml:space="preserve">—but </w:t>
      </w:r>
      <w:r w:rsidR="00EA2226">
        <w:t xml:space="preserve">for </w:t>
      </w:r>
      <w:r w:rsidR="009D478F">
        <w:t xml:space="preserve">our </w:t>
      </w:r>
      <w:r w:rsidRPr="00D61330">
        <w:t xml:space="preserve">media </w:t>
      </w:r>
      <w:r w:rsidR="001B5A99">
        <w:t>regulations</w:t>
      </w:r>
      <w:r w:rsidR="004742C4" w:rsidRPr="00D61330">
        <w:t>.  That is,</w:t>
      </w:r>
      <w:r w:rsidR="00AA047F" w:rsidRPr="00D61330">
        <w:t xml:space="preserve"> </w:t>
      </w:r>
      <w:r w:rsidR="00DE31D9">
        <w:t xml:space="preserve">we want </w:t>
      </w:r>
      <w:r w:rsidR="00AA047F" w:rsidRPr="00D61330">
        <w:t xml:space="preserve">to figure out </w:t>
      </w:r>
      <w:r w:rsidR="00DE31D9">
        <w:t xml:space="preserve">whether and </w:t>
      </w:r>
      <w:r w:rsidR="00AA047F" w:rsidRPr="00D61330">
        <w:t xml:space="preserve">how to </w:t>
      </w:r>
      <w:r w:rsidR="00DE31D9">
        <w:t xml:space="preserve">update </w:t>
      </w:r>
      <w:r w:rsidR="00AA047F" w:rsidRPr="00D61330">
        <w:t xml:space="preserve">our rules to match the realities of today’s marketplace.  We </w:t>
      </w:r>
      <w:r w:rsidR="000D327D">
        <w:t xml:space="preserve">aim </w:t>
      </w:r>
      <w:r w:rsidR="00AA047F" w:rsidRPr="00D61330">
        <w:t xml:space="preserve">to </w:t>
      </w:r>
      <w:r w:rsidR="000D327D">
        <w:t xml:space="preserve">get </w:t>
      </w:r>
      <w:r w:rsidR="00AA047F" w:rsidRPr="00D61330">
        <w:t xml:space="preserve">public input </w:t>
      </w:r>
      <w:r w:rsidR="000D327D">
        <w:t xml:space="preserve">on </w:t>
      </w:r>
      <w:r w:rsidR="00AA047F" w:rsidRPr="00D61330">
        <w:t xml:space="preserve">which rules are still necessary and which should be modified or eliminated. </w:t>
      </w:r>
      <w:r w:rsidR="00DE31D9">
        <w:t xml:space="preserve"> We want to </w:t>
      </w:r>
      <w:r w:rsidR="00AA047F" w:rsidRPr="00D61330">
        <w:t>moderniz</w:t>
      </w:r>
      <w:r w:rsidR="00DE31D9">
        <w:t>e</w:t>
      </w:r>
      <w:r w:rsidR="00AA047F" w:rsidRPr="00D61330">
        <w:t xml:space="preserve"> our rules</w:t>
      </w:r>
      <w:r w:rsidR="00DE31D9">
        <w:t xml:space="preserve"> in order to</w:t>
      </w:r>
      <w:r w:rsidR="00AA047F" w:rsidRPr="00D61330">
        <w:t xml:space="preserve"> better promote the public interest and clear a path for more competition, innovation, and investment in the media sector.</w:t>
      </w:r>
      <w:r w:rsidR="00DE31D9">
        <w:t xml:space="preserve">  </w:t>
      </w:r>
      <w:r w:rsidR="001F71A4">
        <w:t>This is</w:t>
      </w:r>
      <w:r w:rsidR="00DE31D9" w:rsidRPr="00D61330">
        <w:t xml:space="preserve"> </w:t>
      </w:r>
      <w:r w:rsidR="00DE31D9">
        <w:t xml:space="preserve">simply </w:t>
      </w:r>
      <w:r w:rsidR="00DE31D9" w:rsidRPr="00D61330">
        <w:t xml:space="preserve">good government.  </w:t>
      </w:r>
    </w:p>
    <w:p w14:paraId="6616B5F4" w14:textId="77777777" w:rsidR="00AF2DB3" w:rsidRDefault="00AF2DB3" w:rsidP="00812EA4">
      <w:pPr>
        <w:ind w:firstLine="720"/>
      </w:pPr>
    </w:p>
    <w:p w14:paraId="7281A7A4" w14:textId="77777777" w:rsidR="00AA047F" w:rsidRPr="00D61330" w:rsidRDefault="00AA047F" w:rsidP="00812EA4">
      <w:pPr>
        <w:ind w:firstLine="720"/>
      </w:pPr>
      <w:r w:rsidRPr="00D61330">
        <w:t xml:space="preserve">In order for this effort to be successful, we’ll need your help.  I encourage all interested parties to file comments in this proceeding and bring to our attention rules that deserve the Commission’s </w:t>
      </w:r>
      <w:r w:rsidR="008A1F51" w:rsidRPr="00812EA4">
        <w:t>consideration</w:t>
      </w:r>
      <w:r w:rsidR="00BF01F6" w:rsidRPr="00D61330">
        <w:t>.</w:t>
      </w:r>
      <w:r w:rsidR="00437FB8" w:rsidRPr="00D61330">
        <w:t xml:space="preserve">  </w:t>
      </w:r>
    </w:p>
    <w:p w14:paraId="104F32FA" w14:textId="77777777" w:rsidR="00AF2DB3" w:rsidRDefault="00AF2DB3">
      <w:pPr>
        <w:ind w:firstLine="720"/>
      </w:pPr>
    </w:p>
    <w:p w14:paraId="73092228" w14:textId="77777777" w:rsidR="00AA047F" w:rsidRPr="009D478F" w:rsidRDefault="00AA047F">
      <w:pPr>
        <w:ind w:firstLine="720"/>
      </w:pPr>
      <w:r w:rsidRPr="00D61330">
        <w:t xml:space="preserve">My thanks to the Media Bureau’s terrific staff for their work on this </w:t>
      </w:r>
      <w:r w:rsidRPr="00D61330">
        <w:rPr>
          <w:i/>
        </w:rPr>
        <w:t>Public Notice</w:t>
      </w:r>
      <w:r w:rsidRPr="00D61330">
        <w:t xml:space="preserve">: Michelle Carey, Martha Heller, Mary Beth Murphy, and Raelynn Remy.  In your efforts to come, you may not dig up a dictate as dated as a Telegraph Division rule, but </w:t>
      </w:r>
      <w:r w:rsidR="00BF01F6" w:rsidRPr="00D61330">
        <w:t>your</w:t>
      </w:r>
      <w:r w:rsidRPr="00D61330">
        <w:t xml:space="preserve"> </w:t>
      </w:r>
      <w:r w:rsidR="00FA4DA8" w:rsidRPr="00D61330">
        <w:t>work is</w:t>
      </w:r>
      <w:r w:rsidRPr="00D61330">
        <w:t xml:space="preserve"> critically important nonetheless.</w:t>
      </w:r>
    </w:p>
    <w:sectPr w:rsidR="00AA047F" w:rsidRPr="009D478F" w:rsidSect="00D66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B458D" w14:textId="77777777" w:rsidR="00240EF8" w:rsidRDefault="00240EF8" w:rsidP="00D6650B">
      <w:r>
        <w:separator/>
      </w:r>
    </w:p>
  </w:endnote>
  <w:endnote w:type="continuationSeparator" w:id="0">
    <w:p w14:paraId="406F7023" w14:textId="77777777" w:rsidR="00240EF8" w:rsidRDefault="00240EF8" w:rsidP="00D6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761B7" w14:textId="77777777" w:rsidR="002C05F1" w:rsidRDefault="002C05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308D2" w14:textId="3A4B9AA2" w:rsidR="00D6650B" w:rsidRDefault="00D6650B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2236E" w14:textId="77777777" w:rsidR="002C05F1" w:rsidRDefault="002C05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041CE" w14:textId="77777777" w:rsidR="00240EF8" w:rsidRDefault="00240EF8" w:rsidP="00D6650B">
      <w:r>
        <w:separator/>
      </w:r>
    </w:p>
  </w:footnote>
  <w:footnote w:type="continuationSeparator" w:id="0">
    <w:p w14:paraId="6FA951CF" w14:textId="77777777" w:rsidR="00240EF8" w:rsidRDefault="00240EF8" w:rsidP="00D6650B">
      <w:r>
        <w:continuationSeparator/>
      </w:r>
    </w:p>
  </w:footnote>
  <w:footnote w:id="1">
    <w:p w14:paraId="2CE52D5F" w14:textId="77777777" w:rsidR="00AA047F" w:rsidRPr="00733AFF" w:rsidRDefault="00AA047F" w:rsidP="00AA047F">
      <w:pPr>
        <w:pStyle w:val="FootnoteText"/>
      </w:pPr>
      <w:r w:rsidRPr="00733AFF">
        <w:rPr>
          <w:rStyle w:val="FootnoteReference"/>
        </w:rPr>
        <w:footnoteRef/>
      </w:r>
      <w:r w:rsidRPr="00733AFF">
        <w:t xml:space="preserve"> </w:t>
      </w:r>
      <w:r w:rsidR="00BF01F6">
        <w:rPr>
          <w:i/>
        </w:rPr>
        <w:t>United States Telecom Association Petition for Forbearance Under 47 U.S.C. § 160(c) from Enforcement of Certain Legacy Telecommunications Regulations</w:t>
      </w:r>
      <w:r w:rsidR="00BF01F6">
        <w:t>, WC Docket No. 12-61, Order, 28 FCC Rcd 2605, 2609, para. 9 (2013).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E5347" w14:textId="77777777" w:rsidR="002C05F1" w:rsidRDefault="002C05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28A53" w14:textId="77777777" w:rsidR="002C05F1" w:rsidRDefault="002C05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1D6AC" w14:textId="77777777" w:rsidR="002C05F1" w:rsidRDefault="002C05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linkStyl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3C"/>
    <w:rsid w:val="00027673"/>
    <w:rsid w:val="000B5642"/>
    <w:rsid w:val="000D327D"/>
    <w:rsid w:val="001B5A99"/>
    <w:rsid w:val="001E7A4F"/>
    <w:rsid w:val="001F71A4"/>
    <w:rsid w:val="00240EF8"/>
    <w:rsid w:val="002C05F1"/>
    <w:rsid w:val="00302327"/>
    <w:rsid w:val="00437FB8"/>
    <w:rsid w:val="004742C4"/>
    <w:rsid w:val="004C7785"/>
    <w:rsid w:val="00562909"/>
    <w:rsid w:val="006A2E46"/>
    <w:rsid w:val="00777FFA"/>
    <w:rsid w:val="00812EA4"/>
    <w:rsid w:val="00822945"/>
    <w:rsid w:val="00861978"/>
    <w:rsid w:val="008A1F51"/>
    <w:rsid w:val="0098795A"/>
    <w:rsid w:val="009D478F"/>
    <w:rsid w:val="00A847FA"/>
    <w:rsid w:val="00AA047F"/>
    <w:rsid w:val="00AF2DB3"/>
    <w:rsid w:val="00BA184B"/>
    <w:rsid w:val="00BF01F6"/>
    <w:rsid w:val="00D24AD0"/>
    <w:rsid w:val="00D61330"/>
    <w:rsid w:val="00D6650B"/>
    <w:rsid w:val="00DE31D9"/>
    <w:rsid w:val="00E03C50"/>
    <w:rsid w:val="00E16688"/>
    <w:rsid w:val="00E53DC6"/>
    <w:rsid w:val="00EA2226"/>
    <w:rsid w:val="00F30C3C"/>
    <w:rsid w:val="00FA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4281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DC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Heading1">
    <w:name w:val="heading 1"/>
    <w:basedOn w:val="Normal"/>
    <w:next w:val="ParaNum"/>
    <w:link w:val="Heading1Char"/>
    <w:qFormat/>
    <w:rsid w:val="00E53DC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E53DC6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E53DC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E53DC6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E53DC6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E53DC6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E53DC6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E53DC6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E53DC6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E53DC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53DC6"/>
  </w:style>
  <w:style w:type="paragraph" w:styleId="Header">
    <w:name w:val="header"/>
    <w:basedOn w:val="Normal"/>
    <w:link w:val="HeaderChar"/>
    <w:autoRedefine/>
    <w:rsid w:val="00E53DC6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D6650B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link w:val="FooterChar"/>
    <w:rsid w:val="00E53D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6650B"/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FootnoteText">
    <w:name w:val="footnote text"/>
    <w:link w:val="FootnoteTextChar"/>
    <w:rsid w:val="00E53DC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6650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E53DC6"/>
    <w:rPr>
      <w:rFonts w:ascii="Times New Roman" w:hAnsi="Times New Roman"/>
      <w:dstrike w:val="0"/>
      <w:color w:val="auto"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F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FB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F2DB3"/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AF2DB3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AF2DB3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AF2DB3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AF2DB3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AF2DB3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AF2DB3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8Char">
    <w:name w:val="Heading 8 Char"/>
    <w:basedOn w:val="DefaultParagraphFont"/>
    <w:link w:val="Heading8"/>
    <w:rsid w:val="00AF2DB3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AF2DB3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customStyle="1" w:styleId="ParaNum">
    <w:name w:val="ParaNum"/>
    <w:basedOn w:val="Normal"/>
    <w:rsid w:val="00E53DC6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E53DC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AF2DB3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sid w:val="00E53DC6"/>
    <w:rPr>
      <w:vertAlign w:val="superscript"/>
    </w:rPr>
  </w:style>
  <w:style w:type="paragraph" w:styleId="TOC1">
    <w:name w:val="toc 1"/>
    <w:basedOn w:val="Normal"/>
    <w:next w:val="Normal"/>
    <w:semiHidden/>
    <w:rsid w:val="00E53DC6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E53DC6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E53DC6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E53DC6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E53DC6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E53DC6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E53DC6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E53DC6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E53DC6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E53DC6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E53DC6"/>
  </w:style>
  <w:style w:type="character" w:styleId="PageNumber">
    <w:name w:val="page number"/>
    <w:basedOn w:val="DefaultParagraphFont"/>
    <w:rsid w:val="00E53DC6"/>
  </w:style>
  <w:style w:type="paragraph" w:styleId="BlockText">
    <w:name w:val="Block Text"/>
    <w:basedOn w:val="Normal"/>
    <w:rsid w:val="00E53DC6"/>
    <w:pPr>
      <w:spacing w:after="240"/>
      <w:ind w:left="1440" w:right="1440"/>
    </w:pPr>
  </w:style>
  <w:style w:type="paragraph" w:customStyle="1" w:styleId="Paratitle">
    <w:name w:val="Para title"/>
    <w:basedOn w:val="Normal"/>
    <w:rsid w:val="00E53DC6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E53DC6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E53DC6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E53DC6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E53DC6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E53D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DC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Heading1">
    <w:name w:val="heading 1"/>
    <w:basedOn w:val="Normal"/>
    <w:next w:val="ParaNum"/>
    <w:link w:val="Heading1Char"/>
    <w:qFormat/>
    <w:rsid w:val="00E53DC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E53DC6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E53DC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E53DC6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E53DC6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E53DC6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E53DC6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E53DC6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E53DC6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E53DC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53DC6"/>
  </w:style>
  <w:style w:type="paragraph" w:styleId="Header">
    <w:name w:val="header"/>
    <w:basedOn w:val="Normal"/>
    <w:link w:val="HeaderChar"/>
    <w:autoRedefine/>
    <w:rsid w:val="00E53DC6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D6650B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link w:val="FooterChar"/>
    <w:rsid w:val="00E53D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6650B"/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FootnoteText">
    <w:name w:val="footnote text"/>
    <w:link w:val="FootnoteTextChar"/>
    <w:rsid w:val="00E53DC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6650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E53DC6"/>
    <w:rPr>
      <w:rFonts w:ascii="Times New Roman" w:hAnsi="Times New Roman"/>
      <w:dstrike w:val="0"/>
      <w:color w:val="auto"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F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FB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F2DB3"/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AF2DB3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AF2DB3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AF2DB3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AF2DB3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AF2DB3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AF2DB3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8Char">
    <w:name w:val="Heading 8 Char"/>
    <w:basedOn w:val="DefaultParagraphFont"/>
    <w:link w:val="Heading8"/>
    <w:rsid w:val="00AF2DB3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AF2DB3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customStyle="1" w:styleId="ParaNum">
    <w:name w:val="ParaNum"/>
    <w:basedOn w:val="Normal"/>
    <w:rsid w:val="00E53DC6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E53DC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AF2DB3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sid w:val="00E53DC6"/>
    <w:rPr>
      <w:vertAlign w:val="superscript"/>
    </w:rPr>
  </w:style>
  <w:style w:type="paragraph" w:styleId="TOC1">
    <w:name w:val="toc 1"/>
    <w:basedOn w:val="Normal"/>
    <w:next w:val="Normal"/>
    <w:semiHidden/>
    <w:rsid w:val="00E53DC6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E53DC6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E53DC6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E53DC6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E53DC6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E53DC6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E53DC6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E53DC6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E53DC6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E53DC6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E53DC6"/>
  </w:style>
  <w:style w:type="character" w:styleId="PageNumber">
    <w:name w:val="page number"/>
    <w:basedOn w:val="DefaultParagraphFont"/>
    <w:rsid w:val="00E53DC6"/>
  </w:style>
  <w:style w:type="paragraph" w:styleId="BlockText">
    <w:name w:val="Block Text"/>
    <w:basedOn w:val="Normal"/>
    <w:rsid w:val="00E53DC6"/>
    <w:pPr>
      <w:spacing w:after="240"/>
      <w:ind w:left="1440" w:right="1440"/>
    </w:pPr>
  </w:style>
  <w:style w:type="paragraph" w:customStyle="1" w:styleId="Paratitle">
    <w:name w:val="Para title"/>
    <w:basedOn w:val="Normal"/>
    <w:rsid w:val="00E53DC6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E53DC6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E53DC6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E53DC6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E53DC6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E53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1</Pages>
  <Words>453</Words>
  <Characters>2253</Characters>
  <Application>Microsoft Office Word</Application>
  <DocSecurity>0</DocSecurity>
  <Lines>40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2723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2017-05-18T20:12:00Z</dcterms:created>
  <dcterms:modified xsi:type="dcterms:W3CDTF">2017-05-18T20:12:00Z</dcterms:modified>
  <cp:category> </cp:category>
  <cp:contentStatus> </cp:contentStatus>
</cp:coreProperties>
</file>