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8F9" w:rsidRPr="00303A31" w:rsidRDefault="000E48F9" w:rsidP="00EA064F">
      <w:pPr>
        <w:pStyle w:val="NoSpacing"/>
        <w:jc w:val="center"/>
        <w:rPr>
          <w:rFonts w:ascii="Times New Roman" w:hAnsi="Times New Roman"/>
          <w:b/>
          <w:color w:val="180CB4"/>
          <w:sz w:val="20"/>
          <w:szCs w:val="20"/>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50000"/>
              </w14:schemeClr>
            </w14:solidFill>
            <w14:prstDash w14:val="solid"/>
            <w14:round/>
          </w14:textOutline>
        </w:rPr>
      </w:pPr>
      <w:bookmarkStart w:id="0" w:name="_GoBack"/>
      <w:bookmarkEnd w:id="0"/>
    </w:p>
    <w:p w:rsidR="00EA064F" w:rsidRPr="00781BB9" w:rsidRDefault="00EA064F" w:rsidP="00EA064F">
      <w:pPr>
        <w:pStyle w:val="NoSpacing"/>
        <w:jc w:val="center"/>
        <w:rPr>
          <w:rFonts w:ascii="Times New Roman" w:hAnsi="Times New Roman"/>
          <w:b/>
          <w:color w:val="0066FF"/>
          <w:sz w:val="100"/>
          <w:szCs w:val="100"/>
        </w:rPr>
      </w:pPr>
      <w:r w:rsidRPr="002A3B76">
        <w:rPr>
          <w:rFonts w:ascii="Times New Roman" w:hAnsi="Times New Roman"/>
          <w:b/>
          <w:color w:val="180CB4"/>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50000"/>
              </w14:schemeClr>
            </w14:solidFill>
            <w14:prstDash w14:val="solid"/>
            <w14:round/>
          </w14:textOutline>
        </w:rPr>
        <w:t>Federal Communications Commission</w:t>
      </w:r>
    </w:p>
    <w:sdt>
      <w:sdtPr>
        <w:id w:val="-390963864"/>
        <w:docPartObj>
          <w:docPartGallery w:val="Cover Pages"/>
          <w:docPartUnique/>
        </w:docPartObj>
      </w:sdtPr>
      <w:sdtEndPr>
        <w:rPr>
          <w:rFonts w:ascii="Times New Roman" w:eastAsia="MS Gothic" w:hAnsi="Times New Roman"/>
          <w:b/>
          <w:bCs/>
          <w:sz w:val="28"/>
          <w:szCs w:val="28"/>
          <w:lang w:eastAsia="ja-JP"/>
        </w:rPr>
      </w:sdtEndPr>
      <w:sdtContent>
        <w:p w:rsidR="00EA064F" w:rsidRDefault="00D81DFA">
          <w:r>
            <w:rPr>
              <w:noProof/>
            </w:rPr>
            <mc:AlternateContent>
              <mc:Choice Requires="wps">
                <w:drawing>
                  <wp:anchor distT="0" distB="0" distL="114300" distR="114300" simplePos="0" relativeHeight="251662336" behindDoc="0" locked="0" layoutInCell="1" allowOverlap="1" wp14:anchorId="063DCED3" wp14:editId="0C3427FB">
                    <wp:simplePos x="0" y="0"/>
                    <wp:positionH relativeFrom="margin">
                      <wp:posOffset>1904</wp:posOffset>
                    </wp:positionH>
                    <wp:positionV relativeFrom="paragraph">
                      <wp:posOffset>107316</wp:posOffset>
                    </wp:positionV>
                    <wp:extent cx="6296025" cy="0"/>
                    <wp:effectExtent l="57150" t="38100" r="47625" b="95250"/>
                    <wp:wrapNone/>
                    <wp:docPr id="1177" name="Straight Connector 1177"/>
                    <wp:cNvGraphicFramePr/>
                    <a:graphic xmlns:a="http://schemas.openxmlformats.org/drawingml/2006/main">
                      <a:graphicData uri="http://schemas.microsoft.com/office/word/2010/wordprocessingShape">
                        <wps:wsp>
                          <wps:cNvCnPr/>
                          <wps:spPr>
                            <a:xfrm>
                              <a:off x="0" y="0"/>
                              <a:ext cx="6296025" cy="0"/>
                            </a:xfrm>
                            <a:prstGeom prst="line">
                              <a:avLst/>
                            </a:prstGeom>
                            <a:ln w="38100" cmpd="thinThick">
                              <a:solidFill>
                                <a:srgbClr val="00339A"/>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1B0E22" id="Straight Connector 1177"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8.45pt" to="495.9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" strokecolor="#00339a" strokeweight="3pt">
                    <v:stroke linestyle="thinThick"/>
                    <v:shadow on="t" color="black" opacity="22937f" origin=",.5" offset="0,.63889mm"/>
                    <w10:wrap anchorx="margin"/>
                  </v:line>
                </w:pict>
              </mc:Fallback>
            </mc:AlternateContent>
          </w:r>
        </w:p>
        <w:p w:rsidR="003734AF" w:rsidRDefault="00303A31" w:rsidP="00726956">
          <w:pPr>
            <w:jc w:val="center"/>
          </w:pPr>
          <w:r>
            <w:rPr>
              <w:noProof/>
            </w:rPr>
            <w:drawing>
              <wp:inline distT="0" distB="0" distL="0" distR="0" wp14:anchorId="47EE8BEB" wp14:editId="257A9801">
                <wp:extent cx="3466768" cy="3378835"/>
                <wp:effectExtent l="0" t="0" r="635" b="0"/>
                <wp:docPr id="12" name="Picture 12" descr="https://transition.fcc.gov/files/logos/fcc-seal_rgb_emboss-on-whit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ransition.fcc.gov/files/logos/fcc-seal_rgb_emboss-on-white-lar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4106" cy="3395733"/>
                        </a:xfrm>
                        <a:prstGeom prst="rect">
                          <a:avLst/>
                        </a:prstGeom>
                        <a:noFill/>
                        <a:ln>
                          <a:noFill/>
                        </a:ln>
                      </pic:spPr>
                    </pic:pic>
                  </a:graphicData>
                </a:graphic>
              </wp:inline>
            </w:drawing>
          </w:r>
        </w:p>
        <w:p w:rsidR="00EA064F" w:rsidRPr="00C24912" w:rsidRDefault="00EA064F" w:rsidP="00EA064F">
          <w:pPr>
            <w:spacing w:after="0" w:line="240" w:lineRule="auto"/>
            <w:jc w:val="center"/>
            <w:rPr>
              <w:rFonts w:ascii="Times New Roman" w:hAnsi="Times New Roman"/>
              <w:b/>
              <w:color w:val="180CB4"/>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50000"/>
                  </w14:schemeClr>
                </w14:solidFill>
                <w14:prstDash w14:val="solid"/>
                <w14:round/>
              </w14:textOutline>
            </w:rPr>
          </w:pPr>
          <w:r w:rsidRPr="00C24912">
            <w:rPr>
              <w:rFonts w:ascii="Times New Roman" w:hAnsi="Times New Roman"/>
              <w:b/>
              <w:color w:val="FF0000"/>
              <w:sz w:val="96"/>
              <w:szCs w:val="96"/>
              <w14:shadow w14:blurRad="12700" w14:dist="38100" w14:dir="2700000" w14:sx="100000" w14:sy="100000" w14:kx="0" w14:ky="0" w14:algn="tl">
                <w14:schemeClr w14:val="bg1">
                  <w14:lumMod w14:val="50000"/>
                </w14:schemeClr>
              </w14:shadow>
              <w14:textOutline w14:w="12700" w14:cap="rnd" w14:cmpd="sng" w14:algn="ctr">
                <w14:solidFill>
                  <w14:schemeClr w14:val="accent1">
                    <w14:lumMod w14:val="50000"/>
                  </w14:schemeClr>
                </w14:solidFill>
                <w14:prstDash w14:val="solid"/>
                <w14:round/>
              </w14:textOutline>
            </w:rPr>
            <w:t>Fiscal Year 201</w:t>
          </w:r>
          <w:r w:rsidR="000A6426" w:rsidRPr="00C24912">
            <w:rPr>
              <w:rFonts w:ascii="Times New Roman" w:hAnsi="Times New Roman"/>
              <w:b/>
              <w:color w:val="FF0000"/>
              <w:sz w:val="96"/>
              <w:szCs w:val="96"/>
              <w14:shadow w14:blurRad="12700" w14:dist="38100" w14:dir="2700000" w14:sx="100000" w14:sy="100000" w14:kx="0" w14:ky="0" w14:algn="tl">
                <w14:schemeClr w14:val="bg1">
                  <w14:lumMod w14:val="50000"/>
                </w14:schemeClr>
              </w14:shadow>
              <w14:textOutline w14:w="12700" w14:cap="rnd" w14:cmpd="sng" w14:algn="ctr">
                <w14:solidFill>
                  <w14:schemeClr w14:val="accent1">
                    <w14:lumMod w14:val="50000"/>
                  </w14:schemeClr>
                </w14:solidFill>
                <w14:prstDash w14:val="solid"/>
                <w14:round/>
              </w14:textOutline>
            </w:rPr>
            <w:t>8</w:t>
          </w:r>
        </w:p>
        <w:p w:rsidR="00EA064F" w:rsidRPr="00615E95" w:rsidRDefault="00EA064F" w:rsidP="00EA064F">
          <w:pPr>
            <w:spacing w:after="0" w:line="240" w:lineRule="auto"/>
            <w:jc w:val="center"/>
            <w:rPr>
              <w:rFonts w:ascii="Times New Roman" w:hAnsi="Times New Roman"/>
              <w:b/>
              <w:color w:val="000099"/>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50000"/>
                  </w14:schemeClr>
                </w14:solidFill>
                <w14:prstDash w14:val="solid"/>
                <w14:round/>
              </w14:textOutline>
            </w:rPr>
          </w:pPr>
          <w:r w:rsidRPr="00615E95">
            <w:rPr>
              <w:rFonts w:ascii="Times New Roman" w:hAnsi="Times New Roman"/>
              <w:b/>
              <w:color w:val="000099"/>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50000"/>
                  </w14:schemeClr>
                </w14:solidFill>
                <w14:prstDash w14:val="solid"/>
                <w14:round/>
              </w14:textOutline>
            </w:rPr>
            <w:t xml:space="preserve">Budget </w:t>
          </w:r>
          <w:r w:rsidR="00AE16ED">
            <w:rPr>
              <w:rFonts w:ascii="Times New Roman" w:hAnsi="Times New Roman"/>
              <w:b/>
              <w:color w:val="000099"/>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50000"/>
                  </w14:schemeClr>
                </w14:solidFill>
                <w14:prstDash w14:val="solid"/>
                <w14:round/>
              </w14:textOutline>
            </w:rPr>
            <w:t>In Brief</w:t>
          </w:r>
        </w:p>
        <w:p w:rsidR="00FE16F7" w:rsidRDefault="00615E95" w:rsidP="00EA064F">
          <w:pPr>
            <w:spacing w:after="0" w:line="240" w:lineRule="auto"/>
            <w:jc w:val="center"/>
          </w:pPr>
          <w:r w:rsidRPr="00615E95">
            <w:rPr>
              <w:rFonts w:ascii="Times New Roman" w:hAnsi="Times New Roman"/>
              <w:b/>
              <w:color w:val="000099"/>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50000"/>
                  </w14:schemeClr>
                </w14:solidFill>
                <w14:prstDash w14:val="solid"/>
                <w14:round/>
              </w14:textOutline>
            </w:rPr>
            <w:t>May</w:t>
          </w:r>
          <w:r w:rsidR="00EA064F" w:rsidRPr="00615E95">
            <w:rPr>
              <w:rFonts w:ascii="Times New Roman" w:hAnsi="Times New Roman"/>
              <w:b/>
              <w:color w:val="000099"/>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50000"/>
                  </w14:schemeClr>
                </w14:solidFill>
                <w14:prstDash w14:val="solid"/>
                <w14:round/>
              </w14:textOutline>
            </w:rPr>
            <w:t xml:space="preserve"> 201</w:t>
          </w:r>
          <w:r w:rsidR="000A6426" w:rsidRPr="00615E95">
            <w:rPr>
              <w:rFonts w:ascii="Times New Roman" w:hAnsi="Times New Roman"/>
              <w:b/>
              <w:color w:val="000099"/>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50000"/>
                  </w14:schemeClr>
                </w14:solidFill>
                <w14:prstDash w14:val="solid"/>
                <w14:round/>
              </w14:textOutline>
            </w:rPr>
            <w:t>7</w:t>
          </w:r>
          <w:r w:rsidR="00FE16F7">
            <w:br w:type="page"/>
          </w:r>
        </w:p>
        <w:p w:rsidR="00982591" w:rsidRDefault="00982591">
          <w:pPr>
            <w:spacing w:after="0" w:line="240" w:lineRule="auto"/>
            <w:sectPr w:rsidR="00982591" w:rsidSect="00C24912">
              <w:headerReference w:type="even" r:id="rId10"/>
              <w:headerReference w:type="default" r:id="rId11"/>
              <w:footerReference w:type="even" r:id="rId12"/>
              <w:footerReference w:type="default" r:id="rId13"/>
              <w:headerReference w:type="first" r:id="rId14"/>
              <w:footerReference w:type="first" r:id="rId15"/>
              <w:pgSz w:w="12240" w:h="15840" w:code="1"/>
              <w:pgMar w:top="1080" w:right="1152" w:bottom="1170" w:left="1152" w:header="720" w:footer="720" w:gutter="0"/>
              <w:pgBorders w:offsetFrom="page">
                <w:top w:val="thinThickThinMediumGap" w:sz="24" w:space="24" w:color="003399"/>
                <w:left w:val="thinThickThinMediumGap" w:sz="24" w:space="24" w:color="003399"/>
                <w:bottom w:val="thinThickThinMediumGap" w:sz="24" w:space="24" w:color="003399"/>
                <w:right w:val="thinThickThinMediumGap" w:sz="24" w:space="24" w:color="003399"/>
              </w:pgBorders>
              <w:pgNumType w:fmt="lowerRoman" w:start="0"/>
              <w:cols w:space="720"/>
              <w:titlePg/>
              <w:docGrid w:linePitch="326"/>
            </w:sectPr>
          </w:pPr>
        </w:p>
        <w:p w:rsidR="00175A78" w:rsidRDefault="0074313C" w:rsidP="00175A78">
          <w:pPr>
            <w:spacing w:after="0" w:line="240" w:lineRule="auto"/>
            <w:rPr>
              <w:rFonts w:ascii="Times New Roman" w:eastAsia="MS Gothic" w:hAnsi="Times New Roman"/>
              <w:b/>
              <w:bCs/>
              <w:sz w:val="28"/>
              <w:szCs w:val="28"/>
              <w:lang w:eastAsia="ja-JP"/>
            </w:rPr>
          </w:pPr>
        </w:p>
      </w:sdtContent>
    </w:sdt>
    <w:p w:rsidR="005A1183" w:rsidRPr="00211AAB" w:rsidRDefault="005A1183" w:rsidP="00F7363F">
      <w:pPr>
        <w:pStyle w:val="NoSpacing"/>
        <w:jc w:val="center"/>
        <w:rPr>
          <w:rFonts w:ascii="Times New Roman" w:eastAsia="MS Gothic" w:hAnsi="Times New Roman"/>
          <w:b/>
          <w:sz w:val="32"/>
          <w:szCs w:val="32"/>
          <w:lang w:eastAsia="ja-JP"/>
        </w:rPr>
      </w:pPr>
      <w:r w:rsidRPr="00211AAB">
        <w:rPr>
          <w:rFonts w:ascii="Times New Roman" w:hAnsi="Times New Roman"/>
          <w:b/>
          <w:sz w:val="32"/>
          <w:szCs w:val="32"/>
        </w:rPr>
        <w:t>Table of Contents</w:t>
      </w:r>
    </w:p>
    <w:p w:rsidR="00B664D5" w:rsidRPr="00B664D5" w:rsidRDefault="00342406" w:rsidP="00342406">
      <w:pPr>
        <w:tabs>
          <w:tab w:val="left" w:pos="6111"/>
        </w:tabs>
        <w:rPr>
          <w:lang w:eastAsia="ja-JP"/>
        </w:rPr>
      </w:pPr>
      <w:r>
        <w:rPr>
          <w:lang w:eastAsia="ja-JP"/>
        </w:rPr>
        <w:tab/>
      </w:r>
    </w:p>
    <w:p w:rsidR="00DC5B39" w:rsidRDefault="00472983">
      <w:pPr>
        <w:pStyle w:val="TOC2"/>
        <w:tabs>
          <w:tab w:val="right" w:leader="dot" w:pos="9440"/>
        </w:tabs>
        <w:rPr>
          <w:rFonts w:asciiTheme="minorHAnsi" w:eastAsiaTheme="minorEastAsia" w:hAnsiTheme="minorHAnsi" w:cstheme="minorBidi"/>
          <w:noProof/>
          <w:lang w:eastAsia="en-US"/>
        </w:rPr>
      </w:pPr>
      <w:r>
        <w:rPr>
          <w:b/>
        </w:rPr>
        <w:fldChar w:fldCharType="begin"/>
      </w:r>
      <w:r>
        <w:rPr>
          <w:b/>
        </w:rPr>
        <w:instrText xml:space="preserve"> TOC \o "1-3" \h \z \u </w:instrText>
      </w:r>
      <w:r>
        <w:rPr>
          <w:b/>
        </w:rPr>
        <w:fldChar w:fldCharType="separate"/>
      </w:r>
      <w:hyperlink w:anchor="_Toc483207964" w:history="1">
        <w:r w:rsidR="00DC5B39" w:rsidRPr="00CE4B28">
          <w:rPr>
            <w:rStyle w:val="Hyperlink"/>
            <w:noProof/>
          </w:rPr>
          <w:t>INTRODUCTION AND SUMMARY OF REQUEST</w:t>
        </w:r>
        <w:r w:rsidR="00DC5B39">
          <w:rPr>
            <w:noProof/>
            <w:webHidden/>
          </w:rPr>
          <w:tab/>
        </w:r>
        <w:r w:rsidR="00DC5B39">
          <w:rPr>
            <w:noProof/>
            <w:webHidden/>
          </w:rPr>
          <w:fldChar w:fldCharType="begin"/>
        </w:r>
        <w:r w:rsidR="00DC5B39">
          <w:rPr>
            <w:noProof/>
            <w:webHidden/>
          </w:rPr>
          <w:instrText xml:space="preserve"> PAGEREF _Toc483207964 \h </w:instrText>
        </w:r>
        <w:r w:rsidR="00DC5B39">
          <w:rPr>
            <w:noProof/>
            <w:webHidden/>
          </w:rPr>
        </w:r>
        <w:r w:rsidR="00DC5B39">
          <w:rPr>
            <w:noProof/>
            <w:webHidden/>
          </w:rPr>
          <w:fldChar w:fldCharType="separate"/>
        </w:r>
        <w:r w:rsidR="00AE6CBD">
          <w:rPr>
            <w:noProof/>
            <w:webHidden/>
          </w:rPr>
          <w:t>2</w:t>
        </w:r>
        <w:r w:rsidR="00DC5B39">
          <w:rPr>
            <w:noProof/>
            <w:webHidden/>
          </w:rPr>
          <w:fldChar w:fldCharType="end"/>
        </w:r>
      </w:hyperlink>
    </w:p>
    <w:p w:rsidR="00DC5B39" w:rsidRDefault="0074313C">
      <w:pPr>
        <w:pStyle w:val="TOC2"/>
        <w:tabs>
          <w:tab w:val="right" w:leader="dot" w:pos="9440"/>
        </w:tabs>
        <w:rPr>
          <w:rFonts w:asciiTheme="minorHAnsi" w:eastAsiaTheme="minorEastAsia" w:hAnsiTheme="minorHAnsi" w:cstheme="minorBidi"/>
          <w:noProof/>
          <w:lang w:eastAsia="en-US"/>
        </w:rPr>
      </w:pPr>
      <w:hyperlink w:anchor="_Toc483207965" w:history="1">
        <w:r w:rsidR="00DC5B39" w:rsidRPr="00CE4B28">
          <w:rPr>
            <w:rStyle w:val="Hyperlink"/>
            <w:noProof/>
          </w:rPr>
          <w:t>Fiscal Year 2018 Proposed Appropriation Language</w:t>
        </w:r>
        <w:r w:rsidR="00DC5B39">
          <w:rPr>
            <w:noProof/>
            <w:webHidden/>
          </w:rPr>
          <w:tab/>
        </w:r>
        <w:r w:rsidR="00DC5B39">
          <w:rPr>
            <w:noProof/>
            <w:webHidden/>
          </w:rPr>
          <w:fldChar w:fldCharType="begin"/>
        </w:r>
        <w:r w:rsidR="00DC5B39">
          <w:rPr>
            <w:noProof/>
            <w:webHidden/>
          </w:rPr>
          <w:instrText xml:space="preserve"> PAGEREF _Toc483207965 \h </w:instrText>
        </w:r>
        <w:r w:rsidR="00DC5B39">
          <w:rPr>
            <w:noProof/>
            <w:webHidden/>
          </w:rPr>
        </w:r>
        <w:r w:rsidR="00DC5B39">
          <w:rPr>
            <w:noProof/>
            <w:webHidden/>
          </w:rPr>
          <w:fldChar w:fldCharType="separate"/>
        </w:r>
        <w:r w:rsidR="00AE6CBD">
          <w:rPr>
            <w:noProof/>
            <w:webHidden/>
          </w:rPr>
          <w:t>6</w:t>
        </w:r>
        <w:r w:rsidR="00DC5B39">
          <w:rPr>
            <w:noProof/>
            <w:webHidden/>
          </w:rPr>
          <w:fldChar w:fldCharType="end"/>
        </w:r>
      </w:hyperlink>
    </w:p>
    <w:p w:rsidR="00DC5B39" w:rsidRDefault="0074313C">
      <w:pPr>
        <w:pStyle w:val="TOC2"/>
        <w:tabs>
          <w:tab w:val="right" w:leader="dot" w:pos="9440"/>
        </w:tabs>
        <w:rPr>
          <w:rFonts w:asciiTheme="minorHAnsi" w:eastAsiaTheme="minorEastAsia" w:hAnsiTheme="minorHAnsi" w:cstheme="minorBidi"/>
          <w:noProof/>
          <w:lang w:eastAsia="en-US"/>
        </w:rPr>
      </w:pPr>
      <w:hyperlink w:anchor="_Toc483207966" w:history="1">
        <w:r w:rsidR="00DC5B39" w:rsidRPr="00CE4B28">
          <w:rPr>
            <w:rStyle w:val="Hyperlink"/>
            <w:noProof/>
          </w:rPr>
          <w:t>Legislative Proposals</w:t>
        </w:r>
        <w:r w:rsidR="00DC5B39">
          <w:rPr>
            <w:noProof/>
            <w:webHidden/>
          </w:rPr>
          <w:tab/>
        </w:r>
        <w:r w:rsidR="00DC5B39">
          <w:rPr>
            <w:noProof/>
            <w:webHidden/>
          </w:rPr>
          <w:fldChar w:fldCharType="begin"/>
        </w:r>
        <w:r w:rsidR="00DC5B39">
          <w:rPr>
            <w:noProof/>
            <w:webHidden/>
          </w:rPr>
          <w:instrText xml:space="preserve"> PAGEREF _Toc483207966 \h </w:instrText>
        </w:r>
        <w:r w:rsidR="00DC5B39">
          <w:rPr>
            <w:noProof/>
            <w:webHidden/>
          </w:rPr>
        </w:r>
        <w:r w:rsidR="00DC5B39">
          <w:rPr>
            <w:noProof/>
            <w:webHidden/>
          </w:rPr>
          <w:fldChar w:fldCharType="separate"/>
        </w:r>
        <w:r w:rsidR="00AE6CBD">
          <w:rPr>
            <w:noProof/>
            <w:webHidden/>
          </w:rPr>
          <w:t>7</w:t>
        </w:r>
        <w:r w:rsidR="00DC5B39">
          <w:rPr>
            <w:noProof/>
            <w:webHidden/>
          </w:rPr>
          <w:fldChar w:fldCharType="end"/>
        </w:r>
      </w:hyperlink>
    </w:p>
    <w:p w:rsidR="00DC5B39" w:rsidRDefault="0074313C">
      <w:pPr>
        <w:pStyle w:val="TOC2"/>
        <w:tabs>
          <w:tab w:val="right" w:leader="dot" w:pos="9440"/>
        </w:tabs>
        <w:rPr>
          <w:rFonts w:asciiTheme="minorHAnsi" w:eastAsiaTheme="minorEastAsia" w:hAnsiTheme="minorHAnsi" w:cstheme="minorBidi"/>
          <w:noProof/>
          <w:lang w:eastAsia="en-US"/>
        </w:rPr>
      </w:pPr>
      <w:hyperlink w:anchor="_Toc483207967" w:history="1">
        <w:r w:rsidR="00DC5B39" w:rsidRPr="00CE4B28">
          <w:rPr>
            <w:rStyle w:val="Hyperlink"/>
            <w:rFonts w:eastAsia="Calibri"/>
            <w:noProof/>
          </w:rPr>
          <w:t>Summary of FYs 2016 - 2018 FTEs and Funding by Bureaus and Offices</w:t>
        </w:r>
        <w:r w:rsidR="00DC5B39">
          <w:rPr>
            <w:noProof/>
            <w:webHidden/>
          </w:rPr>
          <w:tab/>
        </w:r>
        <w:r w:rsidR="00DC5B39">
          <w:rPr>
            <w:noProof/>
            <w:webHidden/>
          </w:rPr>
          <w:fldChar w:fldCharType="begin"/>
        </w:r>
        <w:r w:rsidR="00DC5B39">
          <w:rPr>
            <w:noProof/>
            <w:webHidden/>
          </w:rPr>
          <w:instrText xml:space="preserve"> PAGEREF _Toc483207967 \h </w:instrText>
        </w:r>
        <w:r w:rsidR="00DC5B39">
          <w:rPr>
            <w:noProof/>
            <w:webHidden/>
          </w:rPr>
        </w:r>
        <w:r w:rsidR="00DC5B39">
          <w:rPr>
            <w:noProof/>
            <w:webHidden/>
          </w:rPr>
          <w:fldChar w:fldCharType="separate"/>
        </w:r>
        <w:r w:rsidR="00AE6CBD">
          <w:rPr>
            <w:noProof/>
            <w:webHidden/>
          </w:rPr>
          <w:t>8</w:t>
        </w:r>
        <w:r w:rsidR="00DC5B39">
          <w:rPr>
            <w:noProof/>
            <w:webHidden/>
          </w:rPr>
          <w:fldChar w:fldCharType="end"/>
        </w:r>
      </w:hyperlink>
    </w:p>
    <w:p w:rsidR="00DC5B39" w:rsidRDefault="0074313C">
      <w:pPr>
        <w:pStyle w:val="TOC2"/>
        <w:tabs>
          <w:tab w:val="right" w:leader="dot" w:pos="9440"/>
        </w:tabs>
        <w:rPr>
          <w:rFonts w:asciiTheme="minorHAnsi" w:eastAsiaTheme="minorEastAsia" w:hAnsiTheme="minorHAnsi" w:cstheme="minorBidi"/>
          <w:noProof/>
          <w:lang w:eastAsia="en-US"/>
        </w:rPr>
      </w:pPr>
      <w:hyperlink w:anchor="_Toc483207968" w:history="1">
        <w:r w:rsidR="00DC5B39" w:rsidRPr="00CE4B28">
          <w:rPr>
            <w:rStyle w:val="Hyperlink"/>
            <w:noProof/>
          </w:rPr>
          <w:t>FTEs - Historical and Estimated</w:t>
        </w:r>
        <w:r w:rsidR="00DC5B39">
          <w:rPr>
            <w:noProof/>
            <w:webHidden/>
          </w:rPr>
          <w:tab/>
        </w:r>
        <w:r w:rsidR="00DC5B39">
          <w:rPr>
            <w:noProof/>
            <w:webHidden/>
          </w:rPr>
          <w:fldChar w:fldCharType="begin"/>
        </w:r>
        <w:r w:rsidR="00DC5B39">
          <w:rPr>
            <w:noProof/>
            <w:webHidden/>
          </w:rPr>
          <w:instrText xml:space="preserve"> PAGEREF _Toc483207968 \h </w:instrText>
        </w:r>
        <w:r w:rsidR="00DC5B39">
          <w:rPr>
            <w:noProof/>
            <w:webHidden/>
          </w:rPr>
        </w:r>
        <w:r w:rsidR="00DC5B39">
          <w:rPr>
            <w:noProof/>
            <w:webHidden/>
          </w:rPr>
          <w:fldChar w:fldCharType="separate"/>
        </w:r>
        <w:r w:rsidR="00AE6CBD">
          <w:rPr>
            <w:noProof/>
            <w:webHidden/>
          </w:rPr>
          <w:t>9</w:t>
        </w:r>
        <w:r w:rsidR="00DC5B39">
          <w:rPr>
            <w:noProof/>
            <w:webHidden/>
          </w:rPr>
          <w:fldChar w:fldCharType="end"/>
        </w:r>
      </w:hyperlink>
    </w:p>
    <w:p w:rsidR="00DC5B39" w:rsidRDefault="0074313C">
      <w:pPr>
        <w:pStyle w:val="TOC2"/>
        <w:tabs>
          <w:tab w:val="right" w:leader="dot" w:pos="9440"/>
        </w:tabs>
        <w:rPr>
          <w:rFonts w:asciiTheme="minorHAnsi" w:eastAsiaTheme="minorEastAsia" w:hAnsiTheme="minorHAnsi" w:cstheme="minorBidi"/>
          <w:noProof/>
          <w:lang w:eastAsia="en-US"/>
        </w:rPr>
      </w:pPr>
      <w:hyperlink w:anchor="_Toc483207969" w:history="1">
        <w:r w:rsidR="00DC5B39" w:rsidRPr="00CE4B28">
          <w:rPr>
            <w:rStyle w:val="Hyperlink"/>
            <w:rFonts w:eastAsia="Calibri"/>
            <w:noProof/>
          </w:rPr>
          <w:t>Summary of Changes - Regulatory Fees (Offsetting Collections)</w:t>
        </w:r>
        <w:r w:rsidR="00DC5B39">
          <w:rPr>
            <w:noProof/>
            <w:webHidden/>
          </w:rPr>
          <w:tab/>
        </w:r>
        <w:r w:rsidR="00DC5B39">
          <w:rPr>
            <w:noProof/>
            <w:webHidden/>
          </w:rPr>
          <w:fldChar w:fldCharType="begin"/>
        </w:r>
        <w:r w:rsidR="00DC5B39">
          <w:rPr>
            <w:noProof/>
            <w:webHidden/>
          </w:rPr>
          <w:instrText xml:space="preserve"> PAGEREF _Toc483207969 \h </w:instrText>
        </w:r>
        <w:r w:rsidR="00DC5B39">
          <w:rPr>
            <w:noProof/>
            <w:webHidden/>
          </w:rPr>
        </w:r>
        <w:r w:rsidR="00DC5B39">
          <w:rPr>
            <w:noProof/>
            <w:webHidden/>
          </w:rPr>
          <w:fldChar w:fldCharType="separate"/>
        </w:r>
        <w:r w:rsidR="00AE6CBD">
          <w:rPr>
            <w:noProof/>
            <w:webHidden/>
          </w:rPr>
          <w:t>10</w:t>
        </w:r>
        <w:r w:rsidR="00DC5B39">
          <w:rPr>
            <w:noProof/>
            <w:webHidden/>
          </w:rPr>
          <w:fldChar w:fldCharType="end"/>
        </w:r>
      </w:hyperlink>
    </w:p>
    <w:p w:rsidR="00DC5B39" w:rsidRDefault="0074313C">
      <w:pPr>
        <w:pStyle w:val="TOC2"/>
        <w:tabs>
          <w:tab w:val="right" w:leader="dot" w:pos="9440"/>
        </w:tabs>
        <w:rPr>
          <w:rFonts w:asciiTheme="minorHAnsi" w:eastAsiaTheme="minorEastAsia" w:hAnsiTheme="minorHAnsi" w:cstheme="minorBidi"/>
          <w:noProof/>
          <w:lang w:eastAsia="en-US"/>
        </w:rPr>
      </w:pPr>
      <w:hyperlink w:anchor="_Toc483207970" w:history="1">
        <w:r w:rsidR="00DC5B39" w:rsidRPr="00CE4B28">
          <w:rPr>
            <w:rStyle w:val="Hyperlink"/>
            <w:noProof/>
          </w:rPr>
          <w:t>Narrative Explanation of Changes - Salaries and Expenses - Regulatory Fees</w:t>
        </w:r>
        <w:r w:rsidR="00DC5B39">
          <w:rPr>
            <w:noProof/>
            <w:webHidden/>
          </w:rPr>
          <w:tab/>
        </w:r>
        <w:r w:rsidR="00DC5B39">
          <w:rPr>
            <w:noProof/>
            <w:webHidden/>
          </w:rPr>
          <w:fldChar w:fldCharType="begin"/>
        </w:r>
        <w:r w:rsidR="00DC5B39">
          <w:rPr>
            <w:noProof/>
            <w:webHidden/>
          </w:rPr>
          <w:instrText xml:space="preserve"> PAGEREF _Toc483207970 \h </w:instrText>
        </w:r>
        <w:r w:rsidR="00DC5B39">
          <w:rPr>
            <w:noProof/>
            <w:webHidden/>
          </w:rPr>
        </w:r>
        <w:r w:rsidR="00DC5B39">
          <w:rPr>
            <w:noProof/>
            <w:webHidden/>
          </w:rPr>
          <w:fldChar w:fldCharType="separate"/>
        </w:r>
        <w:r w:rsidR="00AE6CBD">
          <w:rPr>
            <w:noProof/>
            <w:webHidden/>
          </w:rPr>
          <w:t>11</w:t>
        </w:r>
        <w:r w:rsidR="00DC5B39">
          <w:rPr>
            <w:noProof/>
            <w:webHidden/>
          </w:rPr>
          <w:fldChar w:fldCharType="end"/>
        </w:r>
      </w:hyperlink>
    </w:p>
    <w:p w:rsidR="00DC5B39" w:rsidRDefault="0074313C">
      <w:pPr>
        <w:pStyle w:val="TOC2"/>
        <w:tabs>
          <w:tab w:val="right" w:leader="dot" w:pos="9440"/>
        </w:tabs>
        <w:rPr>
          <w:rFonts w:asciiTheme="minorHAnsi" w:eastAsiaTheme="minorEastAsia" w:hAnsiTheme="minorHAnsi" w:cstheme="minorBidi"/>
          <w:noProof/>
          <w:lang w:eastAsia="en-US"/>
        </w:rPr>
      </w:pPr>
      <w:hyperlink w:anchor="_Toc483207971" w:history="1">
        <w:r w:rsidR="00DC5B39" w:rsidRPr="00CE4B28">
          <w:rPr>
            <w:rStyle w:val="Hyperlink"/>
            <w:noProof/>
          </w:rPr>
          <w:t>Status of FCC Headquarters Move/Restack</w:t>
        </w:r>
        <w:r w:rsidR="00DC5B39">
          <w:rPr>
            <w:noProof/>
            <w:webHidden/>
          </w:rPr>
          <w:tab/>
        </w:r>
        <w:r w:rsidR="00DC5B39">
          <w:rPr>
            <w:noProof/>
            <w:webHidden/>
          </w:rPr>
          <w:fldChar w:fldCharType="begin"/>
        </w:r>
        <w:r w:rsidR="00DC5B39">
          <w:rPr>
            <w:noProof/>
            <w:webHidden/>
          </w:rPr>
          <w:instrText xml:space="preserve"> PAGEREF _Toc483207971 \h </w:instrText>
        </w:r>
        <w:r w:rsidR="00DC5B39">
          <w:rPr>
            <w:noProof/>
            <w:webHidden/>
          </w:rPr>
        </w:r>
        <w:r w:rsidR="00DC5B39">
          <w:rPr>
            <w:noProof/>
            <w:webHidden/>
          </w:rPr>
          <w:fldChar w:fldCharType="separate"/>
        </w:r>
        <w:r w:rsidR="00AE6CBD">
          <w:rPr>
            <w:noProof/>
            <w:webHidden/>
          </w:rPr>
          <w:t>15</w:t>
        </w:r>
        <w:r w:rsidR="00DC5B39">
          <w:rPr>
            <w:noProof/>
            <w:webHidden/>
          </w:rPr>
          <w:fldChar w:fldCharType="end"/>
        </w:r>
      </w:hyperlink>
    </w:p>
    <w:p w:rsidR="00DC5B39" w:rsidRDefault="0074313C">
      <w:pPr>
        <w:pStyle w:val="TOC2"/>
        <w:tabs>
          <w:tab w:val="right" w:leader="dot" w:pos="9440"/>
        </w:tabs>
        <w:rPr>
          <w:rFonts w:asciiTheme="minorHAnsi" w:eastAsiaTheme="minorEastAsia" w:hAnsiTheme="minorHAnsi" w:cstheme="minorBidi"/>
          <w:noProof/>
          <w:lang w:eastAsia="en-US"/>
        </w:rPr>
      </w:pPr>
      <w:hyperlink w:anchor="_Toc483207972" w:history="1">
        <w:r w:rsidR="00DC5B39" w:rsidRPr="00CE4B28">
          <w:rPr>
            <w:rStyle w:val="Hyperlink"/>
            <w:noProof/>
          </w:rPr>
          <w:t>Spectrum Auctions Program - Explanation of Requested Change</w:t>
        </w:r>
        <w:r w:rsidR="00DC5B39">
          <w:rPr>
            <w:noProof/>
            <w:webHidden/>
          </w:rPr>
          <w:tab/>
        </w:r>
        <w:r w:rsidR="00DC5B39">
          <w:rPr>
            <w:noProof/>
            <w:webHidden/>
          </w:rPr>
          <w:fldChar w:fldCharType="begin"/>
        </w:r>
        <w:r w:rsidR="00DC5B39">
          <w:rPr>
            <w:noProof/>
            <w:webHidden/>
          </w:rPr>
          <w:instrText xml:space="preserve"> PAGEREF _Toc483207972 \h </w:instrText>
        </w:r>
        <w:r w:rsidR="00DC5B39">
          <w:rPr>
            <w:noProof/>
            <w:webHidden/>
          </w:rPr>
        </w:r>
        <w:r w:rsidR="00DC5B39">
          <w:rPr>
            <w:noProof/>
            <w:webHidden/>
          </w:rPr>
          <w:fldChar w:fldCharType="separate"/>
        </w:r>
        <w:r w:rsidR="00AE6CBD">
          <w:rPr>
            <w:noProof/>
            <w:webHidden/>
          </w:rPr>
          <w:t>17</w:t>
        </w:r>
        <w:r w:rsidR="00DC5B39">
          <w:rPr>
            <w:noProof/>
            <w:webHidden/>
          </w:rPr>
          <w:fldChar w:fldCharType="end"/>
        </w:r>
      </w:hyperlink>
    </w:p>
    <w:p w:rsidR="00DC5B39" w:rsidRDefault="0074313C">
      <w:pPr>
        <w:pStyle w:val="TOC2"/>
        <w:tabs>
          <w:tab w:val="right" w:leader="dot" w:pos="9440"/>
        </w:tabs>
        <w:rPr>
          <w:rFonts w:asciiTheme="minorHAnsi" w:eastAsiaTheme="minorEastAsia" w:hAnsiTheme="minorHAnsi" w:cstheme="minorBidi"/>
          <w:noProof/>
          <w:lang w:eastAsia="en-US"/>
        </w:rPr>
      </w:pPr>
      <w:hyperlink w:anchor="_Toc483207973" w:history="1">
        <w:r w:rsidR="00DC5B39" w:rsidRPr="00CE4B28">
          <w:rPr>
            <w:rStyle w:val="Hyperlink"/>
            <w:noProof/>
          </w:rPr>
          <w:t>Spectrum Auctions Program</w:t>
        </w:r>
        <w:r w:rsidR="00DC5B39">
          <w:rPr>
            <w:noProof/>
            <w:webHidden/>
          </w:rPr>
          <w:tab/>
        </w:r>
        <w:r w:rsidR="00DC5B39">
          <w:rPr>
            <w:noProof/>
            <w:webHidden/>
          </w:rPr>
          <w:fldChar w:fldCharType="begin"/>
        </w:r>
        <w:r w:rsidR="00DC5B39">
          <w:rPr>
            <w:noProof/>
            <w:webHidden/>
          </w:rPr>
          <w:instrText xml:space="preserve"> PAGEREF _Toc483207973 \h </w:instrText>
        </w:r>
        <w:r w:rsidR="00DC5B39">
          <w:rPr>
            <w:noProof/>
            <w:webHidden/>
          </w:rPr>
        </w:r>
        <w:r w:rsidR="00DC5B39">
          <w:rPr>
            <w:noProof/>
            <w:webHidden/>
          </w:rPr>
          <w:fldChar w:fldCharType="separate"/>
        </w:r>
        <w:r w:rsidR="00AE6CBD">
          <w:rPr>
            <w:noProof/>
            <w:webHidden/>
          </w:rPr>
          <w:t>18</w:t>
        </w:r>
        <w:r w:rsidR="00DC5B39">
          <w:rPr>
            <w:noProof/>
            <w:webHidden/>
          </w:rPr>
          <w:fldChar w:fldCharType="end"/>
        </w:r>
      </w:hyperlink>
    </w:p>
    <w:p w:rsidR="00DC5B39" w:rsidRDefault="0074313C">
      <w:pPr>
        <w:pStyle w:val="TOC2"/>
        <w:tabs>
          <w:tab w:val="right" w:leader="dot" w:pos="9440"/>
        </w:tabs>
        <w:rPr>
          <w:rFonts w:asciiTheme="minorHAnsi" w:eastAsiaTheme="minorEastAsia" w:hAnsiTheme="minorHAnsi" w:cstheme="minorBidi"/>
          <w:noProof/>
          <w:lang w:eastAsia="en-US"/>
        </w:rPr>
      </w:pPr>
      <w:hyperlink w:anchor="_Toc483207974" w:history="1">
        <w:r w:rsidR="00DC5B39" w:rsidRPr="00CE4B28">
          <w:rPr>
            <w:rStyle w:val="Hyperlink"/>
            <w:noProof/>
          </w:rPr>
          <w:t>Spectrum Auctions Activities</w:t>
        </w:r>
        <w:r w:rsidR="00DC5B39">
          <w:rPr>
            <w:noProof/>
            <w:webHidden/>
          </w:rPr>
          <w:tab/>
        </w:r>
        <w:r w:rsidR="00DC5B39">
          <w:rPr>
            <w:noProof/>
            <w:webHidden/>
          </w:rPr>
          <w:fldChar w:fldCharType="begin"/>
        </w:r>
        <w:r w:rsidR="00DC5B39">
          <w:rPr>
            <w:noProof/>
            <w:webHidden/>
          </w:rPr>
          <w:instrText xml:space="preserve"> PAGEREF _Toc483207974 \h </w:instrText>
        </w:r>
        <w:r w:rsidR="00DC5B39">
          <w:rPr>
            <w:noProof/>
            <w:webHidden/>
          </w:rPr>
        </w:r>
        <w:r w:rsidR="00DC5B39">
          <w:rPr>
            <w:noProof/>
            <w:webHidden/>
          </w:rPr>
          <w:fldChar w:fldCharType="separate"/>
        </w:r>
        <w:r w:rsidR="00AE6CBD">
          <w:rPr>
            <w:noProof/>
            <w:webHidden/>
          </w:rPr>
          <w:t>23</w:t>
        </w:r>
        <w:r w:rsidR="00DC5B39">
          <w:rPr>
            <w:noProof/>
            <w:webHidden/>
          </w:rPr>
          <w:fldChar w:fldCharType="end"/>
        </w:r>
      </w:hyperlink>
    </w:p>
    <w:p w:rsidR="00DC5B39" w:rsidRDefault="0074313C">
      <w:pPr>
        <w:pStyle w:val="TOC2"/>
        <w:tabs>
          <w:tab w:val="right" w:leader="dot" w:pos="9440"/>
        </w:tabs>
        <w:rPr>
          <w:rFonts w:asciiTheme="minorHAnsi" w:eastAsiaTheme="minorEastAsia" w:hAnsiTheme="minorHAnsi" w:cstheme="minorBidi"/>
          <w:noProof/>
          <w:lang w:eastAsia="en-US"/>
        </w:rPr>
      </w:pPr>
      <w:hyperlink w:anchor="_Toc483207975" w:history="1">
        <w:r w:rsidR="00DC5B39" w:rsidRPr="00CE4B28">
          <w:rPr>
            <w:rStyle w:val="Hyperlink"/>
            <w:noProof/>
          </w:rPr>
          <w:t>Summary of Distribution of Resources - Spectrum Auctions Program</w:t>
        </w:r>
        <w:r w:rsidR="00DC5B39">
          <w:rPr>
            <w:noProof/>
            <w:webHidden/>
          </w:rPr>
          <w:tab/>
        </w:r>
        <w:r w:rsidR="00DC5B39">
          <w:rPr>
            <w:noProof/>
            <w:webHidden/>
          </w:rPr>
          <w:fldChar w:fldCharType="begin"/>
        </w:r>
        <w:r w:rsidR="00DC5B39">
          <w:rPr>
            <w:noProof/>
            <w:webHidden/>
          </w:rPr>
          <w:instrText xml:space="preserve"> PAGEREF _Toc483207975 \h </w:instrText>
        </w:r>
        <w:r w:rsidR="00DC5B39">
          <w:rPr>
            <w:noProof/>
            <w:webHidden/>
          </w:rPr>
        </w:r>
        <w:r w:rsidR="00DC5B39">
          <w:rPr>
            <w:noProof/>
            <w:webHidden/>
          </w:rPr>
          <w:fldChar w:fldCharType="separate"/>
        </w:r>
        <w:r w:rsidR="00AE6CBD">
          <w:rPr>
            <w:noProof/>
            <w:webHidden/>
          </w:rPr>
          <w:t>24</w:t>
        </w:r>
        <w:r w:rsidR="00DC5B39">
          <w:rPr>
            <w:noProof/>
            <w:webHidden/>
          </w:rPr>
          <w:fldChar w:fldCharType="end"/>
        </w:r>
      </w:hyperlink>
    </w:p>
    <w:p w:rsidR="00DC5B39" w:rsidRDefault="0074313C">
      <w:pPr>
        <w:pStyle w:val="TOC2"/>
        <w:tabs>
          <w:tab w:val="right" w:leader="dot" w:pos="9440"/>
        </w:tabs>
        <w:rPr>
          <w:rFonts w:asciiTheme="minorHAnsi" w:eastAsiaTheme="minorEastAsia" w:hAnsiTheme="minorHAnsi" w:cstheme="minorBidi"/>
          <w:noProof/>
          <w:lang w:eastAsia="en-US"/>
        </w:rPr>
      </w:pPr>
      <w:hyperlink w:anchor="_Toc483207976" w:history="1">
        <w:r w:rsidR="00DC5B39" w:rsidRPr="00CE4B28">
          <w:rPr>
            <w:rStyle w:val="Hyperlink"/>
            <w:noProof/>
          </w:rPr>
          <w:t>Spectrum Auctions Expenditures Report</w:t>
        </w:r>
        <w:r w:rsidR="00DC5B39">
          <w:rPr>
            <w:noProof/>
            <w:webHidden/>
          </w:rPr>
          <w:tab/>
        </w:r>
        <w:r w:rsidR="00DC5B39">
          <w:rPr>
            <w:noProof/>
            <w:webHidden/>
          </w:rPr>
          <w:fldChar w:fldCharType="begin"/>
        </w:r>
        <w:r w:rsidR="00DC5B39">
          <w:rPr>
            <w:noProof/>
            <w:webHidden/>
          </w:rPr>
          <w:instrText xml:space="preserve"> PAGEREF _Toc483207976 \h </w:instrText>
        </w:r>
        <w:r w:rsidR="00DC5B39">
          <w:rPr>
            <w:noProof/>
            <w:webHidden/>
          </w:rPr>
        </w:r>
        <w:r w:rsidR="00DC5B39">
          <w:rPr>
            <w:noProof/>
            <w:webHidden/>
          </w:rPr>
          <w:fldChar w:fldCharType="separate"/>
        </w:r>
        <w:r w:rsidR="00AE6CBD">
          <w:rPr>
            <w:noProof/>
            <w:webHidden/>
          </w:rPr>
          <w:t>25</w:t>
        </w:r>
        <w:r w:rsidR="00DC5B39">
          <w:rPr>
            <w:noProof/>
            <w:webHidden/>
          </w:rPr>
          <w:fldChar w:fldCharType="end"/>
        </w:r>
      </w:hyperlink>
    </w:p>
    <w:p w:rsidR="00DC5B39" w:rsidRDefault="0074313C">
      <w:pPr>
        <w:pStyle w:val="TOC2"/>
        <w:tabs>
          <w:tab w:val="right" w:leader="dot" w:pos="9440"/>
        </w:tabs>
        <w:rPr>
          <w:rFonts w:asciiTheme="minorHAnsi" w:eastAsiaTheme="minorEastAsia" w:hAnsiTheme="minorHAnsi" w:cstheme="minorBidi"/>
          <w:noProof/>
          <w:lang w:eastAsia="en-US"/>
        </w:rPr>
      </w:pPr>
      <w:hyperlink w:anchor="_Toc483207977" w:history="1">
        <w:r w:rsidR="00DC5B39" w:rsidRPr="00CE4B28">
          <w:rPr>
            <w:rStyle w:val="Hyperlink"/>
            <w:rFonts w:eastAsia="Calibri"/>
            <w:noProof/>
          </w:rPr>
          <w:t>FTEs by Resource Category</w:t>
        </w:r>
        <w:r w:rsidR="00DC5B39">
          <w:rPr>
            <w:noProof/>
            <w:webHidden/>
          </w:rPr>
          <w:tab/>
        </w:r>
        <w:r w:rsidR="00DC5B39">
          <w:rPr>
            <w:noProof/>
            <w:webHidden/>
          </w:rPr>
          <w:fldChar w:fldCharType="begin"/>
        </w:r>
        <w:r w:rsidR="00DC5B39">
          <w:rPr>
            <w:noProof/>
            <w:webHidden/>
          </w:rPr>
          <w:instrText xml:space="preserve"> PAGEREF _Toc483207977 \h </w:instrText>
        </w:r>
        <w:r w:rsidR="00DC5B39">
          <w:rPr>
            <w:noProof/>
            <w:webHidden/>
          </w:rPr>
        </w:r>
        <w:r w:rsidR="00DC5B39">
          <w:rPr>
            <w:noProof/>
            <w:webHidden/>
          </w:rPr>
          <w:fldChar w:fldCharType="separate"/>
        </w:r>
        <w:r w:rsidR="00AE6CBD">
          <w:rPr>
            <w:noProof/>
            <w:webHidden/>
          </w:rPr>
          <w:t>27</w:t>
        </w:r>
        <w:r w:rsidR="00DC5B39">
          <w:rPr>
            <w:noProof/>
            <w:webHidden/>
          </w:rPr>
          <w:fldChar w:fldCharType="end"/>
        </w:r>
      </w:hyperlink>
    </w:p>
    <w:p w:rsidR="00DC5B39" w:rsidRDefault="0074313C">
      <w:pPr>
        <w:pStyle w:val="TOC2"/>
        <w:tabs>
          <w:tab w:val="right" w:leader="dot" w:pos="9440"/>
        </w:tabs>
        <w:rPr>
          <w:rFonts w:asciiTheme="minorHAnsi" w:eastAsiaTheme="minorEastAsia" w:hAnsiTheme="minorHAnsi" w:cstheme="minorBidi"/>
          <w:noProof/>
          <w:lang w:eastAsia="en-US"/>
        </w:rPr>
      </w:pPr>
      <w:hyperlink w:anchor="_Toc483207978" w:history="1">
        <w:r w:rsidR="00DC5B39" w:rsidRPr="00CE4B28">
          <w:rPr>
            <w:rStyle w:val="Hyperlink"/>
            <w:noProof/>
          </w:rPr>
          <w:t>Spectrum Auctions and Collections</w:t>
        </w:r>
        <w:r w:rsidR="00DC5B39">
          <w:rPr>
            <w:noProof/>
            <w:webHidden/>
          </w:rPr>
          <w:tab/>
        </w:r>
        <w:r w:rsidR="00DC5B39">
          <w:rPr>
            <w:noProof/>
            <w:webHidden/>
          </w:rPr>
          <w:fldChar w:fldCharType="begin"/>
        </w:r>
        <w:r w:rsidR="00DC5B39">
          <w:rPr>
            <w:noProof/>
            <w:webHidden/>
          </w:rPr>
          <w:instrText xml:space="preserve"> PAGEREF _Toc483207978 \h </w:instrText>
        </w:r>
        <w:r w:rsidR="00DC5B39">
          <w:rPr>
            <w:noProof/>
            <w:webHidden/>
          </w:rPr>
        </w:r>
        <w:r w:rsidR="00DC5B39">
          <w:rPr>
            <w:noProof/>
            <w:webHidden/>
          </w:rPr>
          <w:fldChar w:fldCharType="separate"/>
        </w:r>
        <w:r w:rsidR="00AE6CBD">
          <w:rPr>
            <w:noProof/>
            <w:webHidden/>
          </w:rPr>
          <w:t>28</w:t>
        </w:r>
        <w:r w:rsidR="00DC5B39">
          <w:rPr>
            <w:noProof/>
            <w:webHidden/>
          </w:rPr>
          <w:fldChar w:fldCharType="end"/>
        </w:r>
      </w:hyperlink>
    </w:p>
    <w:p w:rsidR="00DC5B39" w:rsidRDefault="0074313C">
      <w:pPr>
        <w:pStyle w:val="TOC2"/>
        <w:tabs>
          <w:tab w:val="right" w:leader="dot" w:pos="9440"/>
        </w:tabs>
        <w:rPr>
          <w:rFonts w:asciiTheme="minorHAnsi" w:eastAsiaTheme="minorEastAsia" w:hAnsiTheme="minorHAnsi" w:cstheme="minorBidi"/>
          <w:noProof/>
          <w:lang w:eastAsia="en-US"/>
        </w:rPr>
      </w:pPr>
      <w:hyperlink w:anchor="_Toc483207979" w:history="1">
        <w:r w:rsidR="00DC5B39" w:rsidRPr="00CE4B28">
          <w:rPr>
            <w:rStyle w:val="Hyperlink"/>
            <w:noProof/>
          </w:rPr>
          <w:t>Spectrum Auctions Program – Collections vs. Expenditures</w:t>
        </w:r>
        <w:r w:rsidR="00DC5B39">
          <w:rPr>
            <w:noProof/>
            <w:webHidden/>
          </w:rPr>
          <w:tab/>
        </w:r>
        <w:r w:rsidR="00DC5B39">
          <w:rPr>
            <w:noProof/>
            <w:webHidden/>
          </w:rPr>
          <w:fldChar w:fldCharType="begin"/>
        </w:r>
        <w:r w:rsidR="00DC5B39">
          <w:rPr>
            <w:noProof/>
            <w:webHidden/>
          </w:rPr>
          <w:instrText xml:space="preserve"> PAGEREF _Toc483207979 \h </w:instrText>
        </w:r>
        <w:r w:rsidR="00DC5B39">
          <w:rPr>
            <w:noProof/>
            <w:webHidden/>
          </w:rPr>
        </w:r>
        <w:r w:rsidR="00DC5B39">
          <w:rPr>
            <w:noProof/>
            <w:webHidden/>
          </w:rPr>
          <w:fldChar w:fldCharType="separate"/>
        </w:r>
        <w:r w:rsidR="00AE6CBD">
          <w:rPr>
            <w:noProof/>
            <w:webHidden/>
          </w:rPr>
          <w:t>28</w:t>
        </w:r>
        <w:r w:rsidR="00DC5B39">
          <w:rPr>
            <w:noProof/>
            <w:webHidden/>
          </w:rPr>
          <w:fldChar w:fldCharType="end"/>
        </w:r>
      </w:hyperlink>
    </w:p>
    <w:p w:rsidR="009E4E64" w:rsidRDefault="00472983" w:rsidP="008307E3">
      <w:pPr>
        <w:pStyle w:val="TOC2"/>
        <w:tabs>
          <w:tab w:val="right" w:leader="dot" w:pos="9926"/>
        </w:tabs>
        <w:rPr>
          <w:rFonts w:eastAsia="Times New Roman"/>
          <w:sz w:val="32"/>
          <w:szCs w:val="32"/>
        </w:rPr>
      </w:pPr>
      <w:r>
        <w:rPr>
          <w:b/>
          <w:sz w:val="28"/>
        </w:rPr>
        <w:fldChar w:fldCharType="end"/>
      </w:r>
    </w:p>
    <w:p w:rsidR="00947CCF" w:rsidRDefault="00947CCF" w:rsidP="009E4E64">
      <w:pPr>
        <w:rPr>
          <w:rFonts w:ascii="Times New Roman" w:eastAsia="Times New Roman" w:hAnsi="Times New Roman"/>
          <w:sz w:val="32"/>
          <w:szCs w:val="32"/>
        </w:rPr>
      </w:pPr>
    </w:p>
    <w:p w:rsidR="00947CCF" w:rsidRPr="00947CCF" w:rsidRDefault="00947CCF" w:rsidP="00947CCF">
      <w:pPr>
        <w:tabs>
          <w:tab w:val="left" w:pos="3465"/>
        </w:tabs>
        <w:rPr>
          <w:rFonts w:ascii="Times New Roman" w:eastAsia="Times New Roman" w:hAnsi="Times New Roman"/>
          <w:sz w:val="32"/>
          <w:szCs w:val="32"/>
        </w:rPr>
      </w:pPr>
      <w:r>
        <w:rPr>
          <w:rFonts w:ascii="Times New Roman" w:eastAsia="Times New Roman" w:hAnsi="Times New Roman"/>
          <w:sz w:val="32"/>
          <w:szCs w:val="32"/>
        </w:rPr>
        <w:tab/>
      </w:r>
    </w:p>
    <w:p w:rsidR="00E334BD" w:rsidRDefault="00947CCF" w:rsidP="00947CCF">
      <w:pPr>
        <w:tabs>
          <w:tab w:val="left" w:pos="3465"/>
        </w:tabs>
        <w:rPr>
          <w:rFonts w:ascii="Times New Roman" w:eastAsia="Times New Roman" w:hAnsi="Times New Roman"/>
          <w:sz w:val="32"/>
          <w:szCs w:val="32"/>
        </w:rPr>
      </w:pPr>
      <w:r>
        <w:rPr>
          <w:rFonts w:ascii="Times New Roman" w:eastAsia="Times New Roman" w:hAnsi="Times New Roman"/>
          <w:sz w:val="32"/>
          <w:szCs w:val="32"/>
        </w:rPr>
        <w:tab/>
      </w:r>
    </w:p>
    <w:p w:rsidR="00E334BD" w:rsidRPr="00E334BD" w:rsidRDefault="00E334BD" w:rsidP="00E334BD">
      <w:pPr>
        <w:rPr>
          <w:rFonts w:ascii="Times New Roman" w:eastAsia="Times New Roman" w:hAnsi="Times New Roman"/>
          <w:sz w:val="32"/>
          <w:szCs w:val="32"/>
        </w:rPr>
      </w:pPr>
    </w:p>
    <w:p w:rsidR="00E334BD" w:rsidRPr="00E334BD" w:rsidRDefault="00E334BD" w:rsidP="00E334BD">
      <w:pPr>
        <w:rPr>
          <w:rFonts w:ascii="Times New Roman" w:eastAsia="Times New Roman" w:hAnsi="Times New Roman"/>
          <w:sz w:val="32"/>
          <w:szCs w:val="32"/>
        </w:rPr>
      </w:pPr>
    </w:p>
    <w:p w:rsidR="00E334BD" w:rsidRPr="00E334BD" w:rsidRDefault="00E334BD" w:rsidP="00E334BD">
      <w:pPr>
        <w:rPr>
          <w:rFonts w:ascii="Times New Roman" w:eastAsia="Times New Roman" w:hAnsi="Times New Roman"/>
          <w:sz w:val="32"/>
          <w:szCs w:val="32"/>
        </w:rPr>
      </w:pPr>
    </w:p>
    <w:p w:rsidR="00E334BD" w:rsidRPr="00E334BD" w:rsidRDefault="00E334BD" w:rsidP="00E334BD">
      <w:pPr>
        <w:rPr>
          <w:rFonts w:ascii="Times New Roman" w:eastAsia="Times New Roman" w:hAnsi="Times New Roman"/>
          <w:sz w:val="32"/>
          <w:szCs w:val="32"/>
        </w:rPr>
      </w:pPr>
    </w:p>
    <w:p w:rsidR="00E334BD" w:rsidRDefault="00E334BD" w:rsidP="00E334BD">
      <w:pPr>
        <w:rPr>
          <w:rFonts w:ascii="Times New Roman" w:eastAsia="Times New Roman" w:hAnsi="Times New Roman"/>
          <w:sz w:val="32"/>
          <w:szCs w:val="32"/>
        </w:rPr>
      </w:pPr>
    </w:p>
    <w:p w:rsidR="008307E3" w:rsidRPr="00E334BD" w:rsidRDefault="00E334BD" w:rsidP="00E334BD">
      <w:pPr>
        <w:tabs>
          <w:tab w:val="center" w:pos="4725"/>
        </w:tabs>
        <w:rPr>
          <w:rFonts w:ascii="Times New Roman" w:eastAsia="Times New Roman" w:hAnsi="Times New Roman"/>
          <w:sz w:val="32"/>
          <w:szCs w:val="32"/>
        </w:rPr>
        <w:sectPr w:rsidR="008307E3" w:rsidRPr="00E334BD" w:rsidSect="00DC5B39">
          <w:headerReference w:type="default" r:id="rId16"/>
          <w:footerReference w:type="default" r:id="rId17"/>
          <w:pgSz w:w="12240" w:h="15840" w:code="1"/>
          <w:pgMar w:top="1152" w:right="1350" w:bottom="1152" w:left="1440" w:header="720" w:footer="288" w:gutter="0"/>
          <w:pgNumType w:start="1"/>
          <w:cols w:space="720"/>
          <w:docGrid w:linePitch="326"/>
        </w:sectPr>
      </w:pPr>
      <w:r>
        <w:rPr>
          <w:rFonts w:ascii="Times New Roman" w:eastAsia="Times New Roman" w:hAnsi="Times New Roman"/>
          <w:sz w:val="32"/>
          <w:szCs w:val="32"/>
        </w:rPr>
        <w:tab/>
      </w:r>
    </w:p>
    <w:p w:rsidR="00DE0CE1" w:rsidRPr="00B64897" w:rsidRDefault="00DE0CE1" w:rsidP="00B64897">
      <w:pPr>
        <w:pStyle w:val="Heading2"/>
        <w:rPr>
          <w:sz w:val="28"/>
          <w:szCs w:val="28"/>
        </w:rPr>
      </w:pPr>
      <w:bookmarkStart w:id="1" w:name="_Toc483207964"/>
      <w:r w:rsidRPr="00B64897">
        <w:rPr>
          <w:sz w:val="28"/>
          <w:szCs w:val="28"/>
        </w:rPr>
        <w:lastRenderedPageBreak/>
        <w:t>I</w:t>
      </w:r>
      <w:r w:rsidR="00B664D5" w:rsidRPr="00B64897">
        <w:rPr>
          <w:sz w:val="28"/>
          <w:szCs w:val="28"/>
        </w:rPr>
        <w:t>NTRODUCTION</w:t>
      </w:r>
      <w:r w:rsidR="00D01C59" w:rsidRPr="00B64897">
        <w:rPr>
          <w:sz w:val="28"/>
          <w:szCs w:val="28"/>
        </w:rPr>
        <w:t xml:space="preserve"> </w:t>
      </w:r>
      <w:r w:rsidR="00BF2212" w:rsidRPr="00B64897">
        <w:rPr>
          <w:sz w:val="28"/>
          <w:szCs w:val="28"/>
        </w:rPr>
        <w:t>AND</w:t>
      </w:r>
      <w:r w:rsidR="00D01C59" w:rsidRPr="00B64897">
        <w:rPr>
          <w:sz w:val="28"/>
          <w:szCs w:val="28"/>
        </w:rPr>
        <w:t xml:space="preserve"> SUMMARY OF REQUEST</w:t>
      </w:r>
      <w:bookmarkEnd w:id="1"/>
    </w:p>
    <w:p w:rsidR="00B64897" w:rsidRPr="00B64897" w:rsidRDefault="00B64897" w:rsidP="00B64897">
      <w:pPr>
        <w:spacing w:after="0"/>
      </w:pPr>
    </w:p>
    <w:p w:rsidR="00961875" w:rsidRDefault="00961875" w:rsidP="00961875">
      <w:pPr>
        <w:spacing w:after="0" w:line="240" w:lineRule="auto"/>
        <w:ind w:right="36"/>
        <w:jc w:val="both"/>
        <w:rPr>
          <w:rFonts w:ascii="Times New Roman" w:hAnsi="Times New Roman"/>
          <w:color w:val="000000"/>
          <w:sz w:val="24"/>
          <w:szCs w:val="24"/>
        </w:rPr>
      </w:pPr>
      <w:r w:rsidRPr="00BC229D">
        <w:rPr>
          <w:rFonts w:ascii="Times New Roman" w:eastAsia="Times New Roman" w:hAnsi="Times New Roman"/>
          <w:sz w:val="24"/>
          <w:szCs w:val="24"/>
        </w:rPr>
        <w:t>The Federal Communications Commission (FCC or Commission) is pleased to present its fiscal year (FY) 201</w:t>
      </w:r>
      <w:r>
        <w:rPr>
          <w:rFonts w:ascii="Times New Roman" w:eastAsia="Times New Roman" w:hAnsi="Times New Roman"/>
          <w:sz w:val="24"/>
          <w:szCs w:val="24"/>
        </w:rPr>
        <w:t xml:space="preserve">8 budget request.  </w:t>
      </w:r>
      <w:r w:rsidRPr="00471019">
        <w:rPr>
          <w:rFonts w:ascii="Times New Roman" w:hAnsi="Times New Roman"/>
          <w:color w:val="000000"/>
          <w:sz w:val="24"/>
          <w:szCs w:val="24"/>
        </w:rPr>
        <w:t xml:space="preserve">The </w:t>
      </w:r>
      <w:r>
        <w:rPr>
          <w:rFonts w:ascii="Times New Roman" w:hAnsi="Times New Roman"/>
          <w:color w:val="000000"/>
          <w:sz w:val="24"/>
          <w:szCs w:val="24"/>
        </w:rPr>
        <w:t>funding request will be used to:</w:t>
      </w:r>
    </w:p>
    <w:p w:rsidR="00961875" w:rsidRPr="00471019" w:rsidRDefault="00961875" w:rsidP="00961875">
      <w:pPr>
        <w:spacing w:after="0" w:line="240" w:lineRule="auto"/>
        <w:ind w:right="36"/>
        <w:jc w:val="both"/>
        <w:rPr>
          <w:rFonts w:ascii="Times New Roman" w:eastAsia="Times New Roman" w:hAnsi="Times New Roman"/>
          <w:sz w:val="24"/>
          <w:szCs w:val="24"/>
        </w:rPr>
      </w:pPr>
    </w:p>
    <w:p w:rsidR="00961875" w:rsidRPr="00471019" w:rsidRDefault="00961875" w:rsidP="00961875">
      <w:pPr>
        <w:pStyle w:val="ListParagraph"/>
        <w:numPr>
          <w:ilvl w:val="0"/>
          <w:numId w:val="28"/>
        </w:numPr>
        <w:ind w:right="36"/>
        <w:jc w:val="both"/>
        <w:rPr>
          <w:szCs w:val="24"/>
        </w:rPr>
      </w:pPr>
      <w:r>
        <w:rPr>
          <w:color w:val="000000"/>
          <w:szCs w:val="24"/>
        </w:rPr>
        <w:t>C</w:t>
      </w:r>
      <w:r w:rsidRPr="00471019">
        <w:rPr>
          <w:color w:val="000000"/>
          <w:szCs w:val="24"/>
        </w:rPr>
        <w:t xml:space="preserve">arry out the </w:t>
      </w:r>
      <w:r>
        <w:rPr>
          <w:color w:val="000000"/>
          <w:szCs w:val="24"/>
        </w:rPr>
        <w:t xml:space="preserve">authorized mission of the </w:t>
      </w:r>
      <w:r w:rsidRPr="00471019">
        <w:rPr>
          <w:color w:val="000000"/>
          <w:szCs w:val="24"/>
        </w:rPr>
        <w:t>Commission in section 1 of the Communications Act, as amended, which states</w:t>
      </w:r>
      <w:r w:rsidR="005300D1">
        <w:rPr>
          <w:color w:val="000000"/>
          <w:szCs w:val="24"/>
        </w:rPr>
        <w:t xml:space="preserve"> that the Commission’s purpose is </w:t>
      </w:r>
      <w:r w:rsidRPr="00471019">
        <w:rPr>
          <w:color w:val="000000"/>
          <w:szCs w:val="24"/>
        </w:rPr>
        <w:t>“</w:t>
      </w:r>
      <w:r w:rsidR="005300D1">
        <w:rPr>
          <w:color w:val="000000"/>
          <w:szCs w:val="24"/>
        </w:rPr>
        <w:t>to</w:t>
      </w:r>
      <w:r w:rsidR="005300D1" w:rsidRPr="00471019">
        <w:rPr>
          <w:color w:val="000000"/>
          <w:szCs w:val="24"/>
        </w:rPr>
        <w:t xml:space="preserve"> make</w:t>
      </w:r>
      <w:r w:rsidRPr="00471019">
        <w:rPr>
          <w:color w:val="000000"/>
          <w:szCs w:val="24"/>
        </w:rPr>
        <w:t xml:space="preserve"> available, so far as possible, to all the people of the United States, without discrimination on the basis of race, color, religion, national origin, or sex, a rapid, efficient, Nation-wide, and world-wide wire and radio communication service with adequate facilities at reasonable charges.”</w:t>
      </w:r>
      <w:r w:rsidRPr="00471019">
        <w:rPr>
          <w:rStyle w:val="FootnoteReference"/>
          <w:color w:val="000000"/>
          <w:szCs w:val="24"/>
        </w:rPr>
        <w:t xml:space="preserve"> </w:t>
      </w:r>
      <w:r w:rsidRPr="0067332A">
        <w:rPr>
          <w:rStyle w:val="FootnoteReference"/>
          <w:color w:val="000000"/>
          <w:szCs w:val="24"/>
        </w:rPr>
        <w:footnoteReference w:id="1"/>
      </w:r>
      <w:r w:rsidRPr="00471019">
        <w:rPr>
          <w:color w:val="000000"/>
          <w:szCs w:val="24"/>
        </w:rPr>
        <w:t xml:space="preserve">  In addition, section 1 provides that the Commission was created “for the purpose of the national defense” and “for the purpose of promoting safety of life and property through the use of wire and radio communication.”</w:t>
      </w:r>
      <w:r w:rsidRPr="0067332A">
        <w:rPr>
          <w:rStyle w:val="FootnoteReference"/>
          <w:color w:val="000000"/>
          <w:szCs w:val="24"/>
        </w:rPr>
        <w:footnoteReference w:id="2"/>
      </w:r>
      <w:r w:rsidRPr="00471019">
        <w:rPr>
          <w:color w:val="000000"/>
          <w:szCs w:val="24"/>
        </w:rPr>
        <w:t xml:space="preserve"> </w:t>
      </w:r>
    </w:p>
    <w:p w:rsidR="00961875" w:rsidRDefault="00961875" w:rsidP="00961875">
      <w:pPr>
        <w:spacing w:after="0" w:line="240" w:lineRule="auto"/>
        <w:ind w:right="36"/>
        <w:jc w:val="both"/>
        <w:rPr>
          <w:rFonts w:ascii="Times New Roman" w:eastAsia="Times New Roman" w:hAnsi="Times New Roman"/>
          <w:sz w:val="24"/>
          <w:szCs w:val="24"/>
        </w:rPr>
      </w:pPr>
    </w:p>
    <w:p w:rsidR="00961875" w:rsidRDefault="00961875" w:rsidP="00961875">
      <w:pPr>
        <w:pStyle w:val="ListParagraph"/>
        <w:numPr>
          <w:ilvl w:val="0"/>
          <w:numId w:val="28"/>
        </w:numPr>
        <w:jc w:val="both"/>
        <w:rPr>
          <w:color w:val="000000"/>
          <w:szCs w:val="24"/>
        </w:rPr>
      </w:pPr>
      <w:r>
        <w:rPr>
          <w:color w:val="000000"/>
          <w:szCs w:val="24"/>
        </w:rPr>
        <w:t>C</w:t>
      </w:r>
      <w:r w:rsidRPr="00471019">
        <w:rPr>
          <w:color w:val="000000"/>
          <w:szCs w:val="24"/>
        </w:rPr>
        <w:t xml:space="preserve">lose the “digital divide” that currently exists </w:t>
      </w:r>
      <w:r w:rsidR="00C55D64" w:rsidRPr="00471019">
        <w:rPr>
          <w:color w:val="000000"/>
          <w:szCs w:val="24"/>
        </w:rPr>
        <w:t xml:space="preserve">across </w:t>
      </w:r>
      <w:r w:rsidR="00C55D64">
        <w:rPr>
          <w:color w:val="000000"/>
          <w:szCs w:val="24"/>
        </w:rPr>
        <w:t>the</w:t>
      </w:r>
      <w:r w:rsidR="005300D1">
        <w:rPr>
          <w:color w:val="000000"/>
          <w:szCs w:val="24"/>
        </w:rPr>
        <w:t xml:space="preserve"> United States</w:t>
      </w:r>
      <w:r w:rsidRPr="00471019">
        <w:rPr>
          <w:color w:val="000000"/>
          <w:szCs w:val="24"/>
        </w:rPr>
        <w:t xml:space="preserve">.  In FY 2017, the Commission unanimously </w:t>
      </w:r>
      <w:r>
        <w:rPr>
          <w:color w:val="000000"/>
          <w:szCs w:val="24"/>
        </w:rPr>
        <w:t>adopted</w:t>
      </w:r>
      <w:r w:rsidRPr="00471019">
        <w:rPr>
          <w:color w:val="000000"/>
          <w:szCs w:val="24"/>
        </w:rPr>
        <w:t xml:space="preserve"> two Universal Service Fund (USF) orders to address the “digital divide” in America.  These unanimous orders will provide over $6.5 billion over a 10-year period to the successful reverse auction winners to expand mobile and fixed networks in high cost areas, including Tribal Lands, through the USF High Cost programs – Mobility Fund Phase II and Connect America Fund Phase II.  In order to provide this much needed support on an equitable basis, the Commission must develop appropriate reverse auction mechanisms so that the American people receive the biggest benefit for the finite resources of </w:t>
      </w:r>
      <w:r w:rsidR="005300D1">
        <w:rPr>
          <w:color w:val="000000"/>
          <w:szCs w:val="24"/>
        </w:rPr>
        <w:t xml:space="preserve">the </w:t>
      </w:r>
      <w:r w:rsidRPr="00471019">
        <w:rPr>
          <w:color w:val="000000"/>
          <w:szCs w:val="24"/>
        </w:rPr>
        <w:t xml:space="preserve">USF.  The planning, implementation and completion of these two reverse auctions will be achieved in significantly less time and less cost </w:t>
      </w:r>
      <w:r>
        <w:rPr>
          <w:color w:val="000000"/>
          <w:szCs w:val="24"/>
        </w:rPr>
        <w:t xml:space="preserve">than previous reverse auctions </w:t>
      </w:r>
      <w:r w:rsidRPr="00471019">
        <w:rPr>
          <w:color w:val="000000"/>
          <w:szCs w:val="24"/>
        </w:rPr>
        <w:t xml:space="preserve">due to </w:t>
      </w:r>
      <w:r>
        <w:rPr>
          <w:color w:val="000000"/>
          <w:szCs w:val="24"/>
        </w:rPr>
        <w:t xml:space="preserve">the Commission </w:t>
      </w:r>
      <w:r w:rsidRPr="00471019">
        <w:rPr>
          <w:color w:val="000000"/>
          <w:szCs w:val="24"/>
        </w:rPr>
        <w:t xml:space="preserve">already having highly skilled and talented staff </w:t>
      </w:r>
      <w:r>
        <w:rPr>
          <w:color w:val="000000"/>
          <w:szCs w:val="24"/>
        </w:rPr>
        <w:t>with reverse auction experience.</w:t>
      </w:r>
      <w:r w:rsidRPr="00471019">
        <w:rPr>
          <w:color w:val="000000"/>
          <w:szCs w:val="24"/>
        </w:rPr>
        <w:t xml:space="preserve"> </w:t>
      </w:r>
    </w:p>
    <w:p w:rsidR="00961875" w:rsidRPr="00471019" w:rsidRDefault="00961875" w:rsidP="00961875">
      <w:pPr>
        <w:pStyle w:val="ListParagraph"/>
        <w:rPr>
          <w:color w:val="000000"/>
          <w:szCs w:val="24"/>
        </w:rPr>
      </w:pPr>
    </w:p>
    <w:p w:rsidR="00961875" w:rsidRPr="0050549B" w:rsidRDefault="00961875" w:rsidP="00961875">
      <w:pPr>
        <w:pStyle w:val="ListParagraph"/>
        <w:numPr>
          <w:ilvl w:val="0"/>
          <w:numId w:val="28"/>
        </w:numPr>
        <w:jc w:val="both"/>
        <w:rPr>
          <w:color w:val="000000"/>
          <w:szCs w:val="24"/>
        </w:rPr>
      </w:pPr>
      <w:r>
        <w:rPr>
          <w:szCs w:val="24"/>
        </w:rPr>
        <w:t>R</w:t>
      </w:r>
      <w:r w:rsidRPr="00471019">
        <w:rPr>
          <w:szCs w:val="24"/>
        </w:rPr>
        <w:t>educe the regulatory burden for the industries that the</w:t>
      </w:r>
      <w:r>
        <w:rPr>
          <w:szCs w:val="24"/>
        </w:rPr>
        <w:t xml:space="preserve"> Commission oversees and </w:t>
      </w:r>
      <w:r w:rsidRPr="00471019">
        <w:rPr>
          <w:szCs w:val="24"/>
        </w:rPr>
        <w:t xml:space="preserve">eliminate unnecessary rules that do not protect the public interest or promote competition.  </w:t>
      </w:r>
    </w:p>
    <w:p w:rsidR="0050549B" w:rsidRPr="0050549B" w:rsidRDefault="0050549B" w:rsidP="0050549B">
      <w:pPr>
        <w:pStyle w:val="ListParagraph"/>
        <w:rPr>
          <w:color w:val="000000"/>
          <w:szCs w:val="24"/>
        </w:rPr>
      </w:pPr>
    </w:p>
    <w:p w:rsidR="00BD0E1E" w:rsidRPr="00BD0E1E" w:rsidRDefault="00EA61CE" w:rsidP="00BD0E1E">
      <w:pPr>
        <w:pStyle w:val="ListParagraph"/>
        <w:numPr>
          <w:ilvl w:val="0"/>
          <w:numId w:val="28"/>
        </w:numPr>
        <w:jc w:val="both"/>
        <w:rPr>
          <w:szCs w:val="24"/>
        </w:rPr>
      </w:pPr>
      <w:r w:rsidRPr="00BD0E1E">
        <w:t>Develop and implement the FCC Agency Reform Plan to deliver on the needs of today and the future in a more proactive and efficient manner</w:t>
      </w:r>
      <w:r w:rsidR="007F79C1" w:rsidRPr="00BD0E1E">
        <w:t>.</w:t>
      </w:r>
    </w:p>
    <w:p w:rsidR="00BD0E1E" w:rsidRPr="00BD0E1E" w:rsidRDefault="00BD0E1E" w:rsidP="00BD0E1E">
      <w:pPr>
        <w:pStyle w:val="ListParagraph"/>
        <w:jc w:val="both"/>
        <w:rPr>
          <w:color w:val="000000"/>
          <w:szCs w:val="24"/>
        </w:rPr>
      </w:pPr>
    </w:p>
    <w:p w:rsidR="00961875" w:rsidRPr="00951760" w:rsidRDefault="00961875" w:rsidP="00961875">
      <w:pPr>
        <w:pStyle w:val="ListParagraph"/>
        <w:numPr>
          <w:ilvl w:val="0"/>
          <w:numId w:val="28"/>
        </w:numPr>
        <w:jc w:val="both"/>
        <w:rPr>
          <w:color w:val="000000"/>
          <w:szCs w:val="24"/>
        </w:rPr>
      </w:pPr>
      <w:r w:rsidRPr="00471019">
        <w:rPr>
          <w:szCs w:val="24"/>
        </w:rPr>
        <w:t>Continue investments in critical information technology (IT) systems.</w:t>
      </w:r>
      <w:r>
        <w:rPr>
          <w:szCs w:val="24"/>
        </w:rPr>
        <w:t xml:space="preserve">  By p</w:t>
      </w:r>
      <w:r w:rsidRPr="00471019">
        <w:rPr>
          <w:bCs/>
          <w:szCs w:val="24"/>
        </w:rPr>
        <w:t>rioritizing</w:t>
      </w:r>
      <w:r>
        <w:rPr>
          <w:bCs/>
          <w:szCs w:val="24"/>
        </w:rPr>
        <w:t xml:space="preserve"> c</w:t>
      </w:r>
      <w:r w:rsidRPr="00471019">
        <w:rPr>
          <w:bCs/>
          <w:szCs w:val="24"/>
        </w:rPr>
        <w:t xml:space="preserve">ritical IT work, </w:t>
      </w:r>
      <w:r w:rsidRPr="00471019">
        <w:rPr>
          <w:szCs w:val="24"/>
        </w:rPr>
        <w:t xml:space="preserve">the Commission will continue the replacement of its legacy systems with a service based infrastructure to further reduce operations and maintenance costs </w:t>
      </w:r>
      <w:r w:rsidRPr="00471019">
        <w:rPr>
          <w:bCs/>
          <w:szCs w:val="24"/>
        </w:rPr>
        <w:t xml:space="preserve">in FY </w:t>
      </w:r>
      <w:r w:rsidRPr="00471019">
        <w:rPr>
          <w:szCs w:val="24"/>
        </w:rPr>
        <w:t>2018</w:t>
      </w:r>
      <w:r>
        <w:rPr>
          <w:szCs w:val="24"/>
        </w:rPr>
        <w:t xml:space="preserve">.  </w:t>
      </w:r>
      <w:r w:rsidRPr="00471019">
        <w:rPr>
          <w:szCs w:val="24"/>
        </w:rPr>
        <w:t>In moving towards the goal of 100 percent c</w:t>
      </w:r>
      <w:r>
        <w:rPr>
          <w:szCs w:val="24"/>
        </w:rPr>
        <w:t xml:space="preserve">loud based services, </w:t>
      </w:r>
      <w:r w:rsidRPr="00471019">
        <w:rPr>
          <w:szCs w:val="24"/>
        </w:rPr>
        <w:t xml:space="preserve">the FCC will continue to modernize its IT systems and applications to ensure the availability, integrity, and confidentiality of </w:t>
      </w:r>
      <w:r>
        <w:rPr>
          <w:szCs w:val="24"/>
        </w:rPr>
        <w:t xml:space="preserve">the </w:t>
      </w:r>
      <w:r w:rsidRPr="00471019">
        <w:rPr>
          <w:szCs w:val="24"/>
        </w:rPr>
        <w:t xml:space="preserve">Commission’s systems and support our nation’s communication infrastructure.  </w:t>
      </w:r>
    </w:p>
    <w:p w:rsidR="00961875" w:rsidRPr="00951760" w:rsidRDefault="00961875" w:rsidP="00961875">
      <w:pPr>
        <w:pStyle w:val="ListParagraph"/>
        <w:rPr>
          <w:color w:val="000000"/>
          <w:szCs w:val="24"/>
        </w:rPr>
      </w:pPr>
    </w:p>
    <w:p w:rsidR="00961875" w:rsidRPr="00951760" w:rsidRDefault="00961875" w:rsidP="00961875">
      <w:pPr>
        <w:pStyle w:val="ListParagraph"/>
        <w:numPr>
          <w:ilvl w:val="0"/>
          <w:numId w:val="28"/>
        </w:numPr>
        <w:jc w:val="both"/>
        <w:rPr>
          <w:color w:val="000000"/>
          <w:szCs w:val="24"/>
        </w:rPr>
      </w:pPr>
      <w:r>
        <w:rPr>
          <w:noProof/>
          <w:szCs w:val="24"/>
        </w:rPr>
        <w:t>Make</w:t>
      </w:r>
      <w:r w:rsidRPr="00BE7F43">
        <w:rPr>
          <w:noProof/>
          <w:szCs w:val="24"/>
        </w:rPr>
        <w:t xml:space="preserve"> more spectrum available for commercial use </w:t>
      </w:r>
      <w:r>
        <w:rPr>
          <w:noProof/>
          <w:szCs w:val="24"/>
        </w:rPr>
        <w:t xml:space="preserve">through: </w:t>
      </w:r>
      <w:r w:rsidRPr="00BE7F43">
        <w:rPr>
          <w:szCs w:val="24"/>
        </w:rPr>
        <w:t>repacking and reimbursing broadcasters and m</w:t>
      </w:r>
      <w:r w:rsidRPr="006C4D77">
        <w:rPr>
          <w:szCs w:val="24"/>
        </w:rPr>
        <w:t>ultichannel video programming distributors (MVPDs)</w:t>
      </w:r>
      <w:r>
        <w:rPr>
          <w:szCs w:val="24"/>
        </w:rPr>
        <w:t xml:space="preserve"> for relocation costs</w:t>
      </w:r>
      <w:r w:rsidR="00805274">
        <w:rPr>
          <w:szCs w:val="24"/>
        </w:rPr>
        <w:t xml:space="preserve"> in order to clear contiguous spectrum in the ultra-high frequency </w:t>
      </w:r>
      <w:r w:rsidR="00173322">
        <w:rPr>
          <w:szCs w:val="24"/>
        </w:rPr>
        <w:t xml:space="preserve">band </w:t>
      </w:r>
      <w:r w:rsidR="00805274">
        <w:rPr>
          <w:szCs w:val="24"/>
        </w:rPr>
        <w:t>that will be repurposed as the 600 MHz Band</w:t>
      </w:r>
      <w:r w:rsidRPr="006C4D77">
        <w:rPr>
          <w:szCs w:val="24"/>
        </w:rPr>
        <w:t>; upgrading and improving auctions</w:t>
      </w:r>
      <w:r w:rsidR="001B75DB">
        <w:rPr>
          <w:szCs w:val="24"/>
        </w:rPr>
        <w:t>’</w:t>
      </w:r>
      <w:r w:rsidRPr="006C4D77">
        <w:rPr>
          <w:szCs w:val="24"/>
        </w:rPr>
        <w:t xml:space="preserve"> infrastructure in preparing for future auctions; </w:t>
      </w:r>
      <w:r>
        <w:rPr>
          <w:szCs w:val="24"/>
        </w:rPr>
        <w:t xml:space="preserve">and </w:t>
      </w:r>
      <w:r w:rsidRPr="006C4D77">
        <w:rPr>
          <w:szCs w:val="24"/>
        </w:rPr>
        <w:t xml:space="preserve">continue implementing the Spectrum Pipeline Act of 2015, which includes promoting the use of 3.5 GHz band through auctions; and </w:t>
      </w:r>
      <w:r w:rsidRPr="00DF35E9">
        <w:rPr>
          <w:szCs w:val="24"/>
        </w:rPr>
        <w:t>conducting additional spectrum auctions.</w:t>
      </w:r>
      <w:r>
        <w:rPr>
          <w:szCs w:val="24"/>
        </w:rPr>
        <w:t xml:space="preserve">  </w:t>
      </w:r>
    </w:p>
    <w:p w:rsidR="00961875" w:rsidRDefault="00961875" w:rsidP="00961875">
      <w:pPr>
        <w:spacing w:after="0" w:line="240" w:lineRule="auto"/>
        <w:ind w:right="36"/>
        <w:jc w:val="both"/>
        <w:rPr>
          <w:rFonts w:ascii="Times New Roman" w:eastAsia="Times New Roman" w:hAnsi="Times New Roman"/>
          <w:sz w:val="24"/>
          <w:szCs w:val="24"/>
        </w:rPr>
      </w:pPr>
    </w:p>
    <w:p w:rsidR="00961875" w:rsidRDefault="00961875" w:rsidP="00961875">
      <w:pPr>
        <w:spacing w:after="0" w:line="240" w:lineRule="auto"/>
        <w:ind w:right="36"/>
        <w:jc w:val="both"/>
        <w:rPr>
          <w:rFonts w:ascii="Times New Roman" w:eastAsia="Times New Roman" w:hAnsi="Times New Roman"/>
          <w:sz w:val="24"/>
          <w:szCs w:val="24"/>
        </w:rPr>
      </w:pPr>
      <w:r>
        <w:rPr>
          <w:rFonts w:ascii="Times New Roman" w:eastAsia="Times New Roman" w:hAnsi="Times New Roman"/>
          <w:sz w:val="24"/>
          <w:szCs w:val="24"/>
        </w:rPr>
        <w:t>For FY 2018, t</w:t>
      </w:r>
      <w:r w:rsidRPr="00BC229D">
        <w:rPr>
          <w:rFonts w:ascii="Times New Roman" w:eastAsia="Times New Roman" w:hAnsi="Times New Roman"/>
          <w:sz w:val="24"/>
          <w:szCs w:val="24"/>
        </w:rPr>
        <w:t>he Commission</w:t>
      </w:r>
      <w:r>
        <w:rPr>
          <w:rFonts w:ascii="Times New Roman" w:eastAsia="Times New Roman" w:hAnsi="Times New Roman"/>
          <w:sz w:val="24"/>
          <w:szCs w:val="24"/>
        </w:rPr>
        <w:t xml:space="preserve"> is requesting the budget and personnel amounts that are summarized in the bullets and table below:</w:t>
      </w:r>
    </w:p>
    <w:p w:rsidR="00961875" w:rsidRDefault="00961875" w:rsidP="00961875">
      <w:pPr>
        <w:spacing w:after="0" w:line="240" w:lineRule="auto"/>
        <w:ind w:right="36"/>
        <w:jc w:val="both"/>
        <w:rPr>
          <w:rFonts w:ascii="Times New Roman" w:eastAsia="Times New Roman" w:hAnsi="Times New Roman"/>
          <w:sz w:val="24"/>
          <w:szCs w:val="24"/>
        </w:rPr>
      </w:pPr>
    </w:p>
    <w:p w:rsidR="00961875" w:rsidRDefault="00961875" w:rsidP="00961875">
      <w:pPr>
        <w:pStyle w:val="ListParagraph"/>
        <w:numPr>
          <w:ilvl w:val="0"/>
          <w:numId w:val="29"/>
        </w:numPr>
        <w:ind w:right="36"/>
        <w:jc w:val="both"/>
        <w:rPr>
          <w:szCs w:val="24"/>
        </w:rPr>
      </w:pPr>
      <w:r w:rsidRPr="00081EF1">
        <w:rPr>
          <w:szCs w:val="24"/>
        </w:rPr>
        <w:t>The Commission requests</w:t>
      </w:r>
      <w:r w:rsidRPr="00DC516B">
        <w:rPr>
          <w:szCs w:val="24"/>
        </w:rPr>
        <w:t xml:space="preserve"> $322,035,000 in budget authority from regulatory fee offsetting </w:t>
      </w:r>
      <w:r>
        <w:rPr>
          <w:szCs w:val="24"/>
        </w:rPr>
        <w:t xml:space="preserve">collections.  </w:t>
      </w:r>
      <w:r w:rsidRPr="00DC516B">
        <w:rPr>
          <w:szCs w:val="24"/>
        </w:rPr>
        <w:t>This request represents a decrease of $</w:t>
      </w:r>
      <w:r w:rsidR="00081EF1">
        <w:rPr>
          <w:szCs w:val="24"/>
        </w:rPr>
        <w:t>17,809,000</w:t>
      </w:r>
      <w:r w:rsidR="001B75DB">
        <w:rPr>
          <w:szCs w:val="24"/>
        </w:rPr>
        <w:t xml:space="preserve"> </w:t>
      </w:r>
      <w:r w:rsidRPr="00DC516B">
        <w:rPr>
          <w:szCs w:val="24"/>
        </w:rPr>
        <w:t xml:space="preserve">or </w:t>
      </w:r>
      <w:r w:rsidR="00081EF1">
        <w:rPr>
          <w:szCs w:val="24"/>
        </w:rPr>
        <w:t>5.2</w:t>
      </w:r>
      <w:r w:rsidR="000A0B73">
        <w:rPr>
          <w:szCs w:val="24"/>
        </w:rPr>
        <w:t xml:space="preserve"> percent</w:t>
      </w:r>
      <w:r w:rsidRPr="00DC516B">
        <w:rPr>
          <w:szCs w:val="24"/>
        </w:rPr>
        <w:t xml:space="preserve"> from the FY 2017 </w:t>
      </w:r>
      <w:r w:rsidR="000A0B73">
        <w:rPr>
          <w:szCs w:val="24"/>
        </w:rPr>
        <w:t xml:space="preserve">level </w:t>
      </w:r>
      <w:r w:rsidRPr="00DC516B">
        <w:rPr>
          <w:szCs w:val="24"/>
        </w:rPr>
        <w:t>of $</w:t>
      </w:r>
      <w:r w:rsidR="00081EF1">
        <w:rPr>
          <w:szCs w:val="24"/>
        </w:rPr>
        <w:t xml:space="preserve">339,844,000 that excludes the one-time request amount $16,866,992 for </w:t>
      </w:r>
      <w:r w:rsidR="009F525D">
        <w:rPr>
          <w:szCs w:val="24"/>
        </w:rPr>
        <w:t xml:space="preserve">the </w:t>
      </w:r>
      <w:r w:rsidR="00081EF1">
        <w:rPr>
          <w:szCs w:val="24"/>
        </w:rPr>
        <w:t>headquarters move/restack</w:t>
      </w:r>
      <w:r>
        <w:rPr>
          <w:szCs w:val="24"/>
        </w:rPr>
        <w:t>.</w:t>
      </w:r>
    </w:p>
    <w:p w:rsidR="00961875" w:rsidRDefault="00961875" w:rsidP="00961875">
      <w:pPr>
        <w:pStyle w:val="ListParagraph"/>
        <w:ind w:right="36"/>
        <w:jc w:val="both"/>
        <w:rPr>
          <w:szCs w:val="24"/>
        </w:rPr>
      </w:pPr>
    </w:p>
    <w:p w:rsidR="00961875" w:rsidRDefault="00961875" w:rsidP="00961875">
      <w:pPr>
        <w:pStyle w:val="ListParagraph"/>
        <w:numPr>
          <w:ilvl w:val="0"/>
          <w:numId w:val="29"/>
        </w:numPr>
        <w:ind w:right="36"/>
        <w:jc w:val="both"/>
        <w:rPr>
          <w:szCs w:val="24"/>
        </w:rPr>
      </w:pPr>
      <w:r>
        <w:rPr>
          <w:szCs w:val="24"/>
        </w:rPr>
        <w:t>The Commission requests $111,150,000 in budget authority for the spectrum auctions program.  This request represents a decrease of $</w:t>
      </w:r>
      <w:r w:rsidR="000A0B73">
        <w:rPr>
          <w:szCs w:val="24"/>
        </w:rPr>
        <w:t>5,850,000</w:t>
      </w:r>
      <w:r>
        <w:rPr>
          <w:szCs w:val="24"/>
        </w:rPr>
        <w:t xml:space="preserve"> or </w:t>
      </w:r>
      <w:r w:rsidR="000A0B73">
        <w:rPr>
          <w:szCs w:val="24"/>
        </w:rPr>
        <w:t>5 percent</w:t>
      </w:r>
      <w:r>
        <w:rPr>
          <w:szCs w:val="24"/>
        </w:rPr>
        <w:t xml:space="preserve"> from the FY 2017 </w:t>
      </w:r>
      <w:r w:rsidR="000A0B73">
        <w:rPr>
          <w:szCs w:val="24"/>
        </w:rPr>
        <w:t xml:space="preserve">level </w:t>
      </w:r>
      <w:r>
        <w:rPr>
          <w:szCs w:val="24"/>
        </w:rPr>
        <w:t>of $</w:t>
      </w:r>
      <w:r w:rsidR="000A0B73">
        <w:rPr>
          <w:szCs w:val="24"/>
        </w:rPr>
        <w:t>117,000,000</w:t>
      </w:r>
      <w:r>
        <w:rPr>
          <w:szCs w:val="24"/>
        </w:rPr>
        <w:t>.</w:t>
      </w:r>
      <w:r w:rsidR="00696792">
        <w:rPr>
          <w:szCs w:val="24"/>
        </w:rPr>
        <w:t xml:space="preserve">  To date, the spectrum auctions program has generated over $1</w:t>
      </w:r>
      <w:r w:rsidR="00E3428F">
        <w:rPr>
          <w:szCs w:val="24"/>
        </w:rPr>
        <w:t>14</w:t>
      </w:r>
      <w:r w:rsidR="00696792">
        <w:rPr>
          <w:szCs w:val="24"/>
        </w:rPr>
        <w:t xml:space="preserve">.6 </w:t>
      </w:r>
      <w:r w:rsidR="00EC064F">
        <w:rPr>
          <w:szCs w:val="24"/>
        </w:rPr>
        <w:t>b</w:t>
      </w:r>
      <w:r w:rsidR="00696792">
        <w:rPr>
          <w:szCs w:val="24"/>
        </w:rPr>
        <w:t>illion for</w:t>
      </w:r>
      <w:r w:rsidR="00FD6101">
        <w:rPr>
          <w:szCs w:val="24"/>
        </w:rPr>
        <w:t xml:space="preserve"> government use, including funding </w:t>
      </w:r>
      <w:r w:rsidR="00FE1273">
        <w:rPr>
          <w:szCs w:val="24"/>
        </w:rPr>
        <w:t xml:space="preserve">for </w:t>
      </w:r>
      <w:r w:rsidR="00FD6101">
        <w:rPr>
          <w:szCs w:val="24"/>
        </w:rPr>
        <w:t>the FirstNet</w:t>
      </w:r>
      <w:r w:rsidR="00FE1273">
        <w:rPr>
          <w:szCs w:val="24"/>
        </w:rPr>
        <w:t xml:space="preserve"> (First Responders Network)</w:t>
      </w:r>
      <w:r w:rsidR="00FD6101">
        <w:rPr>
          <w:szCs w:val="24"/>
        </w:rPr>
        <w:t>, and for deficit reduction.</w:t>
      </w:r>
      <w:r w:rsidR="00FE1273">
        <w:rPr>
          <w:szCs w:val="24"/>
        </w:rPr>
        <w:t xml:space="preserve">  In raising over $1</w:t>
      </w:r>
      <w:r w:rsidR="00E33E68">
        <w:rPr>
          <w:szCs w:val="24"/>
        </w:rPr>
        <w:t>14</w:t>
      </w:r>
      <w:r w:rsidR="00FE1273">
        <w:rPr>
          <w:szCs w:val="24"/>
        </w:rPr>
        <w:t xml:space="preserve">.6 </w:t>
      </w:r>
      <w:r w:rsidR="00EC064F">
        <w:rPr>
          <w:szCs w:val="24"/>
        </w:rPr>
        <w:t>b</w:t>
      </w:r>
      <w:r w:rsidR="00FE1273">
        <w:rPr>
          <w:szCs w:val="24"/>
        </w:rPr>
        <w:t xml:space="preserve">illion, the </w:t>
      </w:r>
      <w:r w:rsidR="00810913">
        <w:rPr>
          <w:szCs w:val="24"/>
        </w:rPr>
        <w:t xml:space="preserve">total </w:t>
      </w:r>
      <w:r w:rsidR="00FE1273">
        <w:rPr>
          <w:szCs w:val="24"/>
        </w:rPr>
        <w:t xml:space="preserve">cost </w:t>
      </w:r>
      <w:r w:rsidR="00810913">
        <w:rPr>
          <w:szCs w:val="24"/>
        </w:rPr>
        <w:t xml:space="preserve">of </w:t>
      </w:r>
      <w:r w:rsidR="00FE1273">
        <w:rPr>
          <w:szCs w:val="24"/>
        </w:rPr>
        <w:t>the auction</w:t>
      </w:r>
      <w:r w:rsidR="00E3428F">
        <w:rPr>
          <w:szCs w:val="24"/>
        </w:rPr>
        <w:t xml:space="preserve"> program has been </w:t>
      </w:r>
      <w:r w:rsidR="00B70F75">
        <w:rPr>
          <w:szCs w:val="24"/>
        </w:rPr>
        <w:t>less than</w:t>
      </w:r>
      <w:r w:rsidR="00FE1273">
        <w:rPr>
          <w:szCs w:val="24"/>
        </w:rPr>
        <w:t xml:space="preserve"> $1.8 billion</w:t>
      </w:r>
      <w:r w:rsidR="00173322">
        <w:rPr>
          <w:szCs w:val="24"/>
        </w:rPr>
        <w:t>.</w:t>
      </w:r>
      <w:r w:rsidR="00696792">
        <w:rPr>
          <w:szCs w:val="24"/>
        </w:rPr>
        <w:t xml:space="preserve"> </w:t>
      </w:r>
    </w:p>
    <w:p w:rsidR="00961875" w:rsidRPr="00DC516B" w:rsidRDefault="00961875" w:rsidP="00961875">
      <w:pPr>
        <w:pStyle w:val="ListParagraph"/>
        <w:rPr>
          <w:szCs w:val="24"/>
        </w:rPr>
      </w:pPr>
    </w:p>
    <w:p w:rsidR="00D01C59" w:rsidRPr="00961875" w:rsidRDefault="0050549B" w:rsidP="00961875">
      <w:pPr>
        <w:pStyle w:val="ListParagraph"/>
        <w:numPr>
          <w:ilvl w:val="0"/>
          <w:numId w:val="29"/>
        </w:numPr>
        <w:jc w:val="both"/>
        <w:rPr>
          <w:szCs w:val="24"/>
        </w:rPr>
      </w:pPr>
      <w:r>
        <w:rPr>
          <w:szCs w:val="24"/>
        </w:rPr>
        <w:t>In creating a lean, accountable, more efficient Commission that works for the American people, t</w:t>
      </w:r>
      <w:r w:rsidR="00961875" w:rsidRPr="00961875">
        <w:rPr>
          <w:szCs w:val="24"/>
        </w:rPr>
        <w:t xml:space="preserve">he Commission requests 1,448 Full Time Equivalents (FTE’s) for regulatory fee offsetting collections and the spectrum auctions program.  This request represents a decrease of </w:t>
      </w:r>
      <w:r w:rsidR="00B70F75">
        <w:rPr>
          <w:szCs w:val="24"/>
        </w:rPr>
        <w:t>102</w:t>
      </w:r>
      <w:r w:rsidR="00B70F75" w:rsidRPr="00961875">
        <w:rPr>
          <w:szCs w:val="24"/>
        </w:rPr>
        <w:t xml:space="preserve"> </w:t>
      </w:r>
      <w:r w:rsidR="00961875" w:rsidRPr="00961875">
        <w:rPr>
          <w:szCs w:val="24"/>
        </w:rPr>
        <w:t xml:space="preserve">FTEs or </w:t>
      </w:r>
      <w:r w:rsidR="00B70F75">
        <w:rPr>
          <w:szCs w:val="24"/>
        </w:rPr>
        <w:t>6.6 percent</w:t>
      </w:r>
      <w:r w:rsidR="00961875" w:rsidRPr="00961875">
        <w:rPr>
          <w:szCs w:val="24"/>
        </w:rPr>
        <w:t xml:space="preserve"> from the FY 2017 </w:t>
      </w:r>
      <w:r w:rsidR="00B70F75">
        <w:rPr>
          <w:szCs w:val="24"/>
        </w:rPr>
        <w:t>enacted level</w:t>
      </w:r>
      <w:r w:rsidR="00961875" w:rsidRPr="00961875">
        <w:rPr>
          <w:szCs w:val="24"/>
        </w:rPr>
        <w:t xml:space="preserve"> of </w:t>
      </w:r>
      <w:r w:rsidR="00B70F75">
        <w:rPr>
          <w:szCs w:val="24"/>
        </w:rPr>
        <w:t>1,550</w:t>
      </w:r>
      <w:r w:rsidR="00961875" w:rsidRPr="00961875">
        <w:rPr>
          <w:szCs w:val="24"/>
        </w:rPr>
        <w:t>.</w:t>
      </w:r>
      <w:r w:rsidR="0019254B">
        <w:rPr>
          <w:szCs w:val="24"/>
        </w:rPr>
        <w:t xml:space="preserve">  This will allow an alignment of </w:t>
      </w:r>
      <w:r w:rsidR="00736449">
        <w:rPr>
          <w:szCs w:val="24"/>
        </w:rPr>
        <w:t xml:space="preserve">the </w:t>
      </w:r>
      <w:r w:rsidR="0019254B">
        <w:rPr>
          <w:szCs w:val="24"/>
        </w:rPr>
        <w:t xml:space="preserve">Commission workforce to meet the needs of today and the future rather than the requirements of the past. </w:t>
      </w:r>
    </w:p>
    <w:p w:rsidR="00961875" w:rsidRPr="005E3C16" w:rsidRDefault="00961875" w:rsidP="00961875">
      <w:pPr>
        <w:spacing w:after="0" w:line="240" w:lineRule="auto"/>
        <w:jc w:val="both"/>
        <w:rPr>
          <w:rFonts w:ascii="Times New Roman" w:hAnsi="Times New Roman"/>
          <w:color w:val="000000"/>
          <w:sz w:val="24"/>
          <w:szCs w:val="24"/>
          <w:highlight w:val="yellow"/>
        </w:rPr>
      </w:pPr>
    </w:p>
    <w:p w:rsidR="00D01C59" w:rsidRPr="00A020A3" w:rsidRDefault="00122C0C" w:rsidP="00EE4FF1">
      <w:pPr>
        <w:spacing w:after="0" w:line="240" w:lineRule="auto"/>
        <w:jc w:val="center"/>
        <w:rPr>
          <w:rFonts w:ascii="Times New Roman" w:hAnsi="Times New Roman"/>
          <w:bCs/>
          <w:sz w:val="24"/>
          <w:szCs w:val="24"/>
        </w:rPr>
      </w:pPr>
      <w:r w:rsidRPr="00122C0C">
        <w:rPr>
          <w:noProof/>
        </w:rPr>
        <w:drawing>
          <wp:inline distT="0" distB="0" distL="0" distR="0">
            <wp:extent cx="6000750" cy="46373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0" cy="4637332"/>
                    </a:xfrm>
                    <a:prstGeom prst="rect">
                      <a:avLst/>
                    </a:prstGeom>
                    <a:noFill/>
                    <a:ln>
                      <a:noFill/>
                    </a:ln>
                  </pic:spPr>
                </pic:pic>
              </a:graphicData>
            </a:graphic>
          </wp:inline>
        </w:drawing>
      </w:r>
    </w:p>
    <w:p w:rsidR="00D01C59" w:rsidRDefault="00D01C59" w:rsidP="00D01C59">
      <w:pPr>
        <w:spacing w:after="0" w:line="240" w:lineRule="auto"/>
        <w:jc w:val="both"/>
        <w:rPr>
          <w:rFonts w:ascii="Times New Roman" w:eastAsia="Times New Roman" w:hAnsi="Times New Roman"/>
          <w:sz w:val="24"/>
          <w:szCs w:val="24"/>
        </w:rPr>
      </w:pPr>
    </w:p>
    <w:p w:rsidR="00281B79" w:rsidRDefault="00281B79" w:rsidP="00D01C59">
      <w:pPr>
        <w:spacing w:after="0" w:line="240" w:lineRule="auto"/>
        <w:jc w:val="both"/>
        <w:rPr>
          <w:rFonts w:ascii="Times New Roman" w:eastAsia="Times New Roman" w:hAnsi="Times New Roman"/>
          <w:sz w:val="24"/>
          <w:szCs w:val="24"/>
        </w:rPr>
      </w:pPr>
    </w:p>
    <w:p w:rsidR="00961875" w:rsidRPr="0057402D" w:rsidRDefault="00961875" w:rsidP="00961875">
      <w:pPr>
        <w:spacing w:after="0" w:line="240" w:lineRule="auto"/>
        <w:jc w:val="both"/>
        <w:rPr>
          <w:rFonts w:ascii="Times New Roman" w:eastAsia="Times New Roman" w:hAnsi="Times New Roman"/>
          <w:sz w:val="24"/>
          <w:szCs w:val="24"/>
        </w:rPr>
      </w:pPr>
      <w:r w:rsidRPr="0057402D">
        <w:rPr>
          <w:rFonts w:ascii="Times New Roman" w:eastAsia="Times New Roman" w:hAnsi="Times New Roman"/>
          <w:sz w:val="24"/>
          <w:szCs w:val="24"/>
        </w:rPr>
        <w:t>In furtherance of these objectives and the FCC</w:t>
      </w:r>
      <w:r>
        <w:rPr>
          <w:rFonts w:ascii="Times New Roman" w:eastAsia="Times New Roman" w:hAnsi="Times New Roman"/>
          <w:sz w:val="24"/>
          <w:szCs w:val="24"/>
        </w:rPr>
        <w:t>’s</w:t>
      </w:r>
      <w:r w:rsidRPr="0057402D">
        <w:rPr>
          <w:rFonts w:ascii="Times New Roman" w:eastAsia="Times New Roman" w:hAnsi="Times New Roman"/>
          <w:sz w:val="24"/>
          <w:szCs w:val="24"/>
        </w:rPr>
        <w:t xml:space="preserve"> mission, the FY 2018 budget request will be used to support the following </w:t>
      </w:r>
      <w:r>
        <w:rPr>
          <w:rFonts w:ascii="Times New Roman" w:eastAsia="Times New Roman" w:hAnsi="Times New Roman"/>
          <w:sz w:val="24"/>
          <w:szCs w:val="24"/>
        </w:rPr>
        <w:t xml:space="preserve">updated </w:t>
      </w:r>
      <w:r w:rsidRPr="0057402D">
        <w:rPr>
          <w:rFonts w:ascii="Times New Roman" w:eastAsia="Times New Roman" w:hAnsi="Times New Roman"/>
          <w:sz w:val="24"/>
          <w:szCs w:val="24"/>
        </w:rPr>
        <w:t>Strategic Goals</w:t>
      </w:r>
      <w:r>
        <w:rPr>
          <w:rFonts w:ascii="Times New Roman" w:eastAsia="Times New Roman" w:hAnsi="Times New Roman"/>
          <w:sz w:val="24"/>
          <w:szCs w:val="24"/>
        </w:rPr>
        <w:t xml:space="preserve"> for FY 2018</w:t>
      </w:r>
      <w:r w:rsidRPr="0057402D">
        <w:rPr>
          <w:rFonts w:ascii="Times New Roman" w:eastAsia="Times New Roman" w:hAnsi="Times New Roman"/>
          <w:sz w:val="24"/>
          <w:szCs w:val="24"/>
        </w:rPr>
        <w:t>:</w:t>
      </w:r>
    </w:p>
    <w:p w:rsidR="00961875" w:rsidRDefault="00961875" w:rsidP="00961875">
      <w:pPr>
        <w:spacing w:after="0" w:line="240" w:lineRule="auto"/>
        <w:jc w:val="both"/>
        <w:rPr>
          <w:rFonts w:ascii="Times New Roman" w:eastAsia="Times New Roman" w:hAnsi="Times New Roman"/>
          <w:sz w:val="24"/>
          <w:szCs w:val="24"/>
          <w:highlight w:val="yellow"/>
        </w:rPr>
      </w:pPr>
    </w:p>
    <w:p w:rsidR="00961875" w:rsidRPr="00CF0787" w:rsidRDefault="00961875" w:rsidP="00961875">
      <w:pPr>
        <w:pStyle w:val="Default"/>
        <w:rPr>
          <w:rFonts w:ascii="Times New Roman" w:hAnsi="Times New Roman" w:cs="Times New Roman"/>
        </w:rPr>
      </w:pPr>
      <w:r w:rsidRPr="00CF0787">
        <w:rPr>
          <w:rFonts w:ascii="Times New Roman" w:hAnsi="Times New Roman" w:cs="Times New Roman"/>
          <w:b/>
        </w:rPr>
        <w:t xml:space="preserve">Strategic Goal 1: </w:t>
      </w:r>
      <w:r w:rsidRPr="00CF0787">
        <w:rPr>
          <w:rFonts w:ascii="Times New Roman" w:hAnsi="Times New Roman" w:cs="Times New Roman"/>
          <w:b/>
          <w:bCs/>
        </w:rPr>
        <w:t xml:space="preserve">Closing the Digital Divide </w:t>
      </w:r>
    </w:p>
    <w:p w:rsidR="00961875" w:rsidRPr="0034336E" w:rsidRDefault="00961875" w:rsidP="00961875">
      <w:pPr>
        <w:pStyle w:val="Default"/>
        <w:rPr>
          <w:rFonts w:ascii="Times New Roman" w:hAnsi="Times New Roman" w:cs="Times New Roman"/>
          <w:b/>
          <w:bCs/>
          <w:i/>
          <w:iCs/>
          <w:highlight w:val="yellow"/>
        </w:rPr>
      </w:pPr>
    </w:p>
    <w:p w:rsidR="00961875" w:rsidRPr="0034336E" w:rsidRDefault="00CF0787" w:rsidP="000412DA">
      <w:pPr>
        <w:pStyle w:val="Default"/>
        <w:tabs>
          <w:tab w:val="left" w:pos="360"/>
        </w:tabs>
        <w:ind w:right="36"/>
        <w:jc w:val="both"/>
        <w:rPr>
          <w:rFonts w:ascii="Times New Roman" w:hAnsi="Times New Roman" w:cs="Times New Roman"/>
          <w:highlight w:val="yellow"/>
        </w:rPr>
      </w:pPr>
      <w:r w:rsidRPr="00CF0787">
        <w:rPr>
          <w:rFonts w:ascii="Times New Roman" w:hAnsi="Times New Roman" w:cs="Times New Roman"/>
        </w:rPr>
        <w:t>Develop a regulatory environment to encourage the private sector to build, maintain, and upgrade next-generation networks so that the benefits of advanced communications services are available to all Americans.  Where the business case for infrastructure investment doesn’t exist, employ effective and efficient means to facilitate deployment and access to affordable broadband in all areas of the country.</w:t>
      </w:r>
    </w:p>
    <w:p w:rsidR="00961875" w:rsidRPr="0034336E" w:rsidRDefault="00961875" w:rsidP="00961875">
      <w:pPr>
        <w:pStyle w:val="Default"/>
        <w:rPr>
          <w:rFonts w:ascii="Times New Roman" w:hAnsi="Times New Roman" w:cs="Times New Roman"/>
          <w:b/>
          <w:highlight w:val="yellow"/>
        </w:rPr>
      </w:pPr>
    </w:p>
    <w:p w:rsidR="00961875" w:rsidRPr="00CF0787" w:rsidRDefault="00961875" w:rsidP="00961875">
      <w:pPr>
        <w:pStyle w:val="Default"/>
        <w:rPr>
          <w:rFonts w:ascii="Times New Roman" w:hAnsi="Times New Roman" w:cs="Times New Roman"/>
        </w:rPr>
      </w:pPr>
      <w:r w:rsidRPr="00CF0787">
        <w:rPr>
          <w:rFonts w:ascii="Times New Roman" w:hAnsi="Times New Roman" w:cs="Times New Roman"/>
          <w:b/>
        </w:rPr>
        <w:t>Strategic Goal 2: Promoting Innovation</w:t>
      </w:r>
    </w:p>
    <w:p w:rsidR="00961875" w:rsidRPr="0034336E" w:rsidRDefault="00961875" w:rsidP="00961875">
      <w:pPr>
        <w:pStyle w:val="Default"/>
        <w:rPr>
          <w:rFonts w:ascii="Times New Roman" w:hAnsi="Times New Roman" w:cs="Times New Roman"/>
          <w:b/>
          <w:bCs/>
          <w:i/>
          <w:iCs/>
          <w:highlight w:val="yellow"/>
        </w:rPr>
      </w:pPr>
    </w:p>
    <w:p w:rsidR="00961875" w:rsidRPr="0034336E" w:rsidRDefault="00CF0787" w:rsidP="00BE4E00">
      <w:pPr>
        <w:pStyle w:val="Default"/>
        <w:ind w:right="36"/>
        <w:jc w:val="both"/>
        <w:rPr>
          <w:rFonts w:ascii="Times New Roman" w:hAnsi="Times New Roman" w:cs="Times New Roman"/>
          <w:highlight w:val="yellow"/>
        </w:rPr>
      </w:pPr>
      <w:r w:rsidRPr="00CF0787">
        <w:rPr>
          <w:rFonts w:ascii="Times New Roman" w:hAnsi="Times New Roman" w:cs="Times New Roman"/>
        </w:rPr>
        <w:t>Foster a competitive, dynamic, and innovative market for communications services through policies that promote the introduction of new technologies and services.  Ensure that the FCC’s actions and regulations reflect the realities of the current marketplace, promote entrepreneurship, expand economic opportunity, and remove barriers to entry and investment.</w:t>
      </w:r>
      <w:r w:rsidR="00BE4E00" w:rsidRPr="0034336E">
        <w:rPr>
          <w:rFonts w:ascii="Times New Roman" w:hAnsi="Times New Roman" w:cs="Times New Roman"/>
          <w:highlight w:val="yellow"/>
        </w:rPr>
        <w:t xml:space="preserve">  </w:t>
      </w:r>
    </w:p>
    <w:p w:rsidR="00961875" w:rsidRDefault="00961875" w:rsidP="00961875">
      <w:pPr>
        <w:pStyle w:val="Default"/>
        <w:rPr>
          <w:rFonts w:ascii="Times New Roman" w:hAnsi="Times New Roman" w:cs="Times New Roman"/>
          <w:highlight w:val="yellow"/>
        </w:rPr>
      </w:pPr>
    </w:p>
    <w:p w:rsidR="00C55D64" w:rsidRDefault="00C55D64" w:rsidP="00961875">
      <w:pPr>
        <w:pStyle w:val="Default"/>
        <w:rPr>
          <w:rFonts w:ascii="Times New Roman" w:hAnsi="Times New Roman" w:cs="Times New Roman"/>
          <w:highlight w:val="yellow"/>
        </w:rPr>
      </w:pPr>
    </w:p>
    <w:p w:rsidR="00C55D64" w:rsidRDefault="00C55D64" w:rsidP="00961875">
      <w:pPr>
        <w:pStyle w:val="Default"/>
        <w:rPr>
          <w:rFonts w:ascii="Times New Roman" w:hAnsi="Times New Roman" w:cs="Times New Roman"/>
          <w:highlight w:val="yellow"/>
        </w:rPr>
      </w:pPr>
    </w:p>
    <w:p w:rsidR="00961875" w:rsidRPr="0034336E" w:rsidRDefault="00961875" w:rsidP="00961875">
      <w:pPr>
        <w:autoSpaceDE w:val="0"/>
        <w:autoSpaceDN w:val="0"/>
        <w:adjustRightInd w:val="0"/>
        <w:spacing w:after="0" w:line="240" w:lineRule="auto"/>
        <w:rPr>
          <w:rFonts w:ascii="Times New Roman" w:hAnsi="Times New Roman"/>
          <w:b/>
          <w:bCs/>
          <w:sz w:val="24"/>
          <w:szCs w:val="24"/>
          <w:highlight w:val="yellow"/>
        </w:rPr>
      </w:pPr>
      <w:r w:rsidRPr="00CF0787">
        <w:rPr>
          <w:rFonts w:ascii="Times New Roman" w:hAnsi="Times New Roman"/>
          <w:b/>
          <w:sz w:val="24"/>
          <w:szCs w:val="24"/>
        </w:rPr>
        <w:t xml:space="preserve">Strategic Goal 3: </w:t>
      </w:r>
      <w:r w:rsidRPr="00CF0787">
        <w:rPr>
          <w:rFonts w:ascii="Times New Roman" w:hAnsi="Times New Roman"/>
          <w:b/>
          <w:bCs/>
          <w:sz w:val="24"/>
          <w:szCs w:val="24"/>
        </w:rPr>
        <w:t xml:space="preserve">Protecting Consumers and Public Safety </w:t>
      </w:r>
    </w:p>
    <w:p w:rsidR="00961875" w:rsidRPr="0034336E" w:rsidRDefault="00961875" w:rsidP="00961875">
      <w:pPr>
        <w:autoSpaceDE w:val="0"/>
        <w:autoSpaceDN w:val="0"/>
        <w:adjustRightInd w:val="0"/>
        <w:spacing w:after="0" w:line="240" w:lineRule="auto"/>
        <w:rPr>
          <w:rFonts w:ascii="Times New Roman" w:hAnsi="Times New Roman"/>
          <w:sz w:val="24"/>
          <w:szCs w:val="24"/>
          <w:highlight w:val="yellow"/>
        </w:rPr>
      </w:pPr>
    </w:p>
    <w:p w:rsidR="00961875" w:rsidRPr="0034336E" w:rsidRDefault="00CF0787" w:rsidP="000412DA">
      <w:pPr>
        <w:pStyle w:val="Default"/>
        <w:ind w:right="36"/>
        <w:jc w:val="both"/>
        <w:rPr>
          <w:rFonts w:ascii="Times New Roman" w:hAnsi="Times New Roman" w:cs="Times New Roman"/>
          <w:highlight w:val="yellow"/>
        </w:rPr>
      </w:pPr>
      <w:r w:rsidRPr="00CF0787">
        <w:rPr>
          <w:rFonts w:ascii="Times New Roman" w:hAnsi="Times New Roman" w:cs="Times New Roman"/>
        </w:rPr>
        <w:t>Develop policies that promote the public interest by providing consumers with freedom from unwanted and intrusive telephone calls, improving the quality of communications services available to those with disabilities, and protecting public safety</w:t>
      </w:r>
      <w:r w:rsidR="00BE4E00" w:rsidRPr="00CF0787">
        <w:rPr>
          <w:rFonts w:ascii="Times New Roman" w:hAnsi="Times New Roman" w:cs="Times New Roman"/>
        </w:rPr>
        <w:t>.</w:t>
      </w:r>
    </w:p>
    <w:p w:rsidR="00961875" w:rsidRPr="0034336E" w:rsidRDefault="00961875" w:rsidP="00961875">
      <w:pPr>
        <w:autoSpaceDE w:val="0"/>
        <w:autoSpaceDN w:val="0"/>
        <w:adjustRightInd w:val="0"/>
        <w:spacing w:after="0" w:line="240" w:lineRule="auto"/>
        <w:jc w:val="both"/>
        <w:rPr>
          <w:rFonts w:ascii="Times New Roman" w:hAnsi="Times New Roman"/>
          <w:b/>
          <w:bCs/>
          <w:i/>
          <w:iCs/>
          <w:sz w:val="24"/>
          <w:szCs w:val="24"/>
          <w:highlight w:val="yellow"/>
        </w:rPr>
      </w:pPr>
    </w:p>
    <w:p w:rsidR="00BE4E00" w:rsidRPr="00CF0787" w:rsidRDefault="00961875" w:rsidP="00961875">
      <w:pPr>
        <w:autoSpaceDE w:val="0"/>
        <w:autoSpaceDN w:val="0"/>
        <w:adjustRightInd w:val="0"/>
        <w:spacing w:after="0" w:line="240" w:lineRule="auto"/>
        <w:jc w:val="both"/>
        <w:rPr>
          <w:rFonts w:ascii="Times New Roman" w:hAnsi="Times New Roman"/>
          <w:b/>
          <w:bCs/>
          <w:sz w:val="24"/>
          <w:szCs w:val="24"/>
        </w:rPr>
      </w:pPr>
      <w:r w:rsidRPr="00B70F75">
        <w:rPr>
          <w:rFonts w:ascii="Times New Roman" w:hAnsi="Times New Roman"/>
          <w:b/>
          <w:bCs/>
          <w:sz w:val="24"/>
          <w:szCs w:val="24"/>
        </w:rPr>
        <w:t>Strategic Goal 4: Reforming the FCC’s Processes</w:t>
      </w:r>
    </w:p>
    <w:p w:rsidR="00961875" w:rsidRPr="0034336E" w:rsidRDefault="00961875" w:rsidP="00961875">
      <w:pPr>
        <w:autoSpaceDE w:val="0"/>
        <w:autoSpaceDN w:val="0"/>
        <w:adjustRightInd w:val="0"/>
        <w:spacing w:after="0" w:line="240" w:lineRule="auto"/>
        <w:jc w:val="both"/>
        <w:rPr>
          <w:rFonts w:ascii="Times New Roman" w:hAnsi="Times New Roman"/>
          <w:b/>
          <w:bCs/>
          <w:sz w:val="24"/>
          <w:szCs w:val="24"/>
          <w:highlight w:val="yellow"/>
        </w:rPr>
      </w:pPr>
    </w:p>
    <w:p w:rsidR="00BE4E00" w:rsidRPr="00BE4E00" w:rsidRDefault="00CF0787" w:rsidP="000412DA">
      <w:pPr>
        <w:spacing w:line="240" w:lineRule="auto"/>
        <w:jc w:val="both"/>
        <w:rPr>
          <w:rFonts w:ascii="Times New Roman" w:hAnsi="Times New Roman"/>
          <w:sz w:val="24"/>
          <w:szCs w:val="24"/>
        </w:rPr>
      </w:pPr>
      <w:r w:rsidRPr="00CF0787">
        <w:rPr>
          <w:rFonts w:ascii="Times New Roman" w:hAnsi="Times New Roman"/>
          <w:sz w:val="24"/>
          <w:szCs w:val="24"/>
        </w:rPr>
        <w:t>Modernize and streamline the FCC’s operations and programs to increase transparency, improve decision-making, build consensus, reduce regulatory burdens, and simplify the public’s interactions with the agency</w:t>
      </w:r>
      <w:r w:rsidR="00BE4E00" w:rsidRPr="00CF0787">
        <w:rPr>
          <w:rFonts w:ascii="Times New Roman" w:hAnsi="Times New Roman"/>
          <w:sz w:val="24"/>
          <w:szCs w:val="24"/>
        </w:rPr>
        <w:t>.</w:t>
      </w:r>
    </w:p>
    <w:p w:rsidR="00BE4E00" w:rsidRDefault="00BE4E00" w:rsidP="00BE4E00">
      <w:pPr>
        <w:spacing w:after="0" w:line="240" w:lineRule="auto"/>
        <w:jc w:val="both"/>
        <w:rPr>
          <w:rFonts w:ascii="Times New Roman" w:hAnsi="Times New Roman"/>
          <w:sz w:val="24"/>
          <w:szCs w:val="24"/>
        </w:rPr>
      </w:pPr>
    </w:p>
    <w:p w:rsidR="00961875" w:rsidRDefault="00961875" w:rsidP="000412DA">
      <w:pPr>
        <w:spacing w:line="240" w:lineRule="auto"/>
        <w:jc w:val="both"/>
        <w:rPr>
          <w:rFonts w:ascii="Times New Roman" w:hAnsi="Times New Roman"/>
          <w:sz w:val="24"/>
          <w:szCs w:val="24"/>
        </w:rPr>
      </w:pPr>
      <w:r>
        <w:rPr>
          <w:rFonts w:ascii="Times New Roman" w:hAnsi="Times New Roman"/>
          <w:sz w:val="24"/>
          <w:szCs w:val="24"/>
        </w:rPr>
        <w:t xml:space="preserve">Below </w:t>
      </w:r>
      <w:r w:rsidR="0034336E">
        <w:rPr>
          <w:rFonts w:ascii="Times New Roman" w:hAnsi="Times New Roman"/>
          <w:sz w:val="24"/>
          <w:szCs w:val="24"/>
        </w:rPr>
        <w:t>is</w:t>
      </w:r>
      <w:r>
        <w:rPr>
          <w:rFonts w:ascii="Times New Roman" w:hAnsi="Times New Roman"/>
          <w:sz w:val="24"/>
          <w:szCs w:val="24"/>
        </w:rPr>
        <w:t xml:space="preserve"> some additional useful information for readers to know to better understand the information presented in the Commission’s budget request:</w:t>
      </w:r>
    </w:p>
    <w:p w:rsidR="00961875" w:rsidRDefault="00961875" w:rsidP="000412DA">
      <w:pPr>
        <w:pStyle w:val="ListParagraph"/>
        <w:numPr>
          <w:ilvl w:val="0"/>
          <w:numId w:val="30"/>
        </w:numPr>
        <w:spacing w:after="160"/>
        <w:jc w:val="both"/>
        <w:rPr>
          <w:szCs w:val="24"/>
        </w:rPr>
      </w:pPr>
      <w:r>
        <w:rPr>
          <w:szCs w:val="24"/>
        </w:rPr>
        <w:t>FY 2016 numbers presented are actual numbers.</w:t>
      </w:r>
    </w:p>
    <w:p w:rsidR="00961875" w:rsidRDefault="00961875" w:rsidP="00961875">
      <w:pPr>
        <w:pStyle w:val="ListParagraph"/>
        <w:rPr>
          <w:szCs w:val="24"/>
        </w:rPr>
      </w:pPr>
    </w:p>
    <w:p w:rsidR="00961875" w:rsidRDefault="00961875" w:rsidP="000412DA">
      <w:pPr>
        <w:pStyle w:val="ListParagraph"/>
        <w:numPr>
          <w:ilvl w:val="0"/>
          <w:numId w:val="30"/>
        </w:numPr>
        <w:spacing w:after="160"/>
        <w:jc w:val="both"/>
        <w:rPr>
          <w:szCs w:val="24"/>
        </w:rPr>
      </w:pPr>
      <w:r>
        <w:rPr>
          <w:szCs w:val="24"/>
        </w:rPr>
        <w:t xml:space="preserve">FY 2017 numbers presented are the numbers </w:t>
      </w:r>
      <w:r w:rsidR="00B70F75">
        <w:rPr>
          <w:szCs w:val="24"/>
        </w:rPr>
        <w:t>enacted.</w:t>
      </w:r>
    </w:p>
    <w:p w:rsidR="00961875" w:rsidRPr="00325189" w:rsidRDefault="00961875" w:rsidP="00961875">
      <w:pPr>
        <w:pStyle w:val="ListParagraph"/>
        <w:rPr>
          <w:szCs w:val="24"/>
        </w:rPr>
      </w:pPr>
    </w:p>
    <w:p w:rsidR="00961875" w:rsidRDefault="00961875" w:rsidP="000412DA">
      <w:pPr>
        <w:pStyle w:val="ListParagraph"/>
        <w:numPr>
          <w:ilvl w:val="0"/>
          <w:numId w:val="30"/>
        </w:numPr>
        <w:spacing w:after="160"/>
        <w:jc w:val="both"/>
        <w:rPr>
          <w:szCs w:val="24"/>
        </w:rPr>
      </w:pPr>
      <w:r>
        <w:rPr>
          <w:szCs w:val="24"/>
        </w:rPr>
        <w:t>FY 2018 FTEs were calculated assuming a hiring freeze in place from January 23, 2017 through September 30, 2018.</w:t>
      </w:r>
    </w:p>
    <w:p w:rsidR="00961875" w:rsidRPr="00325189" w:rsidRDefault="00961875" w:rsidP="00961875">
      <w:pPr>
        <w:pStyle w:val="ListParagraph"/>
        <w:rPr>
          <w:szCs w:val="24"/>
        </w:rPr>
      </w:pPr>
    </w:p>
    <w:p w:rsidR="00961875" w:rsidRPr="0034336E" w:rsidRDefault="00961875" w:rsidP="000412DA">
      <w:pPr>
        <w:pStyle w:val="ListParagraph"/>
        <w:numPr>
          <w:ilvl w:val="0"/>
          <w:numId w:val="30"/>
        </w:numPr>
        <w:spacing w:after="160"/>
        <w:jc w:val="both"/>
        <w:rPr>
          <w:szCs w:val="24"/>
        </w:rPr>
      </w:pPr>
      <w:r w:rsidRPr="00026AF1">
        <w:rPr>
          <w:szCs w:val="24"/>
        </w:rPr>
        <w:t xml:space="preserve">FTE numbers listed for each Bureau and Office for FY 2018 were calculated by prorating the total decline in FTE’s across the Bureaus and Offices by using the </w:t>
      </w:r>
      <w:r w:rsidR="00027FD5" w:rsidRPr="00026AF1">
        <w:rPr>
          <w:szCs w:val="24"/>
        </w:rPr>
        <w:t xml:space="preserve">FTE number </w:t>
      </w:r>
      <w:r w:rsidR="000338BB" w:rsidRPr="00026AF1">
        <w:rPr>
          <w:szCs w:val="24"/>
        </w:rPr>
        <w:t>enacted in</w:t>
      </w:r>
      <w:r w:rsidR="00027FD5" w:rsidRPr="00026AF1">
        <w:rPr>
          <w:szCs w:val="24"/>
        </w:rPr>
        <w:t xml:space="preserve"> FY 2017</w:t>
      </w:r>
      <w:r w:rsidR="00026AF1">
        <w:rPr>
          <w:szCs w:val="24"/>
        </w:rPr>
        <w:t xml:space="preserve"> </w:t>
      </w:r>
      <w:r w:rsidR="00A40887">
        <w:rPr>
          <w:szCs w:val="24"/>
        </w:rPr>
        <w:t xml:space="preserve">with the </w:t>
      </w:r>
      <w:r w:rsidR="00026AF1">
        <w:rPr>
          <w:szCs w:val="24"/>
        </w:rPr>
        <w:t>except</w:t>
      </w:r>
      <w:r w:rsidR="00A40887">
        <w:rPr>
          <w:szCs w:val="24"/>
        </w:rPr>
        <w:t>ion of</w:t>
      </w:r>
      <w:r w:rsidR="00026AF1">
        <w:rPr>
          <w:szCs w:val="24"/>
        </w:rPr>
        <w:t xml:space="preserve"> the Office of the Chairman and Commissioners</w:t>
      </w:r>
      <w:r w:rsidRPr="0034336E">
        <w:rPr>
          <w:szCs w:val="24"/>
        </w:rPr>
        <w:t xml:space="preserve">.  </w:t>
      </w:r>
    </w:p>
    <w:p w:rsidR="00961875" w:rsidRPr="00C85F2C" w:rsidRDefault="00961875" w:rsidP="00961875">
      <w:pPr>
        <w:pStyle w:val="ListParagraph"/>
        <w:rPr>
          <w:szCs w:val="24"/>
        </w:rPr>
      </w:pPr>
    </w:p>
    <w:p w:rsidR="00961875" w:rsidRPr="00C55D64" w:rsidRDefault="00961875" w:rsidP="000412DA">
      <w:pPr>
        <w:pStyle w:val="ListParagraph"/>
        <w:numPr>
          <w:ilvl w:val="0"/>
          <w:numId w:val="30"/>
        </w:numPr>
        <w:spacing w:after="160"/>
        <w:jc w:val="both"/>
        <w:rPr>
          <w:szCs w:val="24"/>
        </w:rPr>
      </w:pPr>
      <w:r>
        <w:rPr>
          <w:szCs w:val="24"/>
        </w:rPr>
        <w:t xml:space="preserve">The Commission’s Lease for Portals II (headquarters building) expires in October 2017, and the Commission does not know the amount of rent it will pay for this facility in FY 2018.  </w:t>
      </w:r>
      <w:r w:rsidRPr="00C55D64">
        <w:rPr>
          <w:szCs w:val="24"/>
        </w:rPr>
        <w:t>As such, the Commission has included an estimate for rent for FY 2018 that shows no increase in the amount for rent from FY 2017.</w:t>
      </w:r>
    </w:p>
    <w:p w:rsidR="001619D1" w:rsidRDefault="001619D1" w:rsidP="00AD16CA">
      <w:pPr>
        <w:spacing w:after="0" w:line="240" w:lineRule="auto"/>
        <w:ind w:left="360"/>
        <w:jc w:val="both"/>
        <w:rPr>
          <w:rFonts w:ascii="Times New Roman" w:hAnsi="Times New Roman"/>
          <w:b/>
          <w:bCs/>
          <w:sz w:val="24"/>
          <w:szCs w:val="24"/>
        </w:rPr>
      </w:pPr>
      <w:r w:rsidRPr="001619D1">
        <w:rPr>
          <w:rFonts w:ascii="Times New Roman" w:hAnsi="Times New Roman"/>
          <w:i/>
          <w:iCs/>
          <w:sz w:val="24"/>
          <w:szCs w:val="24"/>
        </w:rPr>
        <w:t xml:space="preserve"> </w:t>
      </w:r>
      <w:r w:rsidRPr="001619D1">
        <w:rPr>
          <w:rFonts w:ascii="Times New Roman" w:hAnsi="Times New Roman"/>
          <w:b/>
          <w:bCs/>
          <w:sz w:val="24"/>
          <w:szCs w:val="24"/>
        </w:rPr>
        <w:t xml:space="preserve">  </w:t>
      </w:r>
    </w:p>
    <w:p w:rsidR="00296193" w:rsidRPr="005E3C16" w:rsidRDefault="00296193" w:rsidP="006C4D77">
      <w:pPr>
        <w:spacing w:after="0" w:line="240" w:lineRule="auto"/>
        <w:jc w:val="both"/>
        <w:rPr>
          <w:rFonts w:ascii="Times New Roman" w:hAnsi="Times New Roman"/>
        </w:rPr>
        <w:sectPr w:rsidR="00296193" w:rsidRPr="005E3C16" w:rsidSect="00DC5B39">
          <w:pgSz w:w="12240" w:h="15840" w:code="1"/>
          <w:pgMar w:top="1152" w:right="1350" w:bottom="1152" w:left="1440" w:header="720" w:footer="288" w:gutter="0"/>
          <w:cols w:space="720"/>
          <w:docGrid w:linePitch="326"/>
        </w:sectPr>
      </w:pPr>
    </w:p>
    <w:p w:rsidR="000657C2" w:rsidRPr="005F6ED0" w:rsidRDefault="000657C2" w:rsidP="007178DE">
      <w:pPr>
        <w:pStyle w:val="Heading2"/>
        <w:rPr>
          <w:sz w:val="28"/>
          <w:szCs w:val="28"/>
        </w:rPr>
      </w:pPr>
      <w:bookmarkStart w:id="2" w:name="_Toc483207965"/>
      <w:r w:rsidRPr="00670EEF">
        <w:rPr>
          <w:sz w:val="28"/>
          <w:szCs w:val="28"/>
        </w:rPr>
        <w:t>F</w:t>
      </w:r>
      <w:r w:rsidR="00FE60A8" w:rsidRPr="00670EEF">
        <w:rPr>
          <w:sz w:val="28"/>
          <w:szCs w:val="28"/>
        </w:rPr>
        <w:t xml:space="preserve">iscal </w:t>
      </w:r>
      <w:r w:rsidRPr="00670EEF">
        <w:rPr>
          <w:sz w:val="28"/>
          <w:szCs w:val="28"/>
        </w:rPr>
        <w:t>Y</w:t>
      </w:r>
      <w:r w:rsidR="00FE60A8" w:rsidRPr="00670EEF">
        <w:rPr>
          <w:sz w:val="28"/>
          <w:szCs w:val="28"/>
        </w:rPr>
        <w:t>ear</w:t>
      </w:r>
      <w:r w:rsidRPr="00670EEF">
        <w:rPr>
          <w:sz w:val="28"/>
          <w:szCs w:val="28"/>
        </w:rPr>
        <w:t xml:space="preserve"> 201</w:t>
      </w:r>
      <w:r w:rsidR="00DC41D0" w:rsidRPr="00670EEF">
        <w:rPr>
          <w:sz w:val="28"/>
          <w:szCs w:val="28"/>
        </w:rPr>
        <w:t>8</w:t>
      </w:r>
      <w:r w:rsidRPr="00670EEF">
        <w:rPr>
          <w:sz w:val="28"/>
          <w:szCs w:val="28"/>
        </w:rPr>
        <w:t xml:space="preserve"> P</w:t>
      </w:r>
      <w:r w:rsidR="00602892" w:rsidRPr="00670EEF">
        <w:rPr>
          <w:sz w:val="28"/>
          <w:szCs w:val="28"/>
        </w:rPr>
        <w:t>roposed Appropriation Language</w:t>
      </w:r>
      <w:bookmarkEnd w:id="2"/>
    </w:p>
    <w:p w:rsidR="000657C2" w:rsidRDefault="000657C2" w:rsidP="000657C2">
      <w:pPr>
        <w:tabs>
          <w:tab w:val="center" w:pos="7194"/>
        </w:tabs>
        <w:suppressAutoHyphens/>
        <w:spacing w:after="0" w:line="240" w:lineRule="auto"/>
        <w:jc w:val="center"/>
        <w:rPr>
          <w:rFonts w:ascii="Times New Roman" w:eastAsia="Times New Roman" w:hAnsi="Times New Roman"/>
          <w:b/>
          <w:color w:val="000000"/>
          <w:spacing w:val="-2"/>
        </w:rPr>
      </w:pPr>
    </w:p>
    <w:p w:rsidR="00FE60A8" w:rsidRDefault="00AA0609" w:rsidP="00CD6A07">
      <w:pPr>
        <w:spacing w:line="360" w:lineRule="auto"/>
        <w:ind w:firstLine="720"/>
        <w:jc w:val="both"/>
        <w:sectPr w:rsidR="00FE60A8" w:rsidSect="002733B4">
          <w:pgSz w:w="12240" w:h="15840" w:code="1"/>
          <w:pgMar w:top="1152" w:right="1440" w:bottom="2070" w:left="1440" w:header="720" w:footer="619" w:gutter="0"/>
          <w:cols w:space="720"/>
          <w:docGrid w:linePitch="326"/>
        </w:sectPr>
      </w:pPr>
      <w:r w:rsidRPr="00CE4799">
        <w:rPr>
          <w:rFonts w:ascii="Times New Roman" w:eastAsia="Times New Roman" w:hAnsi="Times New Roman"/>
          <w:color w:val="000000"/>
          <w:sz w:val="24"/>
          <w:szCs w:val="24"/>
        </w:rPr>
        <w:t>For necessary expenses of the Federal Communications Commission, as authorized by law, including uniforms and allowances therefor, as authorized by 5 U.S.C. 5901–5902; not to exceed $4,000 for official reception and representation expenses; purchase and hire of motor vehicles; special counsel fees; and services as authorized by 5 U.S.C. 3109, $322,035,000, to remain available until expended: </w:t>
      </w:r>
      <w:r w:rsidRPr="00CE4799">
        <w:rPr>
          <w:rFonts w:ascii="Times New Roman" w:eastAsia="Times New Roman" w:hAnsi="Times New Roman"/>
          <w:i/>
          <w:iCs/>
          <w:color w:val="000000"/>
          <w:sz w:val="24"/>
          <w:szCs w:val="24"/>
        </w:rPr>
        <w:t>Provided</w:t>
      </w:r>
      <w:r w:rsidRPr="00CE4799">
        <w:rPr>
          <w:rFonts w:ascii="Times New Roman" w:eastAsia="Times New Roman" w:hAnsi="Times New Roman"/>
          <w:color w:val="000000"/>
          <w:sz w:val="24"/>
          <w:szCs w:val="24"/>
        </w:rPr>
        <w:t>, That $322,035,000 of offsetting collections shall be assessed and collected pursuant to section 9 of title I of the Communications Act of 1934, shall be retained and used for necessary expenses and shall remain available until expended: </w:t>
      </w:r>
      <w:r w:rsidRPr="00CE4799">
        <w:rPr>
          <w:rFonts w:ascii="Times New Roman" w:eastAsia="Times New Roman" w:hAnsi="Times New Roman"/>
          <w:i/>
          <w:iCs/>
          <w:color w:val="000000"/>
          <w:sz w:val="24"/>
          <w:szCs w:val="24"/>
        </w:rPr>
        <w:t>Provided further</w:t>
      </w:r>
      <w:r w:rsidRPr="00CE4799">
        <w:rPr>
          <w:rFonts w:ascii="Times New Roman" w:eastAsia="Times New Roman" w:hAnsi="Times New Roman"/>
          <w:color w:val="000000"/>
          <w:sz w:val="24"/>
          <w:szCs w:val="24"/>
        </w:rPr>
        <w:t>, That the sum herein appropriated shall be reduced as such offsetting collections are received during fiscal year 2018 so as to result in a final fiscal year 2018 appropriation estimated at $0: </w:t>
      </w:r>
      <w:r w:rsidRPr="00CE4799">
        <w:rPr>
          <w:rFonts w:ascii="Times New Roman" w:eastAsia="Times New Roman" w:hAnsi="Times New Roman"/>
          <w:i/>
          <w:iCs/>
          <w:color w:val="000000"/>
          <w:sz w:val="24"/>
          <w:szCs w:val="24"/>
        </w:rPr>
        <w:t>Provided further</w:t>
      </w:r>
      <w:r w:rsidRPr="00CE4799">
        <w:rPr>
          <w:rFonts w:ascii="Times New Roman" w:eastAsia="Times New Roman" w:hAnsi="Times New Roman"/>
          <w:color w:val="000000"/>
          <w:sz w:val="24"/>
          <w:szCs w:val="24"/>
        </w:rPr>
        <w:t>, That any offsetting collections received in excess of $322,035,000 in fiscal year 2018 shall not be available for obligation: </w:t>
      </w:r>
      <w:r w:rsidRPr="00CE4799">
        <w:rPr>
          <w:rFonts w:ascii="Times New Roman" w:eastAsia="Times New Roman" w:hAnsi="Times New Roman"/>
          <w:i/>
          <w:iCs/>
          <w:color w:val="000000"/>
          <w:sz w:val="24"/>
          <w:szCs w:val="24"/>
        </w:rPr>
        <w:t>Provided further</w:t>
      </w:r>
      <w:r w:rsidRPr="00CE4799">
        <w:rPr>
          <w:rFonts w:ascii="Times New Roman" w:eastAsia="Times New Roman" w:hAnsi="Times New Roman"/>
          <w:color w:val="000000"/>
          <w:sz w:val="24"/>
          <w:szCs w:val="24"/>
        </w:rPr>
        <w:t>, That remaining offsetting collections from prior years collected in excess of the amount specified for collection in each such year and otherwise becoming available on October 1, 2017, shall not be available for obligation: </w:t>
      </w:r>
      <w:r w:rsidRPr="00CE4799">
        <w:rPr>
          <w:rFonts w:ascii="Times New Roman" w:eastAsia="Times New Roman" w:hAnsi="Times New Roman"/>
          <w:i/>
          <w:iCs/>
          <w:color w:val="000000"/>
          <w:sz w:val="24"/>
          <w:szCs w:val="24"/>
        </w:rPr>
        <w:t>Provided further</w:t>
      </w:r>
      <w:r w:rsidRPr="00CE4799">
        <w:rPr>
          <w:rFonts w:ascii="Times New Roman" w:eastAsia="Times New Roman" w:hAnsi="Times New Roman"/>
          <w:color w:val="000000"/>
          <w:sz w:val="24"/>
          <w:szCs w:val="24"/>
        </w:rPr>
        <w:t>, That, notwithstanding 47 U.S.C. 309(j)(8)(B), proceeds from the use of a competitive bidding system that may be retained and made available for obligation shall not exceed $111,150,000 for fiscal year 2018: </w:t>
      </w:r>
      <w:r w:rsidRPr="00CE4799">
        <w:rPr>
          <w:rFonts w:ascii="Times New Roman" w:eastAsia="Times New Roman" w:hAnsi="Times New Roman"/>
          <w:i/>
          <w:iCs/>
          <w:color w:val="000000"/>
          <w:sz w:val="24"/>
          <w:szCs w:val="24"/>
        </w:rPr>
        <w:t>Provided further</w:t>
      </w:r>
      <w:r w:rsidRPr="00CE4799">
        <w:rPr>
          <w:rFonts w:ascii="Times New Roman" w:eastAsia="Times New Roman" w:hAnsi="Times New Roman"/>
          <w:color w:val="000000"/>
          <w:sz w:val="24"/>
          <w:szCs w:val="24"/>
        </w:rPr>
        <w:t>, That, of the amount appropriated under this heading, not less than $11,020,000 shall be for the salaries and expenses of the Office of Inspector General.</w:t>
      </w:r>
      <w:r w:rsidR="00C27E11" w:rsidRPr="000657C2">
        <w:rPr>
          <w:rFonts w:ascii="Times New Roman" w:eastAsia="Times New Roman" w:hAnsi="Times New Roman"/>
          <w:sz w:val="24"/>
          <w:szCs w:val="20"/>
        </w:rPr>
        <w:t xml:space="preserve">  </w:t>
      </w:r>
      <w:r w:rsidR="00C27E11" w:rsidRPr="00FE60A8">
        <w:rPr>
          <w:rFonts w:ascii="Times New Roman" w:eastAsia="Times New Roman" w:hAnsi="Times New Roman"/>
          <w:iCs/>
          <w:sz w:val="24"/>
          <w:szCs w:val="24"/>
        </w:rPr>
        <w:t xml:space="preserve"> </w:t>
      </w:r>
      <w:r w:rsidR="00602892">
        <w:br w:type="page"/>
      </w:r>
    </w:p>
    <w:p w:rsidR="007D58CB" w:rsidRPr="007178DE" w:rsidRDefault="007D58CB" w:rsidP="007178DE">
      <w:pPr>
        <w:pStyle w:val="Heading2"/>
        <w:rPr>
          <w:sz w:val="28"/>
          <w:szCs w:val="28"/>
        </w:rPr>
      </w:pPr>
      <w:bookmarkStart w:id="3" w:name="_Toc483207966"/>
      <w:r w:rsidRPr="00C55D64">
        <w:rPr>
          <w:sz w:val="28"/>
          <w:szCs w:val="28"/>
        </w:rPr>
        <w:t>Legislative Proposals</w:t>
      </w:r>
      <w:bookmarkEnd w:id="3"/>
      <w:r w:rsidRPr="007178DE">
        <w:rPr>
          <w:sz w:val="28"/>
          <w:szCs w:val="28"/>
        </w:rPr>
        <w:t xml:space="preserve"> </w:t>
      </w:r>
    </w:p>
    <w:p w:rsidR="00870E28" w:rsidRPr="00E41224" w:rsidRDefault="00870E28" w:rsidP="007D58CB">
      <w:pPr>
        <w:spacing w:after="0" w:line="240" w:lineRule="auto"/>
        <w:jc w:val="center"/>
        <w:rPr>
          <w:rFonts w:ascii="Times New Roman" w:eastAsia="Times New Roman" w:hAnsi="Times New Roman"/>
          <w:b/>
          <w:bCs/>
          <w:highlight w:val="yellow"/>
        </w:rPr>
      </w:pPr>
    </w:p>
    <w:p w:rsidR="009E4E64" w:rsidRDefault="009E4E64" w:rsidP="002733B4">
      <w:pPr>
        <w:autoSpaceDE w:val="0"/>
        <w:autoSpaceDN w:val="0"/>
        <w:adjustRightInd w:val="0"/>
        <w:spacing w:after="0" w:line="240" w:lineRule="auto"/>
        <w:ind w:right="18"/>
        <w:jc w:val="both"/>
        <w:rPr>
          <w:rFonts w:ascii="Times New Roman" w:eastAsia="Times New Roman" w:hAnsi="Times New Roman"/>
          <w:sz w:val="24"/>
          <w:szCs w:val="24"/>
        </w:rPr>
      </w:pPr>
    </w:p>
    <w:p w:rsidR="00892E8F" w:rsidRPr="00D772F9" w:rsidRDefault="00C55D64" w:rsidP="00C55D64">
      <w:pPr>
        <w:autoSpaceDE w:val="0"/>
        <w:autoSpaceDN w:val="0"/>
        <w:adjustRightInd w:val="0"/>
        <w:spacing w:after="0" w:line="240" w:lineRule="auto"/>
        <w:ind w:right="18"/>
        <w:jc w:val="both"/>
        <w:rPr>
          <w:rFonts w:ascii="Times New Roman" w:eastAsia="Times New Roman" w:hAnsi="Times New Roman"/>
          <w:sz w:val="24"/>
          <w:szCs w:val="24"/>
        </w:rPr>
      </w:pPr>
      <w:r>
        <w:rPr>
          <w:rFonts w:ascii="Times New Roman" w:hAnsi="Times New Roman"/>
          <w:sz w:val="24"/>
          <w:szCs w:val="24"/>
        </w:rPr>
        <w:t>The Administration is proposing legislative changes in the President’s FY 2018 Budget that pertain to the FCC. These proposals are designed to improve spectrum management and represent sound economic policy.</w:t>
      </w:r>
      <w:r w:rsidR="00892E8F" w:rsidRPr="00D772F9">
        <w:rPr>
          <w:rFonts w:ascii="Times New Roman" w:eastAsia="Times New Roman" w:hAnsi="Times New Roman"/>
          <w:sz w:val="24"/>
          <w:szCs w:val="24"/>
        </w:rPr>
        <w:t xml:space="preserve"> </w:t>
      </w:r>
    </w:p>
    <w:p w:rsidR="00892E8F" w:rsidRPr="00D772F9" w:rsidRDefault="00892E8F" w:rsidP="002733B4">
      <w:pPr>
        <w:autoSpaceDE w:val="0"/>
        <w:autoSpaceDN w:val="0"/>
        <w:adjustRightInd w:val="0"/>
        <w:spacing w:after="0" w:line="240" w:lineRule="auto"/>
        <w:ind w:right="18"/>
        <w:rPr>
          <w:rFonts w:ascii="Times New Roman" w:eastAsia="Times New Roman" w:hAnsi="Times New Roman"/>
          <w:b/>
          <w:bCs/>
          <w:sz w:val="24"/>
          <w:szCs w:val="24"/>
        </w:rPr>
      </w:pPr>
    </w:p>
    <w:p w:rsidR="00C55D64" w:rsidRDefault="00C55D64" w:rsidP="00C55D64">
      <w:pPr>
        <w:spacing w:after="0"/>
        <w:rPr>
          <w:rFonts w:ascii="Times New Roman" w:hAnsi="Times New Roman"/>
          <w:b/>
          <w:bCs/>
          <w:sz w:val="24"/>
          <w:szCs w:val="24"/>
          <w:u w:val="single"/>
        </w:rPr>
      </w:pPr>
      <w:r>
        <w:rPr>
          <w:rFonts w:ascii="Times New Roman" w:hAnsi="Times New Roman"/>
          <w:b/>
          <w:bCs/>
          <w:sz w:val="24"/>
          <w:szCs w:val="24"/>
          <w:u w:val="single"/>
        </w:rPr>
        <w:t>Spectrum License Fee Authority</w:t>
      </w:r>
    </w:p>
    <w:p w:rsidR="00C55D64" w:rsidRDefault="00C55D64" w:rsidP="00C55D64">
      <w:pPr>
        <w:spacing w:after="0" w:line="240" w:lineRule="auto"/>
        <w:jc w:val="both"/>
        <w:rPr>
          <w:rFonts w:ascii="Times New Roman" w:hAnsi="Times New Roman"/>
          <w:sz w:val="24"/>
          <w:szCs w:val="24"/>
        </w:rPr>
      </w:pPr>
      <w:r>
        <w:rPr>
          <w:rFonts w:ascii="Times New Roman" w:hAnsi="Times New Roman"/>
          <w:sz w:val="24"/>
          <w:szCs w:val="24"/>
        </w:rPr>
        <w:t>To promote efficient use of the electromagnetic spectrum, the Administration proposes to provide the FCC with new authority to use other economic mechanisms, such as fees, as a spectrum management tool. The FCC would be authorized to set charges for unauctioned spectrum licenses based on spectrum-management principles. Fees would be phased in over time as part of an ongoing rulemaking process to determine the appropriate application and level for fees.</w:t>
      </w:r>
    </w:p>
    <w:p w:rsidR="00C55D64" w:rsidRDefault="00C55D64" w:rsidP="00C55D64">
      <w:pPr>
        <w:spacing w:after="0"/>
        <w:rPr>
          <w:rFonts w:ascii="Times New Roman" w:hAnsi="Times New Roman"/>
          <w:sz w:val="24"/>
          <w:szCs w:val="24"/>
        </w:rPr>
      </w:pPr>
    </w:p>
    <w:p w:rsidR="00C55D64" w:rsidRDefault="00C55D64" w:rsidP="00C55D64">
      <w:pPr>
        <w:spacing w:after="0"/>
        <w:rPr>
          <w:rFonts w:ascii="Times New Roman" w:hAnsi="Times New Roman"/>
          <w:b/>
          <w:bCs/>
          <w:sz w:val="24"/>
          <w:szCs w:val="24"/>
          <w:u w:val="single"/>
        </w:rPr>
      </w:pPr>
      <w:r>
        <w:rPr>
          <w:rFonts w:ascii="Times New Roman" w:hAnsi="Times New Roman"/>
          <w:b/>
          <w:bCs/>
          <w:sz w:val="24"/>
          <w:szCs w:val="24"/>
          <w:u w:val="single"/>
        </w:rPr>
        <w:t>Spectrum Auctions</w:t>
      </w:r>
    </w:p>
    <w:p w:rsidR="0063733E" w:rsidRDefault="00C55D64" w:rsidP="00C55D64">
      <w:pPr>
        <w:spacing w:after="0" w:line="240" w:lineRule="auto"/>
        <w:jc w:val="both"/>
        <w:rPr>
          <w:rFonts w:ascii="Times New Roman" w:hAnsi="Times New Roman"/>
          <w:sz w:val="24"/>
          <w:szCs w:val="24"/>
        </w:rPr>
      </w:pPr>
      <w:r>
        <w:rPr>
          <w:rFonts w:ascii="Times New Roman" w:hAnsi="Times New Roman"/>
          <w:sz w:val="24"/>
          <w:szCs w:val="24"/>
        </w:rPr>
        <w:t>The Spectrum Pipeline Act of 2015 requires 30 MHz of spectrum to be reallocated from Federal use to non-Federal use or shared Federal and non-Federal use, or a combination thereof; requires the FCC to auction this spectrum by 2024; and extends the FCC’s auction authority only to allow auction of this spectrum. To facilitate this, the Act also authorizes the use of funds from the Spectrum Relocation Fund for research and development and planning activities by Federal entities that are expected to increase the probability of relocation from or sharing of Federal spectrum and that meet other requirements. The Budget proposes to require the auction of additional spectrum by 2027 and further extend the FCC’s auction authority solely to allow this auction to proceed.</w:t>
      </w:r>
      <w:r w:rsidR="00C2507A">
        <w:rPr>
          <w:rFonts w:ascii="Times New Roman" w:hAnsi="Times New Roman"/>
          <w:sz w:val="24"/>
          <w:szCs w:val="24"/>
        </w:rPr>
        <w:t xml:space="preserve">  Auction proceeds are expected to </w:t>
      </w:r>
      <w:r w:rsidR="00EB21A4">
        <w:rPr>
          <w:rFonts w:ascii="Times New Roman" w:hAnsi="Times New Roman"/>
          <w:sz w:val="24"/>
          <w:szCs w:val="24"/>
        </w:rPr>
        <w:t>reach</w:t>
      </w:r>
      <w:r w:rsidR="00C2507A">
        <w:rPr>
          <w:rFonts w:ascii="Times New Roman" w:hAnsi="Times New Roman"/>
          <w:sz w:val="24"/>
          <w:szCs w:val="24"/>
        </w:rPr>
        <w:t xml:space="preserve"> $6.0 billion in 2027.</w:t>
      </w:r>
    </w:p>
    <w:p w:rsidR="0063733E" w:rsidRDefault="0063733E" w:rsidP="00C55D64">
      <w:pPr>
        <w:spacing w:after="0" w:line="240" w:lineRule="auto"/>
        <w:jc w:val="both"/>
        <w:rPr>
          <w:rFonts w:ascii="Times New Roman" w:hAnsi="Times New Roman"/>
          <w:sz w:val="24"/>
          <w:szCs w:val="24"/>
        </w:rPr>
      </w:pPr>
    </w:p>
    <w:p w:rsidR="0063733E" w:rsidRPr="00D772F9" w:rsidRDefault="0063733E" w:rsidP="0063733E">
      <w:pPr>
        <w:autoSpaceDE w:val="0"/>
        <w:autoSpaceDN w:val="0"/>
        <w:adjustRightInd w:val="0"/>
        <w:spacing w:after="0" w:line="240" w:lineRule="auto"/>
        <w:ind w:right="18"/>
        <w:rPr>
          <w:rFonts w:ascii="Times New Roman" w:eastAsia="Times New Roman" w:hAnsi="Times New Roman"/>
          <w:b/>
          <w:iCs/>
          <w:sz w:val="24"/>
          <w:szCs w:val="24"/>
          <w:u w:val="single"/>
        </w:rPr>
      </w:pPr>
      <w:r w:rsidRPr="00D772F9">
        <w:rPr>
          <w:rFonts w:ascii="Times New Roman" w:eastAsia="Times New Roman" w:hAnsi="Times New Roman"/>
          <w:b/>
          <w:iCs/>
          <w:sz w:val="24"/>
          <w:szCs w:val="24"/>
          <w:u w:val="single"/>
        </w:rPr>
        <w:t>Auction or Assign via Fee 1675-1680 Megahertz</w:t>
      </w:r>
    </w:p>
    <w:p w:rsidR="00B27F9E" w:rsidRDefault="00B743F2" w:rsidP="0063733E">
      <w:pPr>
        <w:spacing w:after="0" w:line="240" w:lineRule="auto"/>
        <w:jc w:val="both"/>
        <w:rPr>
          <w:rFonts w:ascii="Times New Roman" w:hAnsi="Times New Roman"/>
          <w:sz w:val="24"/>
          <w:szCs w:val="24"/>
        </w:rPr>
      </w:pPr>
      <w:r w:rsidRPr="006C7D87">
        <w:rPr>
          <w:rFonts w:ascii="Times New Roman" w:hAnsi="Times New Roman"/>
          <w:sz w:val="24"/>
          <w:szCs w:val="24"/>
        </w:rPr>
        <w:t>The Budget proposes that the FCC either auction or use f</w:t>
      </w:r>
      <w:r>
        <w:rPr>
          <w:rFonts w:ascii="Times New Roman" w:hAnsi="Times New Roman"/>
          <w:sz w:val="24"/>
          <w:szCs w:val="24"/>
        </w:rPr>
        <w:t xml:space="preserve">ee authority to assign spectrum </w:t>
      </w:r>
      <w:r w:rsidRPr="006C7D87">
        <w:rPr>
          <w:rFonts w:ascii="Times New Roman" w:hAnsi="Times New Roman"/>
          <w:sz w:val="24"/>
          <w:szCs w:val="24"/>
        </w:rPr>
        <w:t xml:space="preserve">frequencies between 1675-1680 megahertz for flexible </w:t>
      </w:r>
      <w:r>
        <w:rPr>
          <w:rFonts w:ascii="Times New Roman" w:hAnsi="Times New Roman"/>
          <w:sz w:val="24"/>
          <w:szCs w:val="24"/>
        </w:rPr>
        <w:t xml:space="preserve">use by 2020, subject to sharing </w:t>
      </w:r>
      <w:r w:rsidRPr="006C7D87">
        <w:rPr>
          <w:rFonts w:ascii="Times New Roman" w:hAnsi="Times New Roman"/>
          <w:sz w:val="24"/>
          <w:szCs w:val="24"/>
        </w:rPr>
        <w:t>arrangements with Federal weather satellites. Currently,</w:t>
      </w:r>
      <w:r>
        <w:rPr>
          <w:rFonts w:ascii="Times New Roman" w:hAnsi="Times New Roman"/>
          <w:sz w:val="24"/>
          <w:szCs w:val="24"/>
        </w:rPr>
        <w:t xml:space="preserve"> the spectrum is being used for </w:t>
      </w:r>
      <w:r w:rsidRPr="006C7D87">
        <w:rPr>
          <w:rFonts w:ascii="Times New Roman" w:hAnsi="Times New Roman"/>
          <w:sz w:val="24"/>
          <w:szCs w:val="24"/>
        </w:rPr>
        <w:t>radiosondes (weather balloons), weather satellite downlinks, an</w:t>
      </w:r>
      <w:r>
        <w:rPr>
          <w:rFonts w:ascii="Times New Roman" w:hAnsi="Times New Roman"/>
          <w:sz w:val="24"/>
          <w:szCs w:val="24"/>
        </w:rPr>
        <w:t xml:space="preserve">d data broadcasts, and the band </w:t>
      </w:r>
      <w:r w:rsidRPr="006C7D87">
        <w:rPr>
          <w:rFonts w:ascii="Times New Roman" w:hAnsi="Times New Roman"/>
          <w:sz w:val="24"/>
          <w:szCs w:val="24"/>
        </w:rPr>
        <w:t xml:space="preserve">will also support future weather satellite operations. NOAA </w:t>
      </w:r>
      <w:r>
        <w:rPr>
          <w:rFonts w:ascii="Times New Roman" w:hAnsi="Times New Roman"/>
          <w:sz w:val="24"/>
          <w:szCs w:val="24"/>
        </w:rPr>
        <w:t xml:space="preserve">began transitioning radiosondes </w:t>
      </w:r>
      <w:r w:rsidRPr="006C7D87">
        <w:rPr>
          <w:rFonts w:ascii="Times New Roman" w:hAnsi="Times New Roman"/>
          <w:sz w:val="24"/>
          <w:szCs w:val="24"/>
        </w:rPr>
        <w:t>operations out of the band in 2016 as part of the Advanced Wireless S</w:t>
      </w:r>
      <w:r>
        <w:rPr>
          <w:rFonts w:ascii="Times New Roman" w:hAnsi="Times New Roman"/>
          <w:sz w:val="24"/>
          <w:szCs w:val="24"/>
        </w:rPr>
        <w:t xml:space="preserve">ervices 3 (AWS-3) </w:t>
      </w:r>
      <w:r w:rsidRPr="006C7D87">
        <w:rPr>
          <w:rFonts w:ascii="Times New Roman" w:hAnsi="Times New Roman"/>
          <w:sz w:val="24"/>
          <w:szCs w:val="24"/>
        </w:rPr>
        <w:t>relocation process. If this proposal is enacted, NOAA would est</w:t>
      </w:r>
      <w:r>
        <w:rPr>
          <w:rFonts w:ascii="Times New Roman" w:hAnsi="Times New Roman"/>
          <w:sz w:val="24"/>
          <w:szCs w:val="24"/>
        </w:rPr>
        <w:t xml:space="preserve">ablish limited protection zones </w:t>
      </w:r>
      <w:r w:rsidRPr="006C7D87">
        <w:rPr>
          <w:rFonts w:ascii="Times New Roman" w:hAnsi="Times New Roman"/>
          <w:sz w:val="24"/>
          <w:szCs w:val="24"/>
        </w:rPr>
        <w:t>for the remaining weather satellite downlinks and develop alterna</w:t>
      </w:r>
      <w:r>
        <w:rPr>
          <w:rFonts w:ascii="Times New Roman" w:hAnsi="Times New Roman"/>
          <w:sz w:val="24"/>
          <w:szCs w:val="24"/>
        </w:rPr>
        <w:t xml:space="preserve">tive data broadcast systems for </w:t>
      </w:r>
      <w:r w:rsidRPr="006C7D87">
        <w:rPr>
          <w:rFonts w:ascii="Times New Roman" w:hAnsi="Times New Roman"/>
          <w:sz w:val="24"/>
          <w:szCs w:val="24"/>
        </w:rPr>
        <w:t>users of its data products. Without this proposal, these frequenci</w:t>
      </w:r>
      <w:r>
        <w:rPr>
          <w:rFonts w:ascii="Times New Roman" w:hAnsi="Times New Roman"/>
          <w:sz w:val="24"/>
          <w:szCs w:val="24"/>
        </w:rPr>
        <w:t xml:space="preserve">es are unlikely to be auctioned </w:t>
      </w:r>
      <w:r w:rsidRPr="006C7D87">
        <w:rPr>
          <w:rFonts w:ascii="Times New Roman" w:hAnsi="Times New Roman"/>
          <w:sz w:val="24"/>
          <w:szCs w:val="24"/>
        </w:rPr>
        <w:t>and repurposed to commercial use. The proposal is expected to</w:t>
      </w:r>
      <w:r>
        <w:rPr>
          <w:rFonts w:ascii="Times New Roman" w:hAnsi="Times New Roman"/>
          <w:sz w:val="24"/>
          <w:szCs w:val="24"/>
        </w:rPr>
        <w:t xml:space="preserve"> raise $</w:t>
      </w:r>
      <w:r w:rsidR="00EB21A4">
        <w:rPr>
          <w:rFonts w:ascii="Times New Roman" w:hAnsi="Times New Roman"/>
          <w:sz w:val="24"/>
          <w:szCs w:val="24"/>
        </w:rPr>
        <w:t>6</w:t>
      </w:r>
      <w:r>
        <w:rPr>
          <w:rFonts w:ascii="Times New Roman" w:hAnsi="Times New Roman"/>
          <w:sz w:val="24"/>
          <w:szCs w:val="24"/>
        </w:rPr>
        <w:t xml:space="preserve">00 million in receipts </w:t>
      </w:r>
      <w:r w:rsidRPr="006C7D87">
        <w:rPr>
          <w:rFonts w:ascii="Times New Roman" w:hAnsi="Times New Roman"/>
          <w:sz w:val="24"/>
          <w:szCs w:val="24"/>
        </w:rPr>
        <w:t>over 10 years.</w:t>
      </w:r>
    </w:p>
    <w:p w:rsidR="00F06B03" w:rsidRDefault="00F06B03" w:rsidP="009E51D2">
      <w:pPr>
        <w:spacing w:after="0" w:line="240" w:lineRule="auto"/>
        <w:rPr>
          <w:rFonts w:ascii="Times New Roman" w:hAnsi="Times New Roman"/>
          <w:b/>
          <w:sz w:val="28"/>
          <w:szCs w:val="28"/>
        </w:rPr>
      </w:pPr>
    </w:p>
    <w:p w:rsidR="0063733E" w:rsidRDefault="0063733E" w:rsidP="009E51D2">
      <w:pPr>
        <w:spacing w:after="0" w:line="240" w:lineRule="auto"/>
        <w:rPr>
          <w:rFonts w:ascii="Times New Roman" w:hAnsi="Times New Roman"/>
          <w:b/>
          <w:sz w:val="28"/>
          <w:szCs w:val="28"/>
        </w:rPr>
      </w:pPr>
    </w:p>
    <w:p w:rsidR="0063733E" w:rsidRDefault="0063733E" w:rsidP="009E51D2">
      <w:pPr>
        <w:spacing w:after="0" w:line="240" w:lineRule="auto"/>
        <w:rPr>
          <w:rFonts w:ascii="Times New Roman" w:hAnsi="Times New Roman"/>
          <w:b/>
          <w:sz w:val="28"/>
          <w:szCs w:val="28"/>
        </w:rPr>
      </w:pPr>
    </w:p>
    <w:p w:rsidR="0063733E" w:rsidRDefault="0063733E" w:rsidP="009E51D2">
      <w:pPr>
        <w:spacing w:after="0" w:line="240" w:lineRule="auto"/>
        <w:rPr>
          <w:rFonts w:ascii="Times New Roman" w:hAnsi="Times New Roman"/>
          <w:b/>
          <w:sz w:val="28"/>
          <w:szCs w:val="28"/>
        </w:rPr>
      </w:pPr>
    </w:p>
    <w:p w:rsidR="0063733E" w:rsidRDefault="0063733E" w:rsidP="009E51D2">
      <w:pPr>
        <w:spacing w:after="0" w:line="240" w:lineRule="auto"/>
        <w:rPr>
          <w:rFonts w:ascii="Times New Roman" w:hAnsi="Times New Roman"/>
          <w:b/>
          <w:sz w:val="28"/>
          <w:szCs w:val="28"/>
        </w:rPr>
      </w:pPr>
    </w:p>
    <w:p w:rsidR="0063733E" w:rsidRDefault="0063733E" w:rsidP="009E51D2">
      <w:pPr>
        <w:spacing w:after="0" w:line="240" w:lineRule="auto"/>
        <w:rPr>
          <w:rFonts w:ascii="Times New Roman" w:hAnsi="Times New Roman"/>
          <w:b/>
          <w:sz w:val="28"/>
          <w:szCs w:val="28"/>
        </w:rPr>
      </w:pPr>
    </w:p>
    <w:p w:rsidR="0063733E" w:rsidRDefault="0063733E" w:rsidP="009E51D2">
      <w:pPr>
        <w:spacing w:after="0" w:line="240" w:lineRule="auto"/>
        <w:rPr>
          <w:rFonts w:ascii="Times New Roman" w:hAnsi="Times New Roman"/>
          <w:b/>
          <w:sz w:val="28"/>
          <w:szCs w:val="28"/>
        </w:rPr>
      </w:pPr>
    </w:p>
    <w:p w:rsidR="0063733E" w:rsidRDefault="0063733E" w:rsidP="009E51D2">
      <w:pPr>
        <w:spacing w:after="0" w:line="240" w:lineRule="auto"/>
        <w:rPr>
          <w:rFonts w:ascii="Times New Roman" w:hAnsi="Times New Roman"/>
          <w:b/>
          <w:sz w:val="28"/>
          <w:szCs w:val="28"/>
        </w:rPr>
        <w:sectPr w:rsidR="0063733E" w:rsidSect="00FE60A8">
          <w:pgSz w:w="12240" w:h="15840" w:code="1"/>
          <w:pgMar w:top="1152" w:right="1152" w:bottom="1152" w:left="1152" w:header="720" w:footer="720" w:gutter="0"/>
          <w:cols w:space="720"/>
          <w:docGrid w:linePitch="326"/>
        </w:sectPr>
      </w:pPr>
    </w:p>
    <w:p w:rsidR="00204C1C" w:rsidRPr="00066E1C" w:rsidRDefault="007178DE" w:rsidP="00F364A7">
      <w:pPr>
        <w:spacing w:after="0"/>
        <w:jc w:val="center"/>
        <w:rPr>
          <w:noProof/>
          <w:sz w:val="10"/>
          <w:szCs w:val="10"/>
        </w:rPr>
      </w:pPr>
      <w:bookmarkStart w:id="4" w:name="_Toc483207967"/>
      <w:r w:rsidRPr="00723AD8">
        <w:rPr>
          <w:rStyle w:val="Heading2Char"/>
          <w:rFonts w:eastAsia="Calibri"/>
          <w:sz w:val="28"/>
          <w:szCs w:val="28"/>
        </w:rPr>
        <w:t>S</w:t>
      </w:r>
      <w:r w:rsidR="00602892" w:rsidRPr="00723AD8">
        <w:rPr>
          <w:rStyle w:val="Heading2Char"/>
          <w:rFonts w:eastAsia="Calibri"/>
          <w:sz w:val="28"/>
          <w:szCs w:val="28"/>
        </w:rPr>
        <w:t xml:space="preserve">ummary of </w:t>
      </w:r>
      <w:r w:rsidRPr="00723AD8">
        <w:rPr>
          <w:rStyle w:val="Heading2Char"/>
          <w:rFonts w:eastAsia="Calibri"/>
          <w:sz w:val="28"/>
          <w:szCs w:val="28"/>
        </w:rPr>
        <w:t>FY</w:t>
      </w:r>
      <w:r w:rsidR="001B5CFE" w:rsidRPr="00723AD8">
        <w:rPr>
          <w:rStyle w:val="Heading2Char"/>
          <w:rFonts w:eastAsia="Calibri"/>
          <w:sz w:val="28"/>
          <w:szCs w:val="28"/>
        </w:rPr>
        <w:t>s</w:t>
      </w:r>
      <w:r w:rsidRPr="00723AD8">
        <w:rPr>
          <w:rStyle w:val="Heading2Char"/>
          <w:rFonts w:eastAsia="Calibri"/>
          <w:sz w:val="28"/>
          <w:szCs w:val="28"/>
        </w:rPr>
        <w:t xml:space="preserve"> 201</w:t>
      </w:r>
      <w:r w:rsidR="00B54448" w:rsidRPr="00723AD8">
        <w:rPr>
          <w:rStyle w:val="Heading2Char"/>
          <w:rFonts w:eastAsia="Calibri"/>
          <w:sz w:val="28"/>
          <w:szCs w:val="28"/>
        </w:rPr>
        <w:t>6</w:t>
      </w:r>
      <w:r w:rsidR="00FA1085" w:rsidRPr="00723AD8">
        <w:rPr>
          <w:rStyle w:val="Heading2Char"/>
          <w:rFonts w:eastAsia="Calibri"/>
          <w:sz w:val="28"/>
          <w:szCs w:val="28"/>
        </w:rPr>
        <w:t xml:space="preserve"> </w:t>
      </w:r>
      <w:r w:rsidR="00BF2212">
        <w:rPr>
          <w:rStyle w:val="Heading2Char"/>
          <w:rFonts w:eastAsia="Calibri"/>
          <w:sz w:val="28"/>
          <w:szCs w:val="28"/>
        </w:rPr>
        <w:t>-</w:t>
      </w:r>
      <w:r w:rsidR="00FA1085" w:rsidRPr="00723AD8">
        <w:rPr>
          <w:rStyle w:val="Heading2Char"/>
          <w:rFonts w:eastAsia="Calibri"/>
          <w:sz w:val="28"/>
          <w:szCs w:val="28"/>
        </w:rPr>
        <w:t xml:space="preserve"> 201</w:t>
      </w:r>
      <w:r w:rsidR="00B54448" w:rsidRPr="00723AD8">
        <w:rPr>
          <w:rStyle w:val="Heading2Char"/>
          <w:rFonts w:eastAsia="Calibri"/>
          <w:sz w:val="28"/>
          <w:szCs w:val="28"/>
        </w:rPr>
        <w:t>8</w:t>
      </w:r>
      <w:r w:rsidR="00FA1085" w:rsidRPr="00723AD8">
        <w:rPr>
          <w:rStyle w:val="Heading2Char"/>
          <w:rFonts w:eastAsia="Calibri"/>
          <w:sz w:val="28"/>
          <w:szCs w:val="28"/>
        </w:rPr>
        <w:t xml:space="preserve"> FTEs </w:t>
      </w:r>
      <w:r w:rsidR="00602892" w:rsidRPr="00723AD8">
        <w:rPr>
          <w:rStyle w:val="Heading2Char"/>
          <w:rFonts w:eastAsia="Calibri"/>
          <w:sz w:val="28"/>
          <w:szCs w:val="28"/>
        </w:rPr>
        <w:t xml:space="preserve">and </w:t>
      </w:r>
      <w:r w:rsidR="00FA1085" w:rsidRPr="00723AD8">
        <w:rPr>
          <w:rStyle w:val="Heading2Char"/>
          <w:rFonts w:eastAsia="Calibri"/>
          <w:sz w:val="28"/>
          <w:szCs w:val="28"/>
        </w:rPr>
        <w:t>F</w:t>
      </w:r>
      <w:r w:rsidR="00602892" w:rsidRPr="00723AD8">
        <w:rPr>
          <w:rStyle w:val="Heading2Char"/>
          <w:rFonts w:eastAsia="Calibri"/>
          <w:sz w:val="28"/>
          <w:szCs w:val="28"/>
        </w:rPr>
        <w:t xml:space="preserve">unding by </w:t>
      </w:r>
      <w:r w:rsidR="00FA1085" w:rsidRPr="00723AD8">
        <w:rPr>
          <w:rStyle w:val="Heading2Char"/>
          <w:rFonts w:eastAsia="Calibri"/>
          <w:sz w:val="28"/>
          <w:szCs w:val="28"/>
        </w:rPr>
        <w:t>B</w:t>
      </w:r>
      <w:r w:rsidR="00602892" w:rsidRPr="00723AD8">
        <w:rPr>
          <w:rStyle w:val="Heading2Char"/>
          <w:rFonts w:eastAsia="Calibri"/>
          <w:sz w:val="28"/>
          <w:szCs w:val="28"/>
        </w:rPr>
        <w:t xml:space="preserve">ureaus and </w:t>
      </w:r>
      <w:r w:rsidR="00FA1085" w:rsidRPr="00723AD8">
        <w:rPr>
          <w:rStyle w:val="Heading2Char"/>
          <w:rFonts w:eastAsia="Calibri"/>
          <w:sz w:val="28"/>
          <w:szCs w:val="28"/>
        </w:rPr>
        <w:t>O</w:t>
      </w:r>
      <w:r w:rsidR="00602892" w:rsidRPr="00723AD8">
        <w:rPr>
          <w:rStyle w:val="Heading2Char"/>
          <w:rFonts w:eastAsia="Calibri"/>
          <w:sz w:val="28"/>
          <w:szCs w:val="28"/>
        </w:rPr>
        <w:t>ffices</w:t>
      </w:r>
      <w:bookmarkEnd w:id="4"/>
      <w:r w:rsidR="00EF2F1C">
        <w:rPr>
          <w:sz w:val="28"/>
          <w:szCs w:val="28"/>
        </w:rPr>
        <w:br/>
      </w:r>
    </w:p>
    <w:p w:rsidR="00F364A7" w:rsidRPr="00F364A7" w:rsidRDefault="00441F72" w:rsidP="00F364A7">
      <w:pPr>
        <w:spacing w:after="0"/>
        <w:jc w:val="center"/>
        <w:rPr>
          <w:sz w:val="16"/>
          <w:szCs w:val="16"/>
        </w:rPr>
      </w:pPr>
      <w:r w:rsidRPr="00441F72">
        <w:rPr>
          <w:noProof/>
        </w:rPr>
        <w:drawing>
          <wp:inline distT="0" distB="0" distL="0" distR="0" wp14:anchorId="25288254" wp14:editId="7CF1EEBC">
            <wp:extent cx="5572125" cy="7019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2125" cy="7019925"/>
                    </a:xfrm>
                    <a:prstGeom prst="rect">
                      <a:avLst/>
                    </a:prstGeom>
                    <a:noFill/>
                    <a:ln>
                      <a:noFill/>
                    </a:ln>
                  </pic:spPr>
                </pic:pic>
              </a:graphicData>
            </a:graphic>
          </wp:inline>
        </w:drawing>
      </w:r>
    </w:p>
    <w:p w:rsidR="00922DC4" w:rsidRPr="00922DC4" w:rsidRDefault="00996C93" w:rsidP="00DC5B39">
      <w:pPr>
        <w:spacing w:after="0" w:line="240" w:lineRule="auto"/>
        <w:ind w:left="720" w:right="900"/>
        <w:jc w:val="both"/>
        <w:rPr>
          <w:rFonts w:ascii="Times New Roman" w:hAnsi="Times New Roman"/>
          <w:sz w:val="24"/>
          <w:szCs w:val="24"/>
        </w:rPr>
      </w:pPr>
      <w:r w:rsidRPr="00DC5B39">
        <w:rPr>
          <w:rFonts w:ascii="Times New Roman" w:hAnsi="Times New Roman"/>
          <w:sz w:val="24"/>
          <w:szCs w:val="24"/>
        </w:rPr>
        <w:t>The Commission is responsible for the overall management, oversight, and administration of the Universal Service Fund (USF), including all USF policy decision</w:t>
      </w:r>
      <w:r w:rsidR="000F3E99" w:rsidRPr="00DC5B39">
        <w:rPr>
          <w:rFonts w:ascii="Times New Roman" w:hAnsi="Times New Roman"/>
          <w:sz w:val="24"/>
          <w:szCs w:val="24"/>
        </w:rPr>
        <w:t>s</w:t>
      </w:r>
      <w:r w:rsidRPr="00DC5B39">
        <w:rPr>
          <w:rFonts w:ascii="Times New Roman" w:hAnsi="Times New Roman"/>
          <w:sz w:val="24"/>
          <w:szCs w:val="24"/>
        </w:rPr>
        <w:t xml:space="preserve">.  </w:t>
      </w:r>
      <w:r w:rsidR="000F3E99" w:rsidRPr="00DC5B39">
        <w:rPr>
          <w:rFonts w:ascii="Times New Roman" w:hAnsi="Times New Roman"/>
          <w:sz w:val="24"/>
          <w:szCs w:val="24"/>
        </w:rPr>
        <w:t xml:space="preserve">All </w:t>
      </w:r>
      <w:r w:rsidR="003C7FC8" w:rsidRPr="00DC5B39">
        <w:rPr>
          <w:rFonts w:ascii="Times New Roman" w:hAnsi="Times New Roman"/>
          <w:sz w:val="24"/>
          <w:szCs w:val="24"/>
        </w:rPr>
        <w:t>USF</w:t>
      </w:r>
      <w:r w:rsidR="00600907" w:rsidRPr="00DC5B39">
        <w:rPr>
          <w:rFonts w:ascii="Times New Roman" w:hAnsi="Times New Roman"/>
          <w:sz w:val="24"/>
          <w:szCs w:val="24"/>
        </w:rPr>
        <w:t xml:space="preserve"> </w:t>
      </w:r>
      <w:r w:rsidR="00870CE0" w:rsidRPr="00DC5B39">
        <w:rPr>
          <w:rFonts w:ascii="Times New Roman" w:hAnsi="Times New Roman"/>
          <w:sz w:val="24"/>
          <w:szCs w:val="24"/>
        </w:rPr>
        <w:t xml:space="preserve">related </w:t>
      </w:r>
      <w:r w:rsidRPr="00DC5B39">
        <w:rPr>
          <w:rFonts w:ascii="Times New Roman" w:hAnsi="Times New Roman"/>
          <w:sz w:val="24"/>
          <w:szCs w:val="24"/>
        </w:rPr>
        <w:t>activities are currently funded by regulatory fees.  The Universal Service Fu</w:t>
      </w:r>
      <w:r w:rsidR="000F3E99" w:rsidRPr="00DC5B39">
        <w:rPr>
          <w:rFonts w:ascii="Times New Roman" w:hAnsi="Times New Roman"/>
          <w:sz w:val="24"/>
          <w:szCs w:val="24"/>
        </w:rPr>
        <w:t>nd Activities and C</w:t>
      </w:r>
      <w:r w:rsidR="004F1B52" w:rsidRPr="00DC5B39">
        <w:rPr>
          <w:rFonts w:ascii="Times New Roman" w:hAnsi="Times New Roman"/>
          <w:sz w:val="24"/>
          <w:szCs w:val="24"/>
        </w:rPr>
        <w:t>osts section on pages 1</w:t>
      </w:r>
      <w:r w:rsidR="00122C0C">
        <w:rPr>
          <w:rFonts w:ascii="Times New Roman" w:hAnsi="Times New Roman"/>
          <w:sz w:val="24"/>
          <w:szCs w:val="24"/>
        </w:rPr>
        <w:t>3</w:t>
      </w:r>
      <w:r w:rsidR="004F1B52" w:rsidRPr="00DC5B39">
        <w:rPr>
          <w:rFonts w:ascii="Times New Roman" w:hAnsi="Times New Roman"/>
          <w:sz w:val="24"/>
          <w:szCs w:val="24"/>
        </w:rPr>
        <w:t xml:space="preserve"> through </w:t>
      </w:r>
      <w:r w:rsidR="00926093" w:rsidRPr="00DC5B39">
        <w:rPr>
          <w:rFonts w:ascii="Times New Roman" w:hAnsi="Times New Roman"/>
          <w:sz w:val="24"/>
          <w:szCs w:val="24"/>
        </w:rPr>
        <w:t>1</w:t>
      </w:r>
      <w:r w:rsidR="00122C0C">
        <w:rPr>
          <w:rFonts w:ascii="Times New Roman" w:hAnsi="Times New Roman"/>
          <w:sz w:val="24"/>
          <w:szCs w:val="24"/>
        </w:rPr>
        <w:t>5</w:t>
      </w:r>
      <w:r w:rsidR="004F1B52" w:rsidRPr="00DC5B39">
        <w:rPr>
          <w:rFonts w:ascii="Times New Roman" w:hAnsi="Times New Roman"/>
          <w:sz w:val="24"/>
          <w:szCs w:val="24"/>
        </w:rPr>
        <w:t xml:space="preserve"> </w:t>
      </w:r>
      <w:r w:rsidR="000F3E99" w:rsidRPr="00DC5B39">
        <w:rPr>
          <w:rFonts w:ascii="Times New Roman" w:hAnsi="Times New Roman"/>
          <w:sz w:val="24"/>
          <w:szCs w:val="24"/>
        </w:rPr>
        <w:t>provides more details related to Commission</w:t>
      </w:r>
      <w:r w:rsidR="00DB0489" w:rsidRPr="00DC5B39">
        <w:rPr>
          <w:rFonts w:ascii="Times New Roman" w:hAnsi="Times New Roman"/>
          <w:sz w:val="24"/>
          <w:szCs w:val="24"/>
        </w:rPr>
        <w:t>’</w:t>
      </w:r>
      <w:r w:rsidR="000F3E99" w:rsidRPr="00DC5B39">
        <w:rPr>
          <w:rFonts w:ascii="Times New Roman" w:hAnsi="Times New Roman"/>
          <w:sz w:val="24"/>
          <w:szCs w:val="24"/>
        </w:rPr>
        <w:t>s USF activities and related costs.</w:t>
      </w:r>
      <w:r w:rsidR="000F3E99">
        <w:rPr>
          <w:rFonts w:ascii="Times New Roman" w:hAnsi="Times New Roman"/>
          <w:sz w:val="24"/>
          <w:szCs w:val="24"/>
        </w:rPr>
        <w:t xml:space="preserve">    </w:t>
      </w:r>
      <w:r>
        <w:rPr>
          <w:rFonts w:ascii="Times New Roman" w:hAnsi="Times New Roman"/>
          <w:sz w:val="24"/>
          <w:szCs w:val="24"/>
        </w:rPr>
        <w:t xml:space="preserve"> </w:t>
      </w:r>
    </w:p>
    <w:p w:rsidR="00FD4264" w:rsidRPr="00A35C36" w:rsidRDefault="00A35C36" w:rsidP="00A35C36">
      <w:pPr>
        <w:tabs>
          <w:tab w:val="left" w:pos="5475"/>
        </w:tabs>
        <w:sectPr w:rsidR="00FD4264" w:rsidRPr="00A35C36" w:rsidSect="00DC5B39">
          <w:headerReference w:type="even" r:id="rId20"/>
          <w:headerReference w:type="default" r:id="rId21"/>
          <w:footerReference w:type="default" r:id="rId22"/>
          <w:headerReference w:type="first" r:id="rId23"/>
          <w:pgSz w:w="12240" w:h="15840" w:code="1"/>
          <w:pgMar w:top="1440" w:right="270" w:bottom="1152" w:left="450" w:header="720" w:footer="720" w:gutter="0"/>
          <w:cols w:space="720"/>
          <w:docGrid w:linePitch="326"/>
        </w:sectPr>
      </w:pPr>
      <w:r>
        <w:tab/>
      </w:r>
    </w:p>
    <w:p w:rsidR="00C400EB" w:rsidRPr="00593490" w:rsidRDefault="00BE4815" w:rsidP="00B80311">
      <w:pPr>
        <w:pStyle w:val="Heading2"/>
        <w:rPr>
          <w:sz w:val="28"/>
          <w:szCs w:val="28"/>
        </w:rPr>
      </w:pPr>
      <w:bookmarkStart w:id="5" w:name="_Toc483207968"/>
      <w:r w:rsidRPr="00644661">
        <w:rPr>
          <w:sz w:val="28"/>
          <w:szCs w:val="28"/>
        </w:rPr>
        <w:t xml:space="preserve">FTEs </w:t>
      </w:r>
      <w:r w:rsidR="00063126" w:rsidRPr="00644661">
        <w:rPr>
          <w:sz w:val="28"/>
          <w:szCs w:val="28"/>
        </w:rPr>
        <w:t>-</w:t>
      </w:r>
      <w:r w:rsidRPr="00644661">
        <w:rPr>
          <w:sz w:val="28"/>
          <w:szCs w:val="28"/>
        </w:rPr>
        <w:t xml:space="preserve"> Historical </w:t>
      </w:r>
      <w:r w:rsidR="00BF2212">
        <w:rPr>
          <w:sz w:val="28"/>
          <w:szCs w:val="28"/>
        </w:rPr>
        <w:t xml:space="preserve">and </w:t>
      </w:r>
      <w:r w:rsidRPr="00644661">
        <w:rPr>
          <w:sz w:val="28"/>
          <w:szCs w:val="28"/>
        </w:rPr>
        <w:t>Estimated</w:t>
      </w:r>
      <w:bookmarkEnd w:id="5"/>
    </w:p>
    <w:p w:rsidR="00BE4815" w:rsidRPr="00B27F9E" w:rsidRDefault="00BE4815" w:rsidP="00DE0CE1">
      <w:pPr>
        <w:tabs>
          <w:tab w:val="center" w:pos="7194"/>
        </w:tabs>
        <w:suppressAutoHyphens/>
        <w:spacing w:after="0" w:line="240" w:lineRule="auto"/>
        <w:jc w:val="center"/>
        <w:rPr>
          <w:rFonts w:ascii="Times New Roman" w:eastAsia="Times New Roman" w:hAnsi="Times New Roman"/>
          <w:color w:val="000000"/>
          <w:spacing w:val="-2"/>
          <w:sz w:val="24"/>
          <w:szCs w:val="24"/>
        </w:rPr>
      </w:pPr>
      <w:r w:rsidRPr="00B27F9E">
        <w:rPr>
          <w:rFonts w:ascii="Times New Roman" w:eastAsia="Times New Roman" w:hAnsi="Times New Roman"/>
          <w:color w:val="000000"/>
          <w:spacing w:val="-2"/>
          <w:sz w:val="24"/>
          <w:szCs w:val="24"/>
        </w:rPr>
        <w:t xml:space="preserve">Fiscal Years 1983 </w:t>
      </w:r>
      <w:r w:rsidR="008D3AB5" w:rsidRPr="00B27F9E">
        <w:rPr>
          <w:rFonts w:ascii="Times New Roman" w:eastAsia="Times New Roman" w:hAnsi="Times New Roman"/>
          <w:color w:val="000000"/>
          <w:spacing w:val="-2"/>
          <w:sz w:val="24"/>
          <w:szCs w:val="24"/>
        </w:rPr>
        <w:t>–</w:t>
      </w:r>
      <w:r w:rsidRPr="00B27F9E">
        <w:rPr>
          <w:rFonts w:ascii="Times New Roman" w:eastAsia="Times New Roman" w:hAnsi="Times New Roman"/>
          <w:color w:val="000000"/>
          <w:spacing w:val="-2"/>
          <w:sz w:val="24"/>
          <w:szCs w:val="24"/>
        </w:rPr>
        <w:t xml:space="preserve"> 201</w:t>
      </w:r>
      <w:r w:rsidR="00A33251">
        <w:rPr>
          <w:rFonts w:ascii="Times New Roman" w:eastAsia="Times New Roman" w:hAnsi="Times New Roman"/>
          <w:color w:val="000000"/>
          <w:spacing w:val="-2"/>
          <w:sz w:val="24"/>
          <w:szCs w:val="24"/>
        </w:rPr>
        <w:t>8</w:t>
      </w:r>
    </w:p>
    <w:p w:rsidR="008D3AB5" w:rsidRPr="00921539" w:rsidRDefault="008D3AB5" w:rsidP="00DE0CE1">
      <w:pPr>
        <w:tabs>
          <w:tab w:val="center" w:pos="7194"/>
        </w:tabs>
        <w:suppressAutoHyphens/>
        <w:spacing w:after="0" w:line="240" w:lineRule="auto"/>
        <w:jc w:val="center"/>
        <w:rPr>
          <w:rFonts w:ascii="Times New Roman" w:eastAsia="Times New Roman" w:hAnsi="Times New Roman"/>
          <w:b/>
          <w:color w:val="000000"/>
          <w:spacing w:val="-2"/>
          <w:sz w:val="20"/>
          <w:szCs w:val="20"/>
        </w:rPr>
      </w:pPr>
    </w:p>
    <w:p w:rsidR="00BE4815" w:rsidRDefault="00600907" w:rsidP="006B6FE8">
      <w:pPr>
        <w:tabs>
          <w:tab w:val="center" w:pos="7194"/>
        </w:tabs>
        <w:suppressAutoHyphens/>
        <w:spacing w:after="0" w:line="240" w:lineRule="auto"/>
        <w:jc w:val="center"/>
        <w:rPr>
          <w:rFonts w:ascii="Times New Roman" w:eastAsia="Times New Roman" w:hAnsi="Times New Roman"/>
          <w:b/>
          <w:color w:val="000000"/>
          <w:spacing w:val="-2"/>
        </w:rPr>
      </w:pPr>
      <w:r>
        <w:rPr>
          <w:rFonts w:ascii="Times New Roman" w:eastAsia="Times New Roman" w:hAnsi="Times New Roman"/>
          <w:b/>
          <w:noProof/>
          <w:color w:val="000000"/>
          <w:spacing w:val="-2"/>
        </w:rPr>
        <w:drawing>
          <wp:inline distT="0" distB="0" distL="0" distR="0" wp14:anchorId="076042D4" wp14:editId="0DD06118">
            <wp:extent cx="7254875" cy="5182235"/>
            <wp:effectExtent l="0" t="0" r="3175" b="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54875" cy="5182235"/>
                    </a:xfrm>
                    <a:prstGeom prst="rect">
                      <a:avLst/>
                    </a:prstGeom>
                    <a:noFill/>
                  </pic:spPr>
                </pic:pic>
              </a:graphicData>
            </a:graphic>
          </wp:inline>
        </w:drawing>
      </w:r>
    </w:p>
    <w:p w:rsidR="00BE4815" w:rsidRDefault="00BE4815" w:rsidP="00DE0CE1">
      <w:pPr>
        <w:tabs>
          <w:tab w:val="center" w:pos="7194"/>
        </w:tabs>
        <w:suppressAutoHyphens/>
        <w:spacing w:after="0" w:line="240" w:lineRule="auto"/>
        <w:jc w:val="center"/>
        <w:rPr>
          <w:rFonts w:ascii="Times New Roman" w:eastAsia="Times New Roman" w:hAnsi="Times New Roman"/>
          <w:b/>
          <w:color w:val="000000"/>
          <w:spacing w:val="-2"/>
        </w:rPr>
      </w:pPr>
    </w:p>
    <w:p w:rsidR="00BE4815" w:rsidRDefault="00BE4815" w:rsidP="00DE0CE1">
      <w:pPr>
        <w:tabs>
          <w:tab w:val="center" w:pos="7194"/>
        </w:tabs>
        <w:suppressAutoHyphens/>
        <w:spacing w:after="0" w:line="240" w:lineRule="auto"/>
        <w:jc w:val="center"/>
        <w:rPr>
          <w:rFonts w:ascii="Times New Roman" w:eastAsia="Times New Roman" w:hAnsi="Times New Roman"/>
          <w:b/>
          <w:color w:val="000000"/>
          <w:spacing w:val="-2"/>
        </w:rPr>
      </w:pPr>
    </w:p>
    <w:p w:rsidR="00BE4815" w:rsidRPr="00BE4815" w:rsidRDefault="00BE4815" w:rsidP="00DE0CE1">
      <w:pPr>
        <w:tabs>
          <w:tab w:val="center" w:pos="7194"/>
        </w:tabs>
        <w:suppressAutoHyphens/>
        <w:spacing w:after="0" w:line="240" w:lineRule="auto"/>
        <w:jc w:val="center"/>
        <w:rPr>
          <w:rFonts w:ascii="Times New Roman" w:eastAsia="Times New Roman" w:hAnsi="Times New Roman"/>
          <w:b/>
          <w:color w:val="000000"/>
          <w:spacing w:val="-2"/>
        </w:rPr>
      </w:pPr>
    </w:p>
    <w:p w:rsidR="00C400EB" w:rsidRPr="00C400EB" w:rsidRDefault="00C400EB" w:rsidP="00DE0CE1">
      <w:pPr>
        <w:tabs>
          <w:tab w:val="center" w:pos="7194"/>
        </w:tabs>
        <w:suppressAutoHyphens/>
        <w:spacing w:after="0" w:line="240" w:lineRule="auto"/>
        <w:jc w:val="center"/>
        <w:rPr>
          <w:rFonts w:ascii="Times New Roman" w:eastAsia="Times New Roman" w:hAnsi="Times New Roman"/>
          <w:b/>
          <w:color w:val="000000"/>
          <w:spacing w:val="-2"/>
          <w:sz w:val="16"/>
          <w:szCs w:val="16"/>
        </w:rPr>
      </w:pPr>
    </w:p>
    <w:p w:rsidR="00C400EB" w:rsidRDefault="00C400EB" w:rsidP="00DE0CE1">
      <w:pPr>
        <w:tabs>
          <w:tab w:val="center" w:pos="7194"/>
        </w:tabs>
        <w:suppressAutoHyphens/>
        <w:spacing w:after="0" w:line="240" w:lineRule="auto"/>
        <w:jc w:val="center"/>
        <w:rPr>
          <w:rFonts w:ascii="Times New Roman" w:eastAsia="Times New Roman" w:hAnsi="Times New Roman"/>
          <w:b/>
          <w:color w:val="000000"/>
          <w:spacing w:val="-2"/>
        </w:rPr>
      </w:pPr>
    </w:p>
    <w:p w:rsidR="00C400EB" w:rsidRDefault="00C400EB" w:rsidP="00DE0CE1">
      <w:pPr>
        <w:tabs>
          <w:tab w:val="center" w:pos="7194"/>
        </w:tabs>
        <w:suppressAutoHyphens/>
        <w:spacing w:after="0" w:line="240" w:lineRule="auto"/>
        <w:jc w:val="center"/>
        <w:rPr>
          <w:rFonts w:ascii="Times New Roman" w:eastAsia="Times New Roman" w:hAnsi="Times New Roman"/>
          <w:b/>
          <w:color w:val="000000"/>
          <w:spacing w:val="-2"/>
        </w:rPr>
      </w:pPr>
    </w:p>
    <w:p w:rsidR="00C400EB" w:rsidRPr="00DE0CE1" w:rsidRDefault="00C400EB" w:rsidP="00DE0CE1">
      <w:pPr>
        <w:tabs>
          <w:tab w:val="center" w:pos="7194"/>
        </w:tabs>
        <w:suppressAutoHyphens/>
        <w:spacing w:after="0" w:line="240" w:lineRule="auto"/>
        <w:jc w:val="center"/>
        <w:rPr>
          <w:rFonts w:ascii="Times New Roman" w:eastAsia="Times New Roman" w:hAnsi="Times New Roman"/>
          <w:b/>
          <w:color w:val="000000"/>
          <w:spacing w:val="-2"/>
        </w:rPr>
      </w:pPr>
    </w:p>
    <w:p w:rsidR="00DE0CE1" w:rsidRPr="00DE0CE1" w:rsidRDefault="006B6FE8" w:rsidP="00DE0CE1">
      <w:pPr>
        <w:spacing w:after="0" w:line="240" w:lineRule="auto"/>
        <w:jc w:val="center"/>
        <w:rPr>
          <w:rFonts w:ascii="Times New Roman" w:eastAsia="Times New Roman" w:hAnsi="Times New Roman"/>
          <w:b/>
          <w:bCs/>
          <w:sz w:val="28"/>
          <w:szCs w:val="28"/>
        </w:rPr>
      </w:pPr>
      <w:r>
        <w:rPr>
          <w:rFonts w:ascii="Times New Roman" w:eastAsia="Times New Roman" w:hAnsi="Times New Roman"/>
          <w:b/>
          <w:noProof/>
          <w:color w:val="000000"/>
          <w:spacing w:val="-2"/>
        </w:rPr>
        <mc:AlternateContent>
          <mc:Choice Requires="wps">
            <w:drawing>
              <wp:anchor distT="0" distB="0" distL="114300" distR="114300" simplePos="0" relativeHeight="251661312" behindDoc="0" locked="0" layoutInCell="1" allowOverlap="1" wp14:anchorId="7955757F" wp14:editId="5E897CC0">
                <wp:simplePos x="0" y="0"/>
                <wp:positionH relativeFrom="column">
                  <wp:posOffset>6767030</wp:posOffset>
                </wp:positionH>
                <wp:positionV relativeFrom="paragraph">
                  <wp:posOffset>6112234</wp:posOffset>
                </wp:positionV>
                <wp:extent cx="190831" cy="381663"/>
                <wp:effectExtent l="57150" t="38100" r="57150" b="75565"/>
                <wp:wrapNone/>
                <wp:docPr id="1341" name="Straight Arrow Connector 1341"/>
                <wp:cNvGraphicFramePr/>
                <a:graphic xmlns:a="http://schemas.openxmlformats.org/drawingml/2006/main">
                  <a:graphicData uri="http://schemas.microsoft.com/office/word/2010/wordprocessingShape">
                    <wps:wsp>
                      <wps:cNvCnPr/>
                      <wps:spPr>
                        <a:xfrm flipH="1" flipV="1">
                          <a:off x="0" y="0"/>
                          <a:ext cx="190831" cy="381663"/>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63EB91" id="_x0000_t32" coordsize="21600,21600" o:spt="32" o:oned="t" path="m,l21600,21600e" filled="f">
                <v:path arrowok="t" fillok="f" o:connecttype="none"/>
                <o:lock v:ext="edit" shapetype="t"/>
              </v:shapetype>
              <v:shape id="Straight Arrow Connector 1341" o:spid="_x0000_s1026" type="#_x0000_t32" style="position:absolute;margin-left:532.85pt;margin-top:481.3pt;width:15.05pt;height:30.0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" strokecolor="red" strokeweight="3pt">
                <v:stroke endarrow="block"/>
                <v:shadow on="t" color="black" opacity="22937f" origin=",.5" offset="0,.63889mm"/>
              </v:shape>
            </w:pict>
          </mc:Fallback>
        </mc:AlternateContent>
      </w:r>
    </w:p>
    <w:p w:rsidR="00191AE9" w:rsidRDefault="00191AE9" w:rsidP="00DE0CE1">
      <w:pPr>
        <w:spacing w:after="0" w:line="240" w:lineRule="auto"/>
        <w:jc w:val="center"/>
        <w:rPr>
          <w:rFonts w:ascii="Times New Roman" w:eastAsia="Times New Roman" w:hAnsi="Times New Roman"/>
          <w:b/>
          <w:bCs/>
          <w:sz w:val="28"/>
          <w:szCs w:val="28"/>
        </w:rPr>
        <w:sectPr w:rsidR="00191AE9" w:rsidSect="00B573D6">
          <w:pgSz w:w="12240" w:h="15840" w:code="1"/>
          <w:pgMar w:top="1440" w:right="360" w:bottom="1152" w:left="450" w:header="720" w:footer="720" w:gutter="0"/>
          <w:cols w:space="720"/>
          <w:docGrid w:linePitch="326"/>
        </w:sectPr>
      </w:pPr>
    </w:p>
    <w:p w:rsidR="00E83F39" w:rsidRPr="003B7837" w:rsidRDefault="001A312A" w:rsidP="00E83F39">
      <w:pPr>
        <w:spacing w:after="0" w:line="240" w:lineRule="auto"/>
        <w:jc w:val="center"/>
        <w:rPr>
          <w:noProof/>
          <w:sz w:val="20"/>
          <w:szCs w:val="20"/>
        </w:rPr>
      </w:pPr>
      <w:bookmarkStart w:id="6" w:name="_Toc483207969"/>
      <w:r w:rsidRPr="00670EEF">
        <w:rPr>
          <w:rStyle w:val="Heading2Char"/>
          <w:rFonts w:eastAsia="Calibri"/>
          <w:sz w:val="28"/>
          <w:szCs w:val="28"/>
        </w:rPr>
        <w:t xml:space="preserve">Summary of Changes </w:t>
      </w:r>
      <w:r w:rsidR="00063126" w:rsidRPr="00670EEF">
        <w:rPr>
          <w:rStyle w:val="Heading2Char"/>
          <w:rFonts w:eastAsia="Calibri"/>
          <w:sz w:val="28"/>
          <w:szCs w:val="28"/>
        </w:rPr>
        <w:t>-</w:t>
      </w:r>
      <w:r w:rsidRPr="00670EEF">
        <w:rPr>
          <w:rStyle w:val="Heading2Char"/>
          <w:rFonts w:eastAsia="Calibri"/>
          <w:sz w:val="28"/>
          <w:szCs w:val="28"/>
        </w:rPr>
        <w:t xml:space="preserve"> Regulatory Fees</w:t>
      </w:r>
      <w:r w:rsidR="007A63B9" w:rsidRPr="00670EEF">
        <w:rPr>
          <w:rStyle w:val="Heading2Char"/>
          <w:rFonts w:eastAsia="Calibri"/>
          <w:sz w:val="28"/>
          <w:szCs w:val="28"/>
        </w:rPr>
        <w:t xml:space="preserve"> </w:t>
      </w:r>
      <w:r w:rsidR="00CB5BFB" w:rsidRPr="00670EEF">
        <w:rPr>
          <w:rStyle w:val="Heading2Char"/>
          <w:rFonts w:eastAsia="Calibri"/>
          <w:sz w:val="28"/>
          <w:szCs w:val="28"/>
        </w:rPr>
        <w:t>(</w:t>
      </w:r>
      <w:r w:rsidR="007A63B9" w:rsidRPr="00670EEF">
        <w:rPr>
          <w:rStyle w:val="Heading2Char"/>
          <w:rFonts w:eastAsia="Calibri"/>
          <w:sz w:val="28"/>
          <w:szCs w:val="28"/>
        </w:rPr>
        <w:t>Offsetting Collections</w:t>
      </w:r>
      <w:r w:rsidR="00CB5BFB" w:rsidRPr="00670EEF">
        <w:rPr>
          <w:rStyle w:val="Heading2Char"/>
          <w:rFonts w:eastAsia="Calibri"/>
          <w:sz w:val="28"/>
          <w:szCs w:val="28"/>
        </w:rPr>
        <w:t>)</w:t>
      </w:r>
      <w:bookmarkEnd w:id="6"/>
      <w:r w:rsidR="00F7363F" w:rsidRPr="003B7837">
        <w:rPr>
          <w:rFonts w:ascii="Times New Roman" w:hAnsi="Times New Roman"/>
          <w:b/>
          <w:sz w:val="28"/>
          <w:szCs w:val="28"/>
        </w:rPr>
        <w:br/>
      </w:r>
    </w:p>
    <w:p w:rsidR="003B7837" w:rsidRDefault="004971AA" w:rsidP="00F7363F">
      <w:pPr>
        <w:jc w:val="center"/>
      </w:pPr>
      <w:r w:rsidRPr="004971AA">
        <w:rPr>
          <w:noProof/>
        </w:rPr>
        <w:drawing>
          <wp:inline distT="0" distB="0" distL="0" distR="0" wp14:anchorId="344981EF" wp14:editId="26C46942">
            <wp:extent cx="5943600" cy="530678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306786"/>
                    </a:xfrm>
                    <a:prstGeom prst="rect">
                      <a:avLst/>
                    </a:prstGeom>
                    <a:noFill/>
                    <a:ln>
                      <a:noFill/>
                    </a:ln>
                  </pic:spPr>
                </pic:pic>
              </a:graphicData>
            </a:graphic>
          </wp:inline>
        </w:drawing>
      </w:r>
      <w:r w:rsidR="008D3AB5" w:rsidRPr="008D3AB5">
        <w:t xml:space="preserve"> </w:t>
      </w:r>
    </w:p>
    <w:p w:rsidR="003B7837" w:rsidRDefault="003B7837" w:rsidP="00F7363F">
      <w:pPr>
        <w:jc w:val="center"/>
      </w:pPr>
    </w:p>
    <w:p w:rsidR="003B7837" w:rsidRDefault="003B7837" w:rsidP="00F7363F">
      <w:pPr>
        <w:jc w:val="center"/>
      </w:pPr>
    </w:p>
    <w:p w:rsidR="00DF35E9" w:rsidRDefault="00DF35E9" w:rsidP="00F7363F">
      <w:pPr>
        <w:jc w:val="center"/>
        <w:sectPr w:rsidR="00DF35E9" w:rsidSect="003B5AAD">
          <w:pgSz w:w="12240" w:h="15840" w:code="1"/>
          <w:pgMar w:top="1440" w:right="1440" w:bottom="1152" w:left="1440" w:header="720" w:footer="720" w:gutter="0"/>
          <w:cols w:space="720"/>
          <w:docGrid w:linePitch="326"/>
        </w:sectPr>
      </w:pPr>
    </w:p>
    <w:p w:rsidR="00DE0CE1" w:rsidRPr="006B2B5F" w:rsidRDefault="00DE0CE1" w:rsidP="00EB6A96">
      <w:pPr>
        <w:pStyle w:val="Heading2"/>
        <w:rPr>
          <w:sz w:val="24"/>
          <w:szCs w:val="24"/>
        </w:rPr>
      </w:pPr>
      <w:bookmarkStart w:id="7" w:name="_Toc483207970"/>
      <w:r w:rsidRPr="00083BD6">
        <w:rPr>
          <w:sz w:val="28"/>
          <w:szCs w:val="28"/>
        </w:rPr>
        <w:t>Narrative Explan</w:t>
      </w:r>
      <w:r w:rsidR="0011301F" w:rsidRPr="00083BD6">
        <w:rPr>
          <w:sz w:val="28"/>
          <w:szCs w:val="28"/>
        </w:rPr>
        <w:t xml:space="preserve">ation of </w:t>
      </w:r>
      <w:r w:rsidR="00EB6A96" w:rsidRPr="00083BD6">
        <w:rPr>
          <w:sz w:val="28"/>
          <w:szCs w:val="28"/>
        </w:rPr>
        <w:t>Changes</w:t>
      </w:r>
      <w:r w:rsidR="0011301F" w:rsidRPr="00083BD6">
        <w:rPr>
          <w:sz w:val="28"/>
          <w:szCs w:val="28"/>
        </w:rPr>
        <w:t xml:space="preserve"> </w:t>
      </w:r>
      <w:r w:rsidR="00063126" w:rsidRPr="00083BD6">
        <w:rPr>
          <w:sz w:val="28"/>
          <w:szCs w:val="28"/>
        </w:rPr>
        <w:t>-</w:t>
      </w:r>
      <w:r w:rsidR="000A52F0" w:rsidRPr="00083BD6">
        <w:rPr>
          <w:sz w:val="28"/>
          <w:szCs w:val="28"/>
        </w:rPr>
        <w:t xml:space="preserve"> Salaries and Expenses</w:t>
      </w:r>
      <w:r w:rsidR="006B2B5F" w:rsidRPr="00083BD6">
        <w:rPr>
          <w:sz w:val="28"/>
          <w:szCs w:val="28"/>
        </w:rPr>
        <w:t xml:space="preserve"> - Regulatory Fees</w:t>
      </w:r>
      <w:bookmarkEnd w:id="7"/>
      <w:r w:rsidR="00F96F2A" w:rsidRPr="00EB6A96">
        <w:rPr>
          <w:sz w:val="28"/>
          <w:szCs w:val="28"/>
        </w:rPr>
        <w:br/>
      </w:r>
    </w:p>
    <w:p w:rsidR="009D1EBF" w:rsidRPr="0034336E" w:rsidRDefault="009D1EBF" w:rsidP="00CD6159">
      <w:pPr>
        <w:pStyle w:val="ListParagraph"/>
        <w:numPr>
          <w:ilvl w:val="0"/>
          <w:numId w:val="25"/>
        </w:numPr>
        <w:jc w:val="both"/>
        <w:rPr>
          <w:szCs w:val="24"/>
        </w:rPr>
      </w:pPr>
      <w:bookmarkStart w:id="8" w:name="_Toc408684936"/>
      <w:bookmarkStart w:id="9" w:name="_Toc408685913"/>
      <w:bookmarkStart w:id="10" w:name="_Toc408686767"/>
      <w:bookmarkStart w:id="11" w:name="_Toc408687074"/>
      <w:bookmarkStart w:id="12" w:name="_Toc408687145"/>
      <w:bookmarkStart w:id="13" w:name="_Toc408688095"/>
      <w:bookmarkStart w:id="14" w:name="_Toc408688511"/>
      <w:bookmarkStart w:id="15" w:name="_Toc408689599"/>
      <w:bookmarkStart w:id="16" w:name="_Toc408689754"/>
      <w:bookmarkStart w:id="17" w:name="_Toc408690023"/>
      <w:bookmarkStart w:id="18" w:name="_Toc408850021"/>
      <w:bookmarkStart w:id="19" w:name="_Toc409163452"/>
      <w:bookmarkStart w:id="20" w:name="_Toc409376885"/>
      <w:bookmarkStart w:id="21" w:name="_Toc409377247"/>
      <w:bookmarkStart w:id="22" w:name="_Toc409515959"/>
      <w:bookmarkStart w:id="23" w:name="_Toc409528653"/>
      <w:bookmarkStart w:id="24" w:name="_Toc409529226"/>
      <w:bookmarkStart w:id="25" w:name="_Toc409529509"/>
      <w:bookmarkStart w:id="26" w:name="_Toc409529719"/>
      <w:bookmarkStart w:id="27" w:name="_Toc409695932"/>
      <w:bookmarkStart w:id="28" w:name="_Toc409696731"/>
      <w:bookmarkStart w:id="29" w:name="_Toc409709701"/>
      <w:bookmarkStart w:id="30" w:name="_Toc427432048"/>
      <w:bookmarkStart w:id="31" w:name="_Toc427432762"/>
      <w:r w:rsidRPr="009D1EBF">
        <w:rPr>
          <w:b/>
          <w:szCs w:val="24"/>
          <w:u w:val="single"/>
        </w:rPr>
        <w:t>Personnel Compensation and Benefits</w:t>
      </w:r>
      <w:r>
        <w:rPr>
          <w:szCs w:val="24"/>
        </w:rPr>
        <w:t xml:space="preserve"> – </w:t>
      </w:r>
      <w:r w:rsidRPr="00A92425">
        <w:rPr>
          <w:szCs w:val="24"/>
        </w:rPr>
        <w:t xml:space="preserve">The request </w:t>
      </w:r>
      <w:r w:rsidR="004C6E2E">
        <w:rPr>
          <w:szCs w:val="24"/>
        </w:rPr>
        <w:t xml:space="preserve">includes </w:t>
      </w:r>
      <w:r w:rsidR="00083BD6" w:rsidRPr="00A92425">
        <w:rPr>
          <w:szCs w:val="24"/>
        </w:rPr>
        <w:t xml:space="preserve">a decrease of </w:t>
      </w:r>
      <w:r w:rsidR="00600907">
        <w:rPr>
          <w:szCs w:val="24"/>
        </w:rPr>
        <w:t xml:space="preserve">over </w:t>
      </w:r>
      <w:r w:rsidR="00083BD6" w:rsidRPr="0034336E">
        <w:rPr>
          <w:szCs w:val="24"/>
        </w:rPr>
        <w:t>$</w:t>
      </w:r>
      <w:r w:rsidR="00600907">
        <w:rPr>
          <w:szCs w:val="24"/>
        </w:rPr>
        <w:t>13.8</w:t>
      </w:r>
      <w:r w:rsidR="004E264E" w:rsidRPr="0034336E">
        <w:rPr>
          <w:szCs w:val="24"/>
        </w:rPr>
        <w:t xml:space="preserve"> million, which is a reduction of </w:t>
      </w:r>
      <w:r w:rsidR="00600907">
        <w:rPr>
          <w:szCs w:val="24"/>
        </w:rPr>
        <w:t>94</w:t>
      </w:r>
      <w:r w:rsidR="004E264E" w:rsidRPr="0034336E">
        <w:rPr>
          <w:szCs w:val="24"/>
        </w:rPr>
        <w:t xml:space="preserve"> non-auction </w:t>
      </w:r>
      <w:r w:rsidR="00083BD6" w:rsidRPr="0034336E">
        <w:rPr>
          <w:szCs w:val="24"/>
        </w:rPr>
        <w:t xml:space="preserve">FTEs from the FY 2017 </w:t>
      </w:r>
      <w:r w:rsidR="00600907">
        <w:rPr>
          <w:szCs w:val="24"/>
        </w:rPr>
        <w:t xml:space="preserve">estimated </w:t>
      </w:r>
      <w:r w:rsidR="00083BD6" w:rsidRPr="0034336E">
        <w:rPr>
          <w:szCs w:val="24"/>
        </w:rPr>
        <w:t>level of 1,</w:t>
      </w:r>
      <w:r w:rsidR="00600907">
        <w:rPr>
          <w:szCs w:val="24"/>
        </w:rPr>
        <w:t>300</w:t>
      </w:r>
      <w:r w:rsidR="00211CAD" w:rsidRPr="0034336E">
        <w:rPr>
          <w:szCs w:val="24"/>
        </w:rPr>
        <w:t xml:space="preserve"> </w:t>
      </w:r>
      <w:r w:rsidR="00083BD6" w:rsidRPr="0034336E">
        <w:rPr>
          <w:szCs w:val="24"/>
        </w:rPr>
        <w:t>to 1,</w:t>
      </w:r>
      <w:r w:rsidR="00211CAD" w:rsidRPr="0034336E">
        <w:rPr>
          <w:szCs w:val="24"/>
        </w:rPr>
        <w:t>2</w:t>
      </w:r>
      <w:r w:rsidR="00600907">
        <w:rPr>
          <w:szCs w:val="24"/>
        </w:rPr>
        <w:t>06</w:t>
      </w:r>
      <w:r w:rsidR="00083BD6" w:rsidRPr="0034336E">
        <w:rPr>
          <w:szCs w:val="24"/>
        </w:rPr>
        <w:t xml:space="preserve"> </w:t>
      </w:r>
      <w:r w:rsidR="00A92425" w:rsidRPr="0034336E">
        <w:rPr>
          <w:szCs w:val="24"/>
        </w:rPr>
        <w:t xml:space="preserve">FTEs </w:t>
      </w:r>
      <w:r w:rsidR="00083BD6" w:rsidRPr="0034336E">
        <w:rPr>
          <w:szCs w:val="24"/>
        </w:rPr>
        <w:t>for FY 2018.</w:t>
      </w:r>
      <w:r w:rsidR="00211CAD" w:rsidRPr="0034336E">
        <w:rPr>
          <w:rStyle w:val="FootnoteReference"/>
          <w:szCs w:val="24"/>
        </w:rPr>
        <w:footnoteReference w:id="3"/>
      </w:r>
      <w:r w:rsidR="00083BD6" w:rsidRPr="0034336E">
        <w:rPr>
          <w:szCs w:val="24"/>
        </w:rPr>
        <w:t xml:space="preserve">  This reduction in </w:t>
      </w:r>
      <w:r w:rsidR="00211CAD" w:rsidRPr="0034336E">
        <w:rPr>
          <w:szCs w:val="24"/>
        </w:rPr>
        <w:t xml:space="preserve">non-auction </w:t>
      </w:r>
      <w:r w:rsidR="00083BD6" w:rsidRPr="0034336E">
        <w:rPr>
          <w:szCs w:val="24"/>
        </w:rPr>
        <w:t xml:space="preserve">FTEs </w:t>
      </w:r>
      <w:r w:rsidR="00A92425" w:rsidRPr="0034336E">
        <w:rPr>
          <w:szCs w:val="24"/>
        </w:rPr>
        <w:t xml:space="preserve">is </w:t>
      </w:r>
      <w:r w:rsidR="00923FBF">
        <w:rPr>
          <w:szCs w:val="24"/>
        </w:rPr>
        <w:t xml:space="preserve">a </w:t>
      </w:r>
      <w:r w:rsidR="00B17F39">
        <w:rPr>
          <w:szCs w:val="24"/>
        </w:rPr>
        <w:t>7.2</w:t>
      </w:r>
      <w:r w:rsidR="00083BD6" w:rsidRPr="0034336E">
        <w:rPr>
          <w:szCs w:val="24"/>
        </w:rPr>
        <w:t xml:space="preserve"> percent </w:t>
      </w:r>
      <w:r w:rsidR="004C6E2E" w:rsidRPr="0034336E">
        <w:rPr>
          <w:szCs w:val="24"/>
        </w:rPr>
        <w:t xml:space="preserve">reduction </w:t>
      </w:r>
      <w:r w:rsidR="00A92425" w:rsidRPr="0034336E">
        <w:rPr>
          <w:szCs w:val="24"/>
        </w:rPr>
        <w:t xml:space="preserve">and </w:t>
      </w:r>
      <w:r w:rsidR="00083BD6" w:rsidRPr="0034336E">
        <w:rPr>
          <w:szCs w:val="24"/>
        </w:rPr>
        <w:t xml:space="preserve">is </w:t>
      </w:r>
      <w:r w:rsidR="00083BD6" w:rsidRPr="00427E5F">
        <w:rPr>
          <w:szCs w:val="24"/>
        </w:rPr>
        <w:t>due to the</w:t>
      </w:r>
      <w:r w:rsidR="00427E5F">
        <w:rPr>
          <w:szCs w:val="24"/>
        </w:rPr>
        <w:t xml:space="preserve"> assumption that the hiring freeze would be in effect through FY 2018</w:t>
      </w:r>
      <w:r w:rsidR="00916DEE" w:rsidRPr="00427E5F">
        <w:rPr>
          <w:szCs w:val="24"/>
        </w:rPr>
        <w:t>.</w:t>
      </w:r>
      <w:r w:rsidR="00083BD6" w:rsidRPr="0034336E">
        <w:rPr>
          <w:szCs w:val="24"/>
        </w:rPr>
        <w:t xml:space="preserve">   </w:t>
      </w:r>
    </w:p>
    <w:p w:rsidR="00083BD6" w:rsidRPr="0034336E" w:rsidRDefault="00083BD6" w:rsidP="00083BD6">
      <w:pPr>
        <w:pStyle w:val="ListParagraph"/>
        <w:ind w:left="360"/>
        <w:jc w:val="both"/>
        <w:rPr>
          <w:szCs w:val="24"/>
        </w:rPr>
      </w:pPr>
    </w:p>
    <w:p w:rsidR="002429AD" w:rsidRPr="002429AD" w:rsidRDefault="002429AD" w:rsidP="00CD6159">
      <w:pPr>
        <w:pStyle w:val="ListParagraph"/>
        <w:numPr>
          <w:ilvl w:val="0"/>
          <w:numId w:val="25"/>
        </w:numPr>
        <w:jc w:val="both"/>
        <w:rPr>
          <w:szCs w:val="24"/>
        </w:rPr>
      </w:pPr>
      <w:r w:rsidRPr="0034336E">
        <w:rPr>
          <w:b/>
          <w:szCs w:val="24"/>
          <w:u w:val="single"/>
        </w:rPr>
        <w:t>Other Reductions</w:t>
      </w:r>
      <w:r w:rsidRPr="0034336E">
        <w:rPr>
          <w:b/>
          <w:szCs w:val="24"/>
        </w:rPr>
        <w:t xml:space="preserve"> –</w:t>
      </w:r>
      <w:r w:rsidRPr="0034336E">
        <w:rPr>
          <w:szCs w:val="24"/>
        </w:rPr>
        <w:t xml:space="preserve"> The request includes a decrease of $</w:t>
      </w:r>
      <w:r w:rsidR="00600907">
        <w:rPr>
          <w:szCs w:val="24"/>
        </w:rPr>
        <w:t>4</w:t>
      </w:r>
      <w:r w:rsidRPr="0034336E">
        <w:rPr>
          <w:szCs w:val="24"/>
        </w:rPr>
        <w:t xml:space="preserve"> million in travel, r</w:t>
      </w:r>
      <w:r>
        <w:rPr>
          <w:szCs w:val="24"/>
        </w:rPr>
        <w:t xml:space="preserve">ent, contract services, supplies and materials, and equipment.  </w:t>
      </w:r>
    </w:p>
    <w:p w:rsidR="002429AD" w:rsidRPr="002429AD" w:rsidRDefault="002429AD" w:rsidP="002429AD">
      <w:pPr>
        <w:pStyle w:val="ListParagraph"/>
        <w:rPr>
          <w:b/>
          <w:szCs w:val="24"/>
          <w:u w:val="single"/>
        </w:rPr>
      </w:pPr>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rsidR="000B7F4F" w:rsidRDefault="000B7F4F" w:rsidP="00EF061B">
      <w:pPr>
        <w:pStyle w:val="NoSpacing"/>
        <w:rPr>
          <w:rFonts w:ascii="Times New Roman" w:hAnsi="Times New Roman"/>
          <w:sz w:val="24"/>
          <w:szCs w:val="24"/>
        </w:rPr>
      </w:pPr>
    </w:p>
    <w:p w:rsidR="007C1FC6" w:rsidRPr="003B02B3" w:rsidRDefault="007C1FC6" w:rsidP="007C1FC6">
      <w:pPr>
        <w:spacing w:after="0" w:line="240" w:lineRule="auto"/>
        <w:rPr>
          <w:rFonts w:ascii="Times New Roman" w:hAnsi="Times New Roman"/>
          <w:b/>
          <w:sz w:val="24"/>
          <w:szCs w:val="24"/>
          <w:u w:val="single"/>
        </w:rPr>
      </w:pPr>
      <w:r w:rsidRPr="003B02B3">
        <w:rPr>
          <w:rFonts w:ascii="Times New Roman" w:hAnsi="Times New Roman"/>
          <w:b/>
          <w:sz w:val="24"/>
          <w:szCs w:val="24"/>
          <w:u w:val="single"/>
        </w:rPr>
        <w:t>FCC Agency Reform Plan</w:t>
      </w:r>
    </w:p>
    <w:p w:rsidR="007C1FC6" w:rsidRPr="00BD0E1E" w:rsidRDefault="007C1FC6" w:rsidP="007C1FC6">
      <w:pPr>
        <w:spacing w:after="0" w:line="240" w:lineRule="auto"/>
        <w:rPr>
          <w:rFonts w:ascii="Times New Roman" w:hAnsi="Times New Roman"/>
          <w:sz w:val="24"/>
          <w:szCs w:val="24"/>
        </w:rPr>
      </w:pPr>
    </w:p>
    <w:p w:rsidR="007F79C1" w:rsidRPr="00BD0E1E" w:rsidRDefault="00EA61CE" w:rsidP="007F79C1">
      <w:pPr>
        <w:spacing w:after="0"/>
        <w:jc w:val="both"/>
        <w:rPr>
          <w:rFonts w:ascii="Times New Roman" w:hAnsi="Times New Roman"/>
          <w:sz w:val="24"/>
          <w:szCs w:val="24"/>
        </w:rPr>
      </w:pPr>
      <w:r w:rsidRPr="00BD0E1E">
        <w:rPr>
          <w:rFonts w:ascii="Times New Roman" w:hAnsi="Times New Roman"/>
          <w:sz w:val="24"/>
          <w:szCs w:val="24"/>
        </w:rPr>
        <w:t>Develop and implement the FCC Agency Reform Plan to deliver on the needs of today and the future in a more proactive and efficient manner</w:t>
      </w:r>
      <w:r w:rsidR="007F79C1" w:rsidRPr="00BD0E1E">
        <w:rPr>
          <w:rFonts w:ascii="Times New Roman" w:hAnsi="Times New Roman"/>
          <w:sz w:val="24"/>
          <w:szCs w:val="24"/>
        </w:rPr>
        <w:t>.</w:t>
      </w:r>
    </w:p>
    <w:p w:rsidR="007F79C1" w:rsidRPr="00BD0E1E" w:rsidRDefault="007F79C1" w:rsidP="007F79C1">
      <w:pPr>
        <w:numPr>
          <w:ilvl w:val="0"/>
          <w:numId w:val="33"/>
        </w:numPr>
        <w:spacing w:after="0" w:line="240" w:lineRule="auto"/>
        <w:ind w:left="720"/>
        <w:jc w:val="both"/>
        <w:rPr>
          <w:rFonts w:ascii="Times New Roman" w:hAnsi="Times New Roman"/>
          <w:sz w:val="24"/>
          <w:szCs w:val="24"/>
        </w:rPr>
      </w:pPr>
      <w:r w:rsidRPr="00BD0E1E">
        <w:rPr>
          <w:rFonts w:ascii="Times New Roman" w:hAnsi="Times New Roman"/>
          <w:sz w:val="24"/>
          <w:szCs w:val="24"/>
        </w:rPr>
        <w:t>Develop and implement reforms that focus the Commission on effectively and efficiently delivering programs that are the highest need to citizens and where there is a unique Federal role rather than assuming current programs are optimally designed or even needed.</w:t>
      </w:r>
    </w:p>
    <w:p w:rsidR="007F79C1" w:rsidRPr="00BD0E1E" w:rsidRDefault="007F79C1" w:rsidP="007F79C1">
      <w:pPr>
        <w:numPr>
          <w:ilvl w:val="0"/>
          <w:numId w:val="33"/>
        </w:numPr>
        <w:spacing w:after="0" w:line="240" w:lineRule="auto"/>
        <w:ind w:left="720"/>
        <w:jc w:val="both"/>
        <w:rPr>
          <w:rFonts w:ascii="Times New Roman" w:hAnsi="Times New Roman"/>
          <w:sz w:val="24"/>
          <w:szCs w:val="24"/>
        </w:rPr>
      </w:pPr>
      <w:r w:rsidRPr="00BD0E1E">
        <w:rPr>
          <w:rFonts w:ascii="Times New Roman" w:hAnsi="Times New Roman"/>
          <w:sz w:val="24"/>
          <w:szCs w:val="24"/>
        </w:rPr>
        <w:t>Maximize employee performance and strengthen the Commission by enabling and empowering front-line employees to deliver results, hold them accountable, and reward innovation and success.</w:t>
      </w:r>
    </w:p>
    <w:p w:rsidR="007F79C1" w:rsidRPr="00BD0E1E" w:rsidRDefault="007F79C1" w:rsidP="007F79C1">
      <w:pPr>
        <w:numPr>
          <w:ilvl w:val="0"/>
          <w:numId w:val="33"/>
        </w:numPr>
        <w:spacing w:after="0" w:line="240" w:lineRule="auto"/>
        <w:ind w:left="720"/>
        <w:jc w:val="both"/>
        <w:rPr>
          <w:rFonts w:ascii="Times New Roman" w:hAnsi="Times New Roman"/>
          <w:sz w:val="24"/>
          <w:szCs w:val="24"/>
        </w:rPr>
      </w:pPr>
      <w:r w:rsidRPr="00BD0E1E">
        <w:rPr>
          <w:rFonts w:ascii="Times New Roman" w:hAnsi="Times New Roman"/>
          <w:sz w:val="24"/>
          <w:szCs w:val="24"/>
        </w:rPr>
        <w:t>Collaborate with other agencies and use their lessons learned; leverage shared services opportunities.</w:t>
      </w:r>
    </w:p>
    <w:p w:rsidR="007F79C1" w:rsidRPr="00BD0E1E" w:rsidRDefault="007F79C1" w:rsidP="007F79C1">
      <w:pPr>
        <w:numPr>
          <w:ilvl w:val="0"/>
          <w:numId w:val="33"/>
        </w:numPr>
        <w:spacing w:after="0" w:line="240" w:lineRule="auto"/>
        <w:ind w:left="720"/>
        <w:jc w:val="both"/>
        <w:rPr>
          <w:rFonts w:ascii="Times New Roman" w:hAnsi="Times New Roman"/>
          <w:sz w:val="24"/>
          <w:szCs w:val="24"/>
        </w:rPr>
      </w:pPr>
      <w:r w:rsidRPr="00BD0E1E">
        <w:rPr>
          <w:rFonts w:ascii="Times New Roman" w:hAnsi="Times New Roman"/>
          <w:sz w:val="24"/>
          <w:szCs w:val="24"/>
        </w:rPr>
        <w:t xml:space="preserve">Leverage business management tools that provide real time access to relevant and reliable information for better decision making and overall improved performance. </w:t>
      </w:r>
    </w:p>
    <w:p w:rsidR="007F79C1" w:rsidRPr="00BD0E1E" w:rsidRDefault="007F79C1" w:rsidP="007F79C1">
      <w:pPr>
        <w:numPr>
          <w:ilvl w:val="0"/>
          <w:numId w:val="33"/>
        </w:numPr>
        <w:spacing w:after="0" w:line="240" w:lineRule="auto"/>
        <w:ind w:left="720"/>
        <w:jc w:val="both"/>
        <w:rPr>
          <w:rFonts w:ascii="Times New Roman" w:hAnsi="Times New Roman"/>
          <w:sz w:val="24"/>
          <w:szCs w:val="24"/>
        </w:rPr>
      </w:pPr>
      <w:r w:rsidRPr="00BD0E1E">
        <w:rPr>
          <w:rFonts w:ascii="Times New Roman" w:hAnsi="Times New Roman"/>
          <w:sz w:val="24"/>
          <w:szCs w:val="24"/>
        </w:rPr>
        <w:t xml:space="preserve">Use an enterprise systems management approach to increase economies of scale and reduce administrative costs. </w:t>
      </w:r>
    </w:p>
    <w:p w:rsidR="007C1FC6" w:rsidRPr="007F79C1" w:rsidRDefault="007C1FC6" w:rsidP="003B02B3">
      <w:pPr>
        <w:spacing w:after="0" w:line="240" w:lineRule="auto"/>
        <w:ind w:left="720" w:hanging="360"/>
        <w:jc w:val="both"/>
        <w:rPr>
          <w:rFonts w:ascii="Times New Roman" w:hAnsi="Times New Roman"/>
          <w:sz w:val="24"/>
          <w:szCs w:val="24"/>
        </w:rPr>
      </w:pPr>
    </w:p>
    <w:p w:rsidR="003B02B3" w:rsidRDefault="003B02B3" w:rsidP="003B02B3">
      <w:pPr>
        <w:spacing w:after="0" w:line="240" w:lineRule="auto"/>
        <w:ind w:left="720" w:hanging="360"/>
        <w:jc w:val="both"/>
        <w:rPr>
          <w:rFonts w:ascii="Times New Roman" w:hAnsi="Times New Roman"/>
          <w:sz w:val="24"/>
          <w:szCs w:val="24"/>
        </w:rPr>
      </w:pPr>
    </w:p>
    <w:p w:rsidR="00D92999" w:rsidRDefault="00D92999" w:rsidP="00D92999">
      <w:pPr>
        <w:spacing w:after="0"/>
        <w:rPr>
          <w:rFonts w:ascii="Times New Roman" w:hAnsi="Times New Roman"/>
          <w:b/>
          <w:sz w:val="24"/>
          <w:szCs w:val="24"/>
          <w:u w:val="single"/>
        </w:rPr>
      </w:pPr>
      <w:r w:rsidRPr="00D92999">
        <w:rPr>
          <w:rFonts w:ascii="Times New Roman" w:hAnsi="Times New Roman"/>
          <w:b/>
          <w:sz w:val="24"/>
          <w:szCs w:val="24"/>
          <w:u w:val="single"/>
        </w:rPr>
        <w:t>FCC IT Modernization Strategy</w:t>
      </w:r>
    </w:p>
    <w:p w:rsidR="00D92999" w:rsidRPr="00D92999" w:rsidRDefault="00D92999" w:rsidP="00812E11">
      <w:pPr>
        <w:spacing w:after="0" w:line="240" w:lineRule="auto"/>
        <w:rPr>
          <w:rFonts w:ascii="Times New Roman" w:hAnsi="Times New Roman"/>
          <w:b/>
          <w:sz w:val="24"/>
          <w:szCs w:val="24"/>
          <w:u w:val="single"/>
        </w:rPr>
      </w:pPr>
    </w:p>
    <w:p w:rsidR="0034336E" w:rsidRPr="0034336E" w:rsidRDefault="0034336E" w:rsidP="00812E11">
      <w:pPr>
        <w:spacing w:line="240" w:lineRule="auto"/>
        <w:jc w:val="both"/>
        <w:rPr>
          <w:rFonts w:ascii="Times New Roman" w:hAnsi="Times New Roman"/>
          <w:sz w:val="24"/>
          <w:szCs w:val="24"/>
        </w:rPr>
      </w:pPr>
      <w:r w:rsidRPr="0034336E">
        <w:rPr>
          <w:rFonts w:ascii="Times New Roman" w:hAnsi="Times New Roman"/>
          <w:sz w:val="24"/>
          <w:szCs w:val="24"/>
        </w:rPr>
        <w:t xml:space="preserve">The Federal Communications Commission is engaged in an effort to modernize the Commission’s Information Technology (IT) systems.  The goal of this effort is to transform the services and tools offered by IT from costly legacy solutions to innovative, cloud-based solutions that lower costs and improve security and performance.  FCC prioritizes IT spend according to impact, value, and efficiency gains by investing in modernization instead of maintaining the status quo.  </w:t>
      </w:r>
    </w:p>
    <w:p w:rsidR="0034336E" w:rsidRPr="0034336E" w:rsidRDefault="0034336E" w:rsidP="00812E11">
      <w:pPr>
        <w:spacing w:line="240" w:lineRule="auto"/>
        <w:jc w:val="both"/>
        <w:rPr>
          <w:rFonts w:ascii="Times New Roman" w:hAnsi="Times New Roman"/>
          <w:sz w:val="24"/>
          <w:szCs w:val="24"/>
        </w:rPr>
      </w:pPr>
      <w:r w:rsidRPr="0034336E">
        <w:rPr>
          <w:rFonts w:ascii="Times New Roman" w:hAnsi="Times New Roman"/>
          <w:sz w:val="24"/>
          <w:szCs w:val="24"/>
        </w:rPr>
        <w:t>The FCC has reduced its legacy spend by 35% via achieving technology wins, leveraging agile processes, and ultimately, reducing contract personnel.  Since 2013, IT has accomplished two major milestones which translate in reducing steady state (</w:t>
      </w:r>
      <w:r w:rsidR="00EC064F">
        <w:rPr>
          <w:rFonts w:ascii="Times New Roman" w:hAnsi="Times New Roman"/>
          <w:sz w:val="24"/>
          <w:szCs w:val="24"/>
        </w:rPr>
        <w:t>o</w:t>
      </w:r>
      <w:r w:rsidR="00923FBF">
        <w:rPr>
          <w:rFonts w:ascii="Times New Roman" w:hAnsi="Times New Roman"/>
          <w:sz w:val="24"/>
          <w:szCs w:val="24"/>
        </w:rPr>
        <w:t xml:space="preserve">perations </w:t>
      </w:r>
      <w:r w:rsidRPr="0034336E">
        <w:rPr>
          <w:rFonts w:ascii="Times New Roman" w:hAnsi="Times New Roman"/>
          <w:sz w:val="24"/>
          <w:szCs w:val="24"/>
        </w:rPr>
        <w:t>&amp;</w:t>
      </w:r>
      <w:r w:rsidR="00923FBF">
        <w:rPr>
          <w:rFonts w:ascii="Times New Roman" w:hAnsi="Times New Roman"/>
          <w:sz w:val="24"/>
          <w:szCs w:val="24"/>
        </w:rPr>
        <w:t xml:space="preserve"> </w:t>
      </w:r>
      <w:r w:rsidR="00EC064F">
        <w:rPr>
          <w:rFonts w:ascii="Times New Roman" w:hAnsi="Times New Roman"/>
          <w:sz w:val="24"/>
          <w:szCs w:val="24"/>
        </w:rPr>
        <w:t>m</w:t>
      </w:r>
      <w:r w:rsidR="00923FBF">
        <w:rPr>
          <w:rFonts w:ascii="Times New Roman" w:hAnsi="Times New Roman"/>
          <w:sz w:val="24"/>
          <w:szCs w:val="24"/>
        </w:rPr>
        <w:t>aintenance</w:t>
      </w:r>
      <w:r w:rsidRPr="0034336E">
        <w:rPr>
          <w:rFonts w:ascii="Times New Roman" w:hAnsi="Times New Roman"/>
          <w:sz w:val="24"/>
          <w:szCs w:val="24"/>
        </w:rPr>
        <w:t>) spending from 85% to less than 50% of the IT budget.  First, FCC has targeted and begun migrating legacy systems to Software-as-a-Service (SaaS) and Platform-as-a-Service (PaaS) cloud solutions.  Second, IT physically moved government-owned legacy systems to a commercial cloud provider.  Additionally, as part of this transformation, the security posture of the FCC has been dramatically improved, and reduced audit findings demonstrate the benefit of the investment in next-generation cloud-based security tools.</w:t>
      </w:r>
    </w:p>
    <w:p w:rsidR="0034336E" w:rsidRPr="0034336E" w:rsidRDefault="0034336E" w:rsidP="00812E11">
      <w:pPr>
        <w:spacing w:line="240" w:lineRule="auto"/>
        <w:jc w:val="both"/>
        <w:rPr>
          <w:rFonts w:ascii="Times New Roman" w:hAnsi="Times New Roman"/>
          <w:sz w:val="24"/>
          <w:szCs w:val="24"/>
        </w:rPr>
      </w:pPr>
      <w:r w:rsidRPr="0034336E">
        <w:rPr>
          <w:rFonts w:ascii="Times New Roman" w:hAnsi="Times New Roman"/>
          <w:sz w:val="24"/>
          <w:szCs w:val="24"/>
        </w:rPr>
        <w:t xml:space="preserve">FY 2018 finds the FCC approaching the half-way point in its modernization journey.  Efforts are focused on moving </w:t>
      </w:r>
      <w:r w:rsidR="00173322">
        <w:rPr>
          <w:rFonts w:ascii="Times New Roman" w:hAnsi="Times New Roman"/>
          <w:sz w:val="24"/>
          <w:szCs w:val="24"/>
        </w:rPr>
        <w:t>l</w:t>
      </w:r>
      <w:r w:rsidRPr="0034336E">
        <w:rPr>
          <w:rFonts w:ascii="Times New Roman" w:hAnsi="Times New Roman"/>
          <w:sz w:val="24"/>
          <w:szCs w:val="24"/>
        </w:rPr>
        <w:t xml:space="preserve">icensing systems to the cloud, supporting Mobility Fund II and Connect America Phase II efforts, modernizing the Equipment Authorization System, and completing the Broadcast Incentive Auction.  </w:t>
      </w:r>
    </w:p>
    <w:p w:rsidR="0034336E" w:rsidRPr="0034336E" w:rsidRDefault="0034336E" w:rsidP="00812E11">
      <w:pPr>
        <w:spacing w:line="240" w:lineRule="auto"/>
        <w:jc w:val="both"/>
        <w:rPr>
          <w:rFonts w:ascii="Times New Roman" w:hAnsi="Times New Roman"/>
          <w:sz w:val="24"/>
          <w:szCs w:val="24"/>
        </w:rPr>
      </w:pPr>
      <w:r w:rsidRPr="0034336E">
        <w:rPr>
          <w:rFonts w:ascii="Times New Roman" w:hAnsi="Times New Roman"/>
          <w:sz w:val="24"/>
          <w:szCs w:val="24"/>
        </w:rPr>
        <w:t>Recently completed modernization efforts include:</w:t>
      </w:r>
    </w:p>
    <w:p w:rsidR="0034336E" w:rsidRPr="0034336E" w:rsidRDefault="0034336E" w:rsidP="0034336E">
      <w:pPr>
        <w:pStyle w:val="ListParagraph"/>
        <w:numPr>
          <w:ilvl w:val="0"/>
          <w:numId w:val="27"/>
        </w:numPr>
        <w:spacing w:line="259" w:lineRule="auto"/>
        <w:rPr>
          <w:b/>
          <w:szCs w:val="24"/>
        </w:rPr>
      </w:pPr>
      <w:r w:rsidRPr="0034336E">
        <w:rPr>
          <w:b/>
          <w:szCs w:val="24"/>
        </w:rPr>
        <w:t>Operation Server Lift</w:t>
      </w:r>
    </w:p>
    <w:p w:rsidR="0034336E" w:rsidRDefault="0034336E" w:rsidP="00BF2212">
      <w:pPr>
        <w:spacing w:line="240" w:lineRule="auto"/>
        <w:ind w:left="720"/>
        <w:jc w:val="both"/>
        <w:rPr>
          <w:rFonts w:ascii="Times New Roman" w:hAnsi="Times New Roman"/>
          <w:sz w:val="24"/>
          <w:szCs w:val="24"/>
        </w:rPr>
      </w:pPr>
      <w:r w:rsidRPr="0034336E">
        <w:rPr>
          <w:rFonts w:ascii="Times New Roman" w:hAnsi="Times New Roman"/>
          <w:sz w:val="24"/>
          <w:szCs w:val="24"/>
        </w:rPr>
        <w:t>FCC IT completed “Operation Server Lift” in September 2015.  The move to the cloud and a commercial service provider reduced rack count from 90 to 72, lowering both physical footprint and operating costs.  As a result, the Commission was able to avoid $9 million in hosting costs by performing the Server Lift in 2015 instead of waiting for the Commission headquarters move/restack effort in 2019-2020.  The effort also provided the FCC a more accurate inventory of all the applications, unique configurations, and software in its environment, which has allowed for a more targeted technology modernization.</w:t>
      </w:r>
    </w:p>
    <w:p w:rsidR="0034336E" w:rsidRPr="0034336E" w:rsidRDefault="0034336E" w:rsidP="0034336E">
      <w:pPr>
        <w:pStyle w:val="ListParagraph"/>
        <w:numPr>
          <w:ilvl w:val="0"/>
          <w:numId w:val="27"/>
        </w:numPr>
        <w:spacing w:line="259" w:lineRule="auto"/>
        <w:rPr>
          <w:b/>
          <w:szCs w:val="24"/>
        </w:rPr>
      </w:pPr>
      <w:r w:rsidRPr="0034336E">
        <w:rPr>
          <w:b/>
          <w:szCs w:val="24"/>
        </w:rPr>
        <w:t>FCC Consumer Helpdesk</w:t>
      </w:r>
    </w:p>
    <w:p w:rsidR="0034336E" w:rsidRPr="0034336E" w:rsidRDefault="0034336E" w:rsidP="00BF2212">
      <w:pPr>
        <w:spacing w:line="240" w:lineRule="auto"/>
        <w:ind w:left="720"/>
        <w:jc w:val="both"/>
        <w:rPr>
          <w:rFonts w:ascii="Times New Roman" w:hAnsi="Times New Roman"/>
          <w:sz w:val="24"/>
          <w:szCs w:val="24"/>
        </w:rPr>
      </w:pPr>
      <w:r w:rsidRPr="0034336E">
        <w:rPr>
          <w:rFonts w:ascii="Times New Roman" w:hAnsi="Times New Roman"/>
          <w:sz w:val="24"/>
          <w:szCs w:val="24"/>
        </w:rPr>
        <w:t xml:space="preserve">FCC IT delivered a cloud-based consumer helpdesk solution – instead of spending $3.2 million to internally build a new system over two years as originally quoted, the FCC spent $450,000 for a system that was ready to go in six months.  Additionally, the new solution has annual operations costs of $100,000 in the cloud instead of an estimated annual cost of $640,000 to maintain the system on premises with FCC contract staff and government-owned equipment and software.  </w:t>
      </w:r>
    </w:p>
    <w:p w:rsidR="0034336E" w:rsidRPr="0034336E" w:rsidRDefault="0034336E" w:rsidP="0034336E">
      <w:pPr>
        <w:pStyle w:val="ListParagraph"/>
        <w:numPr>
          <w:ilvl w:val="0"/>
          <w:numId w:val="27"/>
        </w:numPr>
        <w:spacing w:line="259" w:lineRule="auto"/>
        <w:rPr>
          <w:b/>
          <w:szCs w:val="24"/>
        </w:rPr>
      </w:pPr>
      <w:r w:rsidRPr="0034336E">
        <w:rPr>
          <w:b/>
          <w:szCs w:val="24"/>
        </w:rPr>
        <w:t>Office365 and Virtual Desktop Infrastructure</w:t>
      </w:r>
    </w:p>
    <w:p w:rsidR="0034336E" w:rsidRPr="0034336E" w:rsidRDefault="0034336E" w:rsidP="00BF2212">
      <w:pPr>
        <w:pStyle w:val="Default"/>
        <w:ind w:left="720"/>
        <w:jc w:val="both"/>
        <w:rPr>
          <w:rFonts w:ascii="Times New Roman" w:hAnsi="Times New Roman" w:cs="Times New Roman"/>
          <w:color w:val="auto"/>
        </w:rPr>
      </w:pPr>
      <w:r w:rsidRPr="0034336E">
        <w:rPr>
          <w:rFonts w:ascii="Times New Roman" w:hAnsi="Times New Roman" w:cs="Times New Roman"/>
          <w:color w:val="auto"/>
        </w:rPr>
        <w:t xml:space="preserve">The FCC IT team completed a 100% migration of the Commission staff to the Microsoft Office 365 SaaS cloud environment as of August 2015.  To improve accessibility and remote capabilities, the Commission implemented a Virtual Desktop Infrastructure (VDI) solution that supports nearly the entire FCC staff.  The robust platforms have improved the ability for information sharing and collaboration and eliminated nearly </w:t>
      </w:r>
      <w:r w:rsidR="00173322">
        <w:rPr>
          <w:rFonts w:ascii="Times New Roman" w:hAnsi="Times New Roman" w:cs="Times New Roman"/>
          <w:color w:val="auto"/>
        </w:rPr>
        <w:t>a</w:t>
      </w:r>
      <w:r w:rsidRPr="0034336E">
        <w:rPr>
          <w:rFonts w:ascii="Times New Roman" w:hAnsi="Times New Roman" w:cs="Times New Roman"/>
          <w:color w:val="auto"/>
        </w:rPr>
        <w:t xml:space="preserve"> dozen legacy servers.</w:t>
      </w:r>
    </w:p>
    <w:p w:rsidR="0034336E" w:rsidRPr="0034336E" w:rsidRDefault="0034336E" w:rsidP="0034336E">
      <w:pPr>
        <w:pStyle w:val="Default"/>
        <w:rPr>
          <w:rFonts w:ascii="Times New Roman" w:hAnsi="Times New Roman" w:cs="Times New Roman"/>
          <w:color w:val="auto"/>
        </w:rPr>
      </w:pPr>
    </w:p>
    <w:p w:rsidR="0034336E" w:rsidRPr="0034336E" w:rsidRDefault="0034336E" w:rsidP="0034336E">
      <w:pPr>
        <w:spacing w:after="0" w:line="240" w:lineRule="auto"/>
        <w:rPr>
          <w:rFonts w:ascii="Times New Roman" w:hAnsi="Times New Roman"/>
          <w:sz w:val="24"/>
          <w:szCs w:val="24"/>
        </w:rPr>
      </w:pPr>
      <w:r w:rsidRPr="0034336E">
        <w:rPr>
          <w:rFonts w:ascii="Times New Roman" w:hAnsi="Times New Roman"/>
          <w:b/>
          <w:sz w:val="24"/>
          <w:szCs w:val="24"/>
        </w:rPr>
        <w:t>Progress and Funding Challenges</w:t>
      </w:r>
    </w:p>
    <w:p w:rsidR="00D92999" w:rsidRPr="0034336E" w:rsidRDefault="0034336E" w:rsidP="0034336E">
      <w:pPr>
        <w:pStyle w:val="NoSpacing"/>
        <w:jc w:val="both"/>
        <w:rPr>
          <w:rFonts w:ascii="Times New Roman" w:hAnsi="Times New Roman"/>
          <w:sz w:val="24"/>
          <w:szCs w:val="24"/>
        </w:rPr>
      </w:pPr>
      <w:r w:rsidRPr="0034336E">
        <w:rPr>
          <w:rFonts w:ascii="Times New Roman" w:hAnsi="Times New Roman"/>
          <w:sz w:val="24"/>
          <w:szCs w:val="24"/>
        </w:rPr>
        <w:t xml:space="preserve">To date, the FCC has made good progress in the drive to modernize and migrate systems to the cloud.  </w:t>
      </w:r>
      <w:r w:rsidRPr="00DC2733">
        <w:rPr>
          <w:rFonts w:ascii="Times New Roman" w:hAnsi="Times New Roman"/>
          <w:sz w:val="24"/>
          <w:szCs w:val="24"/>
        </w:rPr>
        <w:t>Challenges to the Commission’s</w:t>
      </w:r>
      <w:r w:rsidRPr="0034336E">
        <w:rPr>
          <w:rFonts w:ascii="Times New Roman" w:hAnsi="Times New Roman"/>
          <w:sz w:val="24"/>
          <w:szCs w:val="24"/>
        </w:rPr>
        <w:t xml:space="preserve"> progress include obtaining continued funding necessary to appropriately staff modernization teams and perform migration of legacy systems to cloud platforms.  </w:t>
      </w:r>
      <w:r w:rsidR="0010037D">
        <w:rPr>
          <w:rFonts w:ascii="Times New Roman" w:hAnsi="Times New Roman"/>
          <w:sz w:val="24"/>
          <w:szCs w:val="24"/>
        </w:rPr>
        <w:t xml:space="preserve">The FCC continues to pursue its goals towards 100% cloud services within the decade to best serve the American public and the FCC mission of ubiquitous communication for public safety, defense, education, health, commerce, and international competition. </w:t>
      </w:r>
    </w:p>
    <w:p w:rsidR="00D92999" w:rsidRPr="000B7F4F" w:rsidRDefault="00D92999" w:rsidP="00EF061B">
      <w:pPr>
        <w:pStyle w:val="NoSpacing"/>
        <w:rPr>
          <w:rFonts w:ascii="Times New Roman" w:hAnsi="Times New Roman"/>
          <w:sz w:val="24"/>
          <w:szCs w:val="24"/>
        </w:rPr>
      </w:pPr>
    </w:p>
    <w:p w:rsidR="00633716" w:rsidRPr="00633716" w:rsidRDefault="00633716" w:rsidP="00EF061B">
      <w:pPr>
        <w:spacing w:after="0" w:line="240" w:lineRule="auto"/>
        <w:rPr>
          <w:rFonts w:ascii="Times New Roman" w:eastAsiaTheme="minorHAnsi" w:hAnsi="Times New Roman"/>
          <w:b/>
          <w:bCs/>
          <w:sz w:val="24"/>
          <w:szCs w:val="24"/>
          <w:u w:val="single"/>
        </w:rPr>
      </w:pPr>
      <w:r w:rsidRPr="006B2B5F">
        <w:rPr>
          <w:rFonts w:ascii="Times New Roman" w:eastAsiaTheme="minorHAnsi" w:hAnsi="Times New Roman"/>
          <w:b/>
          <w:bCs/>
          <w:sz w:val="24"/>
          <w:szCs w:val="24"/>
          <w:u w:val="single"/>
        </w:rPr>
        <w:t>Office of Inspector General Narrative</w:t>
      </w:r>
      <w:r w:rsidRPr="007863B7">
        <w:rPr>
          <w:rFonts w:ascii="Times New Roman" w:eastAsiaTheme="minorHAnsi" w:hAnsi="Times New Roman"/>
          <w:b/>
          <w:bCs/>
          <w:sz w:val="24"/>
          <w:szCs w:val="24"/>
          <w:u w:val="single"/>
        </w:rPr>
        <w:t xml:space="preserve"> </w:t>
      </w:r>
    </w:p>
    <w:p w:rsidR="000670ED" w:rsidRDefault="000670ED" w:rsidP="00633716">
      <w:pPr>
        <w:spacing w:after="0" w:line="240" w:lineRule="auto"/>
        <w:jc w:val="both"/>
        <w:rPr>
          <w:rFonts w:ascii="Times New Roman" w:eastAsiaTheme="minorHAnsi" w:hAnsi="Times New Roman"/>
          <w:bCs/>
          <w:color w:val="000000"/>
          <w:sz w:val="24"/>
          <w:szCs w:val="24"/>
        </w:rPr>
      </w:pPr>
    </w:p>
    <w:p w:rsidR="00A15BBB" w:rsidRPr="00A15BBB" w:rsidRDefault="00A15BBB" w:rsidP="00A15BBB">
      <w:pPr>
        <w:spacing w:after="0" w:line="240" w:lineRule="auto"/>
        <w:jc w:val="both"/>
        <w:rPr>
          <w:rFonts w:ascii="Times New Roman" w:hAnsi="Times New Roman"/>
          <w:sz w:val="24"/>
          <w:szCs w:val="24"/>
        </w:rPr>
      </w:pPr>
      <w:r w:rsidRPr="00A15BBB">
        <w:rPr>
          <w:rFonts w:ascii="Times New Roman" w:hAnsi="Times New Roman"/>
          <w:color w:val="000000"/>
          <w:sz w:val="24"/>
          <w:szCs w:val="24"/>
        </w:rPr>
        <w:t>The Office of the Inspector General’s (OIG) workload continues to increase in the areas of audit and investigation and administration.  Currently OIG only takes on top-level investigation cases and high priority financial, information technology and program audits, inspections</w:t>
      </w:r>
      <w:r w:rsidR="00566DCA">
        <w:rPr>
          <w:rFonts w:ascii="Times New Roman" w:hAnsi="Times New Roman"/>
          <w:color w:val="000000"/>
          <w:sz w:val="24"/>
          <w:szCs w:val="24"/>
        </w:rPr>
        <w:t>,</w:t>
      </w:r>
      <w:r w:rsidRPr="00A15BBB">
        <w:rPr>
          <w:rFonts w:ascii="Times New Roman" w:hAnsi="Times New Roman"/>
          <w:color w:val="000000"/>
          <w:sz w:val="24"/>
          <w:szCs w:val="24"/>
        </w:rPr>
        <w:t xml:space="preserve"> and assessments.  The Office keeps focus on increasing mission responsibility and ensuring appropriate staff levels to keep pace with the workload.  The OIG Full Time Equivalent (FTE) staff has been increasing over the past few budget years and this influx has provided OIG more capability to maintain the mission of the OIG and assist with taking on more investigations and performing more audits.</w:t>
      </w:r>
    </w:p>
    <w:p w:rsidR="00A15BBB" w:rsidRPr="00A15BBB" w:rsidRDefault="00A15BBB" w:rsidP="00A15BBB">
      <w:pPr>
        <w:spacing w:after="0" w:line="240" w:lineRule="auto"/>
        <w:jc w:val="both"/>
        <w:rPr>
          <w:rFonts w:ascii="Times New Roman" w:hAnsi="Times New Roman"/>
          <w:sz w:val="24"/>
          <w:szCs w:val="24"/>
        </w:rPr>
      </w:pPr>
    </w:p>
    <w:p w:rsidR="00A15BBB" w:rsidRPr="00A15BBB" w:rsidRDefault="00A15BBB" w:rsidP="00A15BBB">
      <w:pPr>
        <w:spacing w:after="0" w:line="240" w:lineRule="auto"/>
        <w:jc w:val="both"/>
        <w:rPr>
          <w:rFonts w:ascii="Times New Roman" w:hAnsi="Times New Roman"/>
          <w:sz w:val="24"/>
          <w:szCs w:val="24"/>
        </w:rPr>
      </w:pPr>
      <w:r w:rsidRPr="00B16741">
        <w:rPr>
          <w:rFonts w:ascii="Times New Roman" w:hAnsi="Times New Roman"/>
          <w:sz w:val="24"/>
          <w:szCs w:val="24"/>
        </w:rPr>
        <w:t xml:space="preserve">The OIG FY 2018 budget request of $11,020,000 includes a reduction </w:t>
      </w:r>
      <w:r w:rsidR="00B16741" w:rsidRPr="00B16741">
        <w:rPr>
          <w:rFonts w:ascii="Times New Roman" w:hAnsi="Times New Roman"/>
          <w:sz w:val="24"/>
          <w:szCs w:val="24"/>
        </w:rPr>
        <w:t xml:space="preserve">of </w:t>
      </w:r>
      <w:r w:rsidRPr="00B16741">
        <w:rPr>
          <w:rFonts w:ascii="Times New Roman" w:hAnsi="Times New Roman"/>
          <w:sz w:val="24"/>
          <w:szCs w:val="24"/>
        </w:rPr>
        <w:t>$</w:t>
      </w:r>
      <w:r w:rsidR="00B17F39">
        <w:rPr>
          <w:rFonts w:ascii="Times New Roman" w:hAnsi="Times New Roman"/>
          <w:sz w:val="24"/>
          <w:szCs w:val="24"/>
        </w:rPr>
        <w:t>731,000</w:t>
      </w:r>
      <w:r w:rsidRPr="00B16741">
        <w:rPr>
          <w:rFonts w:ascii="Times New Roman" w:hAnsi="Times New Roman"/>
          <w:sz w:val="24"/>
          <w:szCs w:val="24"/>
        </w:rPr>
        <w:t xml:space="preserve"> from the FY 201</w:t>
      </w:r>
      <w:r w:rsidR="00B16741" w:rsidRPr="00B16741">
        <w:rPr>
          <w:rFonts w:ascii="Times New Roman" w:hAnsi="Times New Roman"/>
          <w:sz w:val="24"/>
          <w:szCs w:val="24"/>
        </w:rPr>
        <w:t>7</w:t>
      </w:r>
      <w:r w:rsidRPr="00B16741">
        <w:rPr>
          <w:rFonts w:ascii="Times New Roman" w:hAnsi="Times New Roman"/>
          <w:sz w:val="24"/>
          <w:szCs w:val="24"/>
        </w:rPr>
        <w:t xml:space="preserve"> </w:t>
      </w:r>
      <w:r w:rsidR="00B17F39">
        <w:rPr>
          <w:rFonts w:ascii="Times New Roman" w:hAnsi="Times New Roman"/>
          <w:sz w:val="24"/>
          <w:szCs w:val="24"/>
        </w:rPr>
        <w:t xml:space="preserve">enacted </w:t>
      </w:r>
      <w:r w:rsidRPr="00B16741">
        <w:rPr>
          <w:rFonts w:ascii="Times New Roman" w:hAnsi="Times New Roman"/>
          <w:sz w:val="24"/>
          <w:szCs w:val="24"/>
        </w:rPr>
        <w:t>level of $</w:t>
      </w:r>
      <w:r w:rsidR="00B17F39">
        <w:rPr>
          <w:rFonts w:ascii="Times New Roman" w:hAnsi="Times New Roman"/>
          <w:sz w:val="24"/>
          <w:szCs w:val="24"/>
        </w:rPr>
        <w:t>11,751,000</w:t>
      </w:r>
      <w:r w:rsidRPr="00B16741">
        <w:rPr>
          <w:rFonts w:ascii="Times New Roman" w:hAnsi="Times New Roman"/>
          <w:sz w:val="24"/>
          <w:szCs w:val="24"/>
        </w:rPr>
        <w:t>.</w:t>
      </w:r>
    </w:p>
    <w:p w:rsidR="00A15BBB" w:rsidRPr="00A15BBB" w:rsidRDefault="00A15BBB" w:rsidP="00A15BBB">
      <w:pPr>
        <w:spacing w:after="0" w:line="240" w:lineRule="auto"/>
        <w:jc w:val="both"/>
        <w:rPr>
          <w:rFonts w:ascii="Times New Roman" w:hAnsi="Times New Roman"/>
          <w:sz w:val="24"/>
          <w:szCs w:val="24"/>
        </w:rPr>
      </w:pPr>
      <w:r w:rsidRPr="00A15BBB">
        <w:rPr>
          <w:rFonts w:ascii="Times New Roman" w:hAnsi="Times New Roman"/>
          <w:sz w:val="24"/>
          <w:szCs w:val="24"/>
        </w:rPr>
        <w:t> </w:t>
      </w:r>
    </w:p>
    <w:p w:rsidR="00A15BBB" w:rsidRPr="00A15BBB" w:rsidRDefault="00A15BBB" w:rsidP="00A15BBB">
      <w:pPr>
        <w:spacing w:after="0" w:line="240" w:lineRule="auto"/>
        <w:jc w:val="both"/>
        <w:rPr>
          <w:rFonts w:ascii="Times New Roman" w:hAnsi="Times New Roman"/>
          <w:sz w:val="24"/>
          <w:szCs w:val="24"/>
          <w:highlight w:val="yellow"/>
        </w:rPr>
      </w:pPr>
      <w:r w:rsidRPr="00A15BBB">
        <w:rPr>
          <w:rFonts w:ascii="Times New Roman" w:hAnsi="Times New Roman"/>
          <w:sz w:val="24"/>
          <w:szCs w:val="24"/>
        </w:rPr>
        <w:t>OIG audits help FCC management identify internal control weaknesses and program risks, including fraud, waste and abuse</w:t>
      </w:r>
      <w:r w:rsidR="00566DCA">
        <w:rPr>
          <w:rFonts w:ascii="Times New Roman" w:hAnsi="Times New Roman"/>
          <w:sz w:val="24"/>
          <w:szCs w:val="24"/>
        </w:rPr>
        <w:t>,</w:t>
      </w:r>
      <w:r w:rsidRPr="00A15BBB">
        <w:rPr>
          <w:rFonts w:ascii="Times New Roman" w:hAnsi="Times New Roman"/>
          <w:sz w:val="24"/>
          <w:szCs w:val="24"/>
        </w:rPr>
        <w:t xml:space="preserve"> and recommend corrective actions to safeguard public funds and improve program outcomes.  In addition to audits and assessments mandated by laws and regulations, Office of Audit (OA) plans include over 50 projects over the next five years.  Those projects include audits, inspections</w:t>
      </w:r>
      <w:r w:rsidR="00566DCA">
        <w:rPr>
          <w:rFonts w:ascii="Times New Roman" w:hAnsi="Times New Roman"/>
          <w:sz w:val="24"/>
          <w:szCs w:val="24"/>
        </w:rPr>
        <w:t>,</w:t>
      </w:r>
      <w:r w:rsidRPr="00A15BBB">
        <w:rPr>
          <w:rFonts w:ascii="Times New Roman" w:hAnsi="Times New Roman"/>
          <w:sz w:val="24"/>
          <w:szCs w:val="24"/>
        </w:rPr>
        <w:t xml:space="preserve"> and assessments both FCC and Universal Service Fund Programs.  This equates to more than 10 audits per year not including any Congressional requests, special projects</w:t>
      </w:r>
      <w:r w:rsidR="00566DCA">
        <w:rPr>
          <w:rFonts w:ascii="Times New Roman" w:hAnsi="Times New Roman"/>
          <w:sz w:val="24"/>
          <w:szCs w:val="24"/>
        </w:rPr>
        <w:t>,</w:t>
      </w:r>
      <w:r w:rsidRPr="00A15BBB">
        <w:rPr>
          <w:rFonts w:ascii="Times New Roman" w:hAnsi="Times New Roman"/>
          <w:sz w:val="24"/>
          <w:szCs w:val="24"/>
        </w:rPr>
        <w:t xml:space="preserve"> and non-recurring mandates.  </w:t>
      </w:r>
    </w:p>
    <w:p w:rsidR="00A15BBB" w:rsidRPr="00A15BBB" w:rsidRDefault="00A15BBB" w:rsidP="00A15BBB">
      <w:pPr>
        <w:spacing w:after="0" w:line="240" w:lineRule="auto"/>
        <w:jc w:val="both"/>
        <w:rPr>
          <w:rFonts w:ascii="Times New Roman" w:hAnsi="Times New Roman"/>
          <w:sz w:val="24"/>
          <w:szCs w:val="24"/>
          <w:highlight w:val="yellow"/>
        </w:rPr>
      </w:pPr>
    </w:p>
    <w:p w:rsidR="00A15BBB" w:rsidRPr="00A15BBB" w:rsidRDefault="00A15BBB" w:rsidP="00A15BBB">
      <w:pPr>
        <w:spacing w:after="0" w:line="240" w:lineRule="auto"/>
        <w:jc w:val="both"/>
        <w:rPr>
          <w:rFonts w:ascii="Times New Roman" w:hAnsi="Times New Roman"/>
          <w:sz w:val="24"/>
          <w:szCs w:val="24"/>
        </w:rPr>
      </w:pPr>
      <w:r w:rsidRPr="00A15BBB">
        <w:rPr>
          <w:rFonts w:ascii="Times New Roman" w:hAnsi="Times New Roman"/>
          <w:sz w:val="24"/>
          <w:szCs w:val="24"/>
        </w:rPr>
        <w:t xml:space="preserve">The OIG Office of Investigation (OI) has 85 open cases as of September 30, 2016.  OIG continues working with the Department of Justice (DOJ) and has recovered millions of dollars of government funds resulting from criminal and civil fraud cases referred to the DOJ.  </w:t>
      </w:r>
    </w:p>
    <w:p w:rsidR="00A15BBB" w:rsidRPr="00A15BBB" w:rsidRDefault="00A15BBB" w:rsidP="00A15BBB">
      <w:pPr>
        <w:spacing w:after="0" w:line="240" w:lineRule="auto"/>
        <w:jc w:val="both"/>
        <w:rPr>
          <w:rFonts w:ascii="Times New Roman" w:hAnsi="Times New Roman"/>
          <w:sz w:val="24"/>
          <w:szCs w:val="24"/>
          <w:highlight w:val="yellow"/>
        </w:rPr>
      </w:pPr>
    </w:p>
    <w:p w:rsidR="00A15BBB" w:rsidRPr="00A15BBB" w:rsidRDefault="00A15BBB" w:rsidP="00A15BBB">
      <w:pPr>
        <w:spacing w:after="0" w:line="240" w:lineRule="auto"/>
        <w:jc w:val="both"/>
        <w:rPr>
          <w:rFonts w:ascii="Times New Roman" w:hAnsi="Times New Roman"/>
          <w:sz w:val="24"/>
          <w:szCs w:val="24"/>
        </w:rPr>
      </w:pPr>
      <w:r w:rsidRPr="00A15BBB">
        <w:rPr>
          <w:rFonts w:ascii="Times New Roman" w:hAnsi="Times New Roman"/>
          <w:sz w:val="24"/>
          <w:szCs w:val="24"/>
        </w:rPr>
        <w:t>In compliance with the IG Reform Act of 2008 this FCC OIG FY 2018 budget request includes:</w:t>
      </w:r>
    </w:p>
    <w:p w:rsidR="00A15BBB" w:rsidRPr="00A15BBB" w:rsidRDefault="00A15BBB" w:rsidP="00A15BBB">
      <w:pPr>
        <w:spacing w:after="0" w:line="240" w:lineRule="auto"/>
        <w:ind w:left="360"/>
        <w:jc w:val="both"/>
        <w:rPr>
          <w:rFonts w:ascii="Times New Roman" w:hAnsi="Times New Roman"/>
          <w:sz w:val="24"/>
          <w:szCs w:val="24"/>
        </w:rPr>
      </w:pPr>
      <w:r w:rsidRPr="00A15BBB">
        <w:rPr>
          <w:rFonts w:ascii="Times New Roman" w:hAnsi="Times New Roman"/>
          <w:sz w:val="24"/>
          <w:szCs w:val="24"/>
        </w:rPr>
        <w:t> </w:t>
      </w:r>
    </w:p>
    <w:p w:rsidR="00A15BBB" w:rsidRPr="00A15BBB" w:rsidRDefault="00A15BBB" w:rsidP="00CD6159">
      <w:pPr>
        <w:numPr>
          <w:ilvl w:val="0"/>
          <w:numId w:val="19"/>
        </w:numPr>
        <w:spacing w:after="0" w:line="240" w:lineRule="auto"/>
        <w:ind w:left="720"/>
        <w:jc w:val="both"/>
        <w:rPr>
          <w:rFonts w:ascii="Times New Roman" w:hAnsi="Times New Roman"/>
          <w:sz w:val="24"/>
          <w:szCs w:val="24"/>
        </w:rPr>
      </w:pPr>
      <w:r w:rsidRPr="00A15BBB">
        <w:rPr>
          <w:rFonts w:ascii="Times New Roman" w:hAnsi="Times New Roman"/>
          <w:sz w:val="24"/>
          <w:szCs w:val="24"/>
        </w:rPr>
        <w:t>A fair share ratio in the amount of $26,000 for contribution to the Council of the Inspectors General on Integrity and Efficiency (CIGIE),</w:t>
      </w:r>
    </w:p>
    <w:p w:rsidR="00A15BBB" w:rsidRPr="00A15BBB" w:rsidRDefault="00A15BBB" w:rsidP="00CD6159">
      <w:pPr>
        <w:numPr>
          <w:ilvl w:val="0"/>
          <w:numId w:val="19"/>
        </w:numPr>
        <w:spacing w:after="0" w:line="240" w:lineRule="auto"/>
        <w:ind w:left="720"/>
        <w:contextualSpacing/>
        <w:jc w:val="both"/>
        <w:rPr>
          <w:rFonts w:ascii="Times New Roman" w:hAnsi="Times New Roman"/>
          <w:sz w:val="24"/>
          <w:szCs w:val="24"/>
        </w:rPr>
      </w:pPr>
      <w:r w:rsidRPr="00A15BBB">
        <w:rPr>
          <w:rFonts w:ascii="Times New Roman" w:hAnsi="Times New Roman"/>
          <w:sz w:val="24"/>
          <w:szCs w:val="24"/>
        </w:rPr>
        <w:t>Funds to support IGNet Management Services, and,</w:t>
      </w:r>
    </w:p>
    <w:p w:rsidR="00A15BBB" w:rsidRPr="00A15BBB" w:rsidRDefault="00A15BBB" w:rsidP="00CD6159">
      <w:pPr>
        <w:numPr>
          <w:ilvl w:val="0"/>
          <w:numId w:val="19"/>
        </w:numPr>
        <w:spacing w:after="0" w:line="240" w:lineRule="auto"/>
        <w:ind w:left="720"/>
        <w:contextualSpacing/>
        <w:jc w:val="both"/>
        <w:rPr>
          <w:rFonts w:ascii="Times New Roman" w:hAnsi="Times New Roman"/>
          <w:sz w:val="24"/>
          <w:szCs w:val="24"/>
        </w:rPr>
      </w:pPr>
      <w:r w:rsidRPr="00A15BBB">
        <w:rPr>
          <w:rFonts w:ascii="Times New Roman" w:hAnsi="Times New Roman"/>
          <w:sz w:val="24"/>
          <w:szCs w:val="24"/>
        </w:rPr>
        <w:t>Training funds in the amount of $8</w:t>
      </w:r>
      <w:r w:rsidR="002D7AC5">
        <w:rPr>
          <w:rFonts w:ascii="Times New Roman" w:hAnsi="Times New Roman"/>
          <w:sz w:val="24"/>
          <w:szCs w:val="24"/>
        </w:rPr>
        <w:t>2</w:t>
      </w:r>
      <w:r w:rsidRPr="00A15BBB">
        <w:rPr>
          <w:rFonts w:ascii="Times New Roman" w:hAnsi="Times New Roman"/>
          <w:sz w:val="24"/>
          <w:szCs w:val="24"/>
        </w:rPr>
        <w:t>,000.</w:t>
      </w:r>
    </w:p>
    <w:p w:rsidR="00A92425" w:rsidRDefault="00A92425" w:rsidP="00A15BBB">
      <w:pPr>
        <w:spacing w:after="0" w:line="240" w:lineRule="auto"/>
        <w:rPr>
          <w:rFonts w:cs="Calibri"/>
        </w:rPr>
      </w:pPr>
    </w:p>
    <w:p w:rsidR="00A92425" w:rsidRDefault="00A92425" w:rsidP="00A92425">
      <w:pPr>
        <w:spacing w:after="0" w:line="240" w:lineRule="auto"/>
        <w:rPr>
          <w:rFonts w:ascii="Times New Roman" w:hAnsi="Times New Roman"/>
          <w:b/>
          <w:sz w:val="24"/>
          <w:szCs w:val="24"/>
          <w:highlight w:val="yellow"/>
          <w:u w:val="single"/>
        </w:rPr>
      </w:pPr>
    </w:p>
    <w:p w:rsidR="00BA69D0" w:rsidRPr="00437A34" w:rsidRDefault="00BA69D0" w:rsidP="00BA69D0">
      <w:pPr>
        <w:spacing w:after="0" w:line="240" w:lineRule="auto"/>
        <w:rPr>
          <w:rFonts w:ascii="Times New Roman" w:hAnsi="Times New Roman"/>
          <w:b/>
          <w:sz w:val="24"/>
          <w:szCs w:val="24"/>
          <w:u w:val="single"/>
        </w:rPr>
      </w:pPr>
      <w:r w:rsidRPr="0082598E">
        <w:rPr>
          <w:rFonts w:ascii="Times New Roman" w:hAnsi="Times New Roman"/>
          <w:b/>
          <w:sz w:val="24"/>
          <w:szCs w:val="24"/>
          <w:u w:val="single"/>
        </w:rPr>
        <w:t xml:space="preserve">Universal </w:t>
      </w:r>
      <w:r>
        <w:rPr>
          <w:rFonts w:ascii="Times New Roman" w:hAnsi="Times New Roman"/>
          <w:b/>
          <w:sz w:val="24"/>
          <w:szCs w:val="24"/>
          <w:u w:val="single"/>
        </w:rPr>
        <w:t xml:space="preserve">Service Fund Activities and Costs </w:t>
      </w:r>
    </w:p>
    <w:p w:rsidR="00BA69D0" w:rsidRPr="00437A34" w:rsidRDefault="00BA69D0" w:rsidP="00BA69D0">
      <w:pPr>
        <w:spacing w:after="0" w:line="240" w:lineRule="auto"/>
        <w:rPr>
          <w:rFonts w:ascii="Times New Roman" w:hAnsi="Times New Roman"/>
          <w:sz w:val="24"/>
          <w:szCs w:val="24"/>
        </w:rPr>
      </w:pPr>
    </w:p>
    <w:p w:rsidR="00194A9D" w:rsidRPr="00F04826" w:rsidRDefault="00194A9D" w:rsidP="00194A9D">
      <w:pPr>
        <w:spacing w:line="240" w:lineRule="auto"/>
        <w:jc w:val="both"/>
        <w:rPr>
          <w:rFonts w:ascii="Times New Roman" w:hAnsi="Times New Roman"/>
          <w:sz w:val="24"/>
          <w:szCs w:val="24"/>
          <w:lang w:val="en"/>
        </w:rPr>
      </w:pPr>
      <w:r w:rsidRPr="00F04826">
        <w:rPr>
          <w:rFonts w:ascii="Times New Roman" w:hAnsi="Times New Roman"/>
          <w:sz w:val="24"/>
          <w:szCs w:val="24"/>
          <w:lang w:val="en"/>
        </w:rPr>
        <w:t xml:space="preserve">The Commission is responsible for the overall management, oversight, and administration of the Universal Service Fund (USF), including all USF policy decisions.  </w:t>
      </w:r>
      <w:r>
        <w:rPr>
          <w:rFonts w:ascii="Times New Roman" w:hAnsi="Times New Roman"/>
          <w:sz w:val="24"/>
          <w:szCs w:val="24"/>
          <w:lang w:val="en"/>
        </w:rPr>
        <w:t xml:space="preserve">During FY 2017, the FCC has asked the </w:t>
      </w:r>
      <w:r w:rsidRPr="00F04826">
        <w:rPr>
          <w:rFonts w:ascii="Times New Roman" w:hAnsi="Times New Roman"/>
          <w:sz w:val="24"/>
          <w:szCs w:val="24"/>
          <w:lang w:val="en"/>
        </w:rPr>
        <w:t>Universal Service Administrative Company</w:t>
      </w:r>
      <w:r>
        <w:rPr>
          <w:rFonts w:ascii="Times New Roman" w:hAnsi="Times New Roman"/>
          <w:sz w:val="24"/>
          <w:szCs w:val="24"/>
          <w:lang w:val="en"/>
        </w:rPr>
        <w:t xml:space="preserve"> (USAC), as administrator of the USF, to review its administrative expenses to find savings and also to review the effectiveness of its internal controls around USAC’s spending, procurement, information technology, and personnel processes.  The FCC’s Chairman has publicly communicated to USAC his concerns about cost overruns and schedule delays surrounding the implementation of information technology supporting the E-rate program.  Furthermore, the FCC is evaluating improvements to USAC’s collection and disbursement processes in an effort to improve the efficiency and effectiveness of the management of the USF funds.  For additional information about how the FCC coordinates with USAC, b</w:t>
      </w:r>
      <w:r w:rsidRPr="00F04826">
        <w:rPr>
          <w:rFonts w:ascii="Times New Roman" w:hAnsi="Times New Roman"/>
          <w:sz w:val="24"/>
          <w:szCs w:val="24"/>
          <w:lang w:val="en"/>
        </w:rPr>
        <w:t xml:space="preserve">elow are descriptions of the USF oversight duties and responsibilities of the various Commission </w:t>
      </w:r>
      <w:r w:rsidR="00C96697">
        <w:rPr>
          <w:rFonts w:ascii="Times New Roman" w:hAnsi="Times New Roman"/>
          <w:sz w:val="24"/>
          <w:szCs w:val="24"/>
          <w:lang w:val="en"/>
        </w:rPr>
        <w:t>B</w:t>
      </w:r>
      <w:r w:rsidRPr="00F04826">
        <w:rPr>
          <w:rFonts w:ascii="Times New Roman" w:hAnsi="Times New Roman"/>
          <w:sz w:val="24"/>
          <w:szCs w:val="24"/>
          <w:lang w:val="en"/>
        </w:rPr>
        <w:t xml:space="preserve">ureaus and </w:t>
      </w:r>
      <w:r w:rsidR="00C96697">
        <w:rPr>
          <w:rFonts w:ascii="Times New Roman" w:hAnsi="Times New Roman"/>
          <w:sz w:val="24"/>
          <w:szCs w:val="24"/>
          <w:lang w:val="en"/>
        </w:rPr>
        <w:t>O</w:t>
      </w:r>
      <w:r w:rsidRPr="00F04826">
        <w:rPr>
          <w:rFonts w:ascii="Times New Roman" w:hAnsi="Times New Roman"/>
          <w:sz w:val="24"/>
          <w:szCs w:val="24"/>
          <w:lang w:val="en"/>
        </w:rPr>
        <w:t xml:space="preserve">ffices </w:t>
      </w:r>
      <w:r>
        <w:rPr>
          <w:rFonts w:ascii="Times New Roman" w:hAnsi="Times New Roman"/>
          <w:sz w:val="24"/>
          <w:szCs w:val="24"/>
          <w:lang w:val="en"/>
        </w:rPr>
        <w:t>that</w:t>
      </w:r>
      <w:r w:rsidRPr="00F04826">
        <w:rPr>
          <w:rFonts w:ascii="Times New Roman" w:hAnsi="Times New Roman"/>
          <w:sz w:val="24"/>
          <w:szCs w:val="24"/>
          <w:lang w:val="en"/>
        </w:rPr>
        <w:t xml:space="preserve"> work closely together as an oversight team.</w:t>
      </w:r>
    </w:p>
    <w:p w:rsidR="00077030" w:rsidRPr="00F04826" w:rsidRDefault="00194A9D" w:rsidP="00194A9D">
      <w:pPr>
        <w:spacing w:after="240" w:line="240" w:lineRule="auto"/>
        <w:jc w:val="both"/>
        <w:rPr>
          <w:rFonts w:ascii="Times New Roman" w:hAnsi="Times New Roman"/>
          <w:sz w:val="24"/>
          <w:szCs w:val="24"/>
          <w:lang w:val="en"/>
        </w:rPr>
      </w:pPr>
      <w:r w:rsidRPr="00F04826">
        <w:rPr>
          <w:rFonts w:ascii="Times New Roman" w:hAnsi="Times New Roman"/>
          <w:sz w:val="24"/>
          <w:szCs w:val="24"/>
          <w:u w:val="single"/>
          <w:lang w:val="en"/>
        </w:rPr>
        <w:t>Office of Managing Director</w:t>
      </w:r>
      <w:r w:rsidRPr="00F04826">
        <w:rPr>
          <w:rFonts w:ascii="Times New Roman" w:hAnsi="Times New Roman"/>
          <w:sz w:val="24"/>
          <w:szCs w:val="24"/>
          <w:lang w:val="en"/>
        </w:rPr>
        <w:t>.  The Office of Managing Director (OMD</w:t>
      </w:r>
      <w:r w:rsidRPr="00F04826">
        <w:rPr>
          <w:rFonts w:ascii="Times New Roman" w:hAnsi="Times New Roman"/>
          <w:sz w:val="24"/>
          <w:szCs w:val="24"/>
        </w:rPr>
        <w:t>)</w:t>
      </w:r>
      <w:r w:rsidRPr="00F04826">
        <w:rPr>
          <w:rFonts w:ascii="Times New Roman" w:hAnsi="Times New Roman"/>
          <w:sz w:val="24"/>
          <w:szCs w:val="24"/>
          <w:lang w:val="en"/>
        </w:rPr>
        <w:t xml:space="preserve"> is responsible for all </w:t>
      </w:r>
      <w:r>
        <w:rPr>
          <w:rFonts w:ascii="Times New Roman" w:hAnsi="Times New Roman"/>
          <w:sz w:val="24"/>
          <w:szCs w:val="24"/>
          <w:lang w:val="en"/>
        </w:rPr>
        <w:t xml:space="preserve">USF </w:t>
      </w:r>
      <w:r w:rsidRPr="00F04826">
        <w:rPr>
          <w:rFonts w:ascii="Times New Roman" w:hAnsi="Times New Roman"/>
          <w:sz w:val="24"/>
          <w:szCs w:val="24"/>
          <w:lang w:val="en"/>
        </w:rPr>
        <w:t>management and administrative activities, including finance, accounting, procurement, information technology</w:t>
      </w:r>
      <w:r>
        <w:rPr>
          <w:rFonts w:ascii="Times New Roman" w:hAnsi="Times New Roman"/>
          <w:sz w:val="24"/>
          <w:szCs w:val="24"/>
          <w:lang w:val="en"/>
        </w:rPr>
        <w:t>,</w:t>
      </w:r>
      <w:r w:rsidRPr="00F04826">
        <w:rPr>
          <w:rFonts w:ascii="Times New Roman" w:hAnsi="Times New Roman"/>
          <w:sz w:val="24"/>
          <w:szCs w:val="24"/>
          <w:lang w:val="en"/>
        </w:rPr>
        <w:t xml:space="preserve"> </w:t>
      </w:r>
      <w:r>
        <w:rPr>
          <w:rFonts w:ascii="Times New Roman" w:hAnsi="Times New Roman"/>
          <w:sz w:val="24"/>
          <w:szCs w:val="24"/>
          <w:lang w:val="en"/>
        </w:rPr>
        <w:t xml:space="preserve">and audits of </w:t>
      </w:r>
      <w:r w:rsidRPr="00F04826">
        <w:rPr>
          <w:rFonts w:ascii="Times New Roman" w:hAnsi="Times New Roman"/>
          <w:sz w:val="24"/>
          <w:szCs w:val="24"/>
          <w:lang w:val="en"/>
        </w:rPr>
        <w:t>beneficiar</w:t>
      </w:r>
      <w:r>
        <w:rPr>
          <w:rFonts w:ascii="Times New Roman" w:hAnsi="Times New Roman"/>
          <w:sz w:val="24"/>
          <w:szCs w:val="24"/>
          <w:lang w:val="en"/>
        </w:rPr>
        <w:t xml:space="preserve">ies and </w:t>
      </w:r>
      <w:r w:rsidRPr="00F04826">
        <w:rPr>
          <w:rFonts w:ascii="Times New Roman" w:hAnsi="Times New Roman"/>
          <w:sz w:val="24"/>
          <w:szCs w:val="24"/>
          <w:lang w:val="en"/>
        </w:rPr>
        <w:t>contributor</w:t>
      </w:r>
      <w:r>
        <w:rPr>
          <w:rFonts w:ascii="Times New Roman" w:hAnsi="Times New Roman"/>
          <w:sz w:val="24"/>
          <w:szCs w:val="24"/>
          <w:lang w:val="en"/>
        </w:rPr>
        <w:t>s</w:t>
      </w:r>
      <w:r w:rsidRPr="00F04826">
        <w:rPr>
          <w:rFonts w:ascii="Times New Roman" w:hAnsi="Times New Roman"/>
          <w:sz w:val="24"/>
          <w:szCs w:val="24"/>
          <w:lang w:val="en"/>
        </w:rPr>
        <w:t>.  OMD provides instruction and oversight to the USAC on these issues</w:t>
      </w:r>
      <w:r w:rsidR="00077030" w:rsidRPr="00F04826">
        <w:rPr>
          <w:rFonts w:ascii="Times New Roman" w:hAnsi="Times New Roman"/>
          <w:sz w:val="24"/>
          <w:szCs w:val="24"/>
          <w:lang w:val="en"/>
        </w:rPr>
        <w:t xml:space="preserve">.  </w:t>
      </w:r>
    </w:p>
    <w:p w:rsidR="00077030" w:rsidRDefault="00077030" w:rsidP="00077030">
      <w:pPr>
        <w:spacing w:after="240" w:line="240" w:lineRule="auto"/>
        <w:jc w:val="both"/>
        <w:rPr>
          <w:rFonts w:ascii="Times New Roman" w:hAnsi="Times New Roman"/>
          <w:sz w:val="24"/>
          <w:szCs w:val="24"/>
          <w:lang w:val="en"/>
        </w:rPr>
      </w:pPr>
      <w:r w:rsidRPr="00F04826">
        <w:rPr>
          <w:rFonts w:ascii="Times New Roman" w:hAnsi="Times New Roman"/>
          <w:sz w:val="24"/>
          <w:szCs w:val="24"/>
          <w:u w:val="single"/>
          <w:lang w:val="en"/>
        </w:rPr>
        <w:t>Wireline Competition Bureau</w:t>
      </w:r>
      <w:r w:rsidRPr="00F04826">
        <w:rPr>
          <w:rFonts w:ascii="Times New Roman" w:hAnsi="Times New Roman"/>
          <w:sz w:val="24"/>
          <w:szCs w:val="24"/>
          <w:lang w:val="en"/>
        </w:rPr>
        <w:t xml:space="preserve">.  The Wireline Competition Bureau (WCB) oversees USF policy </w:t>
      </w:r>
      <w:r>
        <w:rPr>
          <w:rFonts w:ascii="Times New Roman" w:hAnsi="Times New Roman"/>
          <w:sz w:val="24"/>
          <w:szCs w:val="24"/>
          <w:lang w:val="en"/>
        </w:rPr>
        <w:t xml:space="preserve">and provides guidance on the </w:t>
      </w:r>
      <w:r w:rsidRPr="00F04826">
        <w:rPr>
          <w:rFonts w:ascii="Times New Roman" w:hAnsi="Times New Roman"/>
          <w:sz w:val="24"/>
          <w:szCs w:val="24"/>
          <w:lang w:val="en"/>
        </w:rPr>
        <w:t>applicability of the Commission’s USF rules, orders, and directives</w:t>
      </w:r>
      <w:r>
        <w:rPr>
          <w:rFonts w:ascii="Times New Roman" w:hAnsi="Times New Roman"/>
          <w:sz w:val="24"/>
          <w:szCs w:val="24"/>
          <w:lang w:val="en"/>
        </w:rPr>
        <w:t xml:space="preserve"> to USAC and to stakeholders</w:t>
      </w:r>
      <w:r w:rsidRPr="00F04826">
        <w:rPr>
          <w:rFonts w:ascii="Times New Roman" w:hAnsi="Times New Roman"/>
          <w:sz w:val="24"/>
          <w:szCs w:val="24"/>
          <w:lang w:val="en"/>
        </w:rPr>
        <w:t xml:space="preserve">.  WCB also </w:t>
      </w:r>
      <w:r>
        <w:rPr>
          <w:rFonts w:ascii="Times New Roman" w:hAnsi="Times New Roman"/>
          <w:sz w:val="24"/>
          <w:szCs w:val="24"/>
          <w:lang w:val="en"/>
        </w:rPr>
        <w:t xml:space="preserve">is primarily responsible for </w:t>
      </w:r>
      <w:r w:rsidRPr="00F04826">
        <w:rPr>
          <w:rFonts w:ascii="Times New Roman" w:hAnsi="Times New Roman"/>
          <w:sz w:val="24"/>
          <w:szCs w:val="24"/>
          <w:lang w:val="en"/>
        </w:rPr>
        <w:t xml:space="preserve">USF rulemaking proceedings, appeals of USAC decisions, requests for waivers of the Commission’s USF rules, petitions for USF declaratory rulings, interactions with the Federal-State Joint Board on Universal Service, and preparation and publication of USF information in the Universal Service Monitoring Report.  </w:t>
      </w:r>
    </w:p>
    <w:p w:rsidR="00077030" w:rsidRPr="00F04826" w:rsidRDefault="00077030" w:rsidP="00077030">
      <w:pPr>
        <w:spacing w:after="240" w:line="240" w:lineRule="auto"/>
        <w:jc w:val="both"/>
        <w:rPr>
          <w:rFonts w:ascii="Times New Roman" w:hAnsi="Times New Roman"/>
          <w:sz w:val="24"/>
          <w:szCs w:val="24"/>
          <w:lang w:val="en"/>
        </w:rPr>
      </w:pPr>
      <w:r w:rsidRPr="00F04826">
        <w:rPr>
          <w:rFonts w:ascii="Times New Roman" w:hAnsi="Times New Roman"/>
          <w:sz w:val="24"/>
          <w:szCs w:val="24"/>
          <w:u w:val="single"/>
          <w:lang w:val="en"/>
        </w:rPr>
        <w:t>Wireless Telecommunications Bureau</w:t>
      </w:r>
      <w:r w:rsidRPr="00F04826">
        <w:rPr>
          <w:rFonts w:ascii="Times New Roman" w:hAnsi="Times New Roman"/>
          <w:sz w:val="24"/>
          <w:szCs w:val="24"/>
          <w:lang w:val="en"/>
        </w:rPr>
        <w:t xml:space="preserve">.  The Wireless Telecommunications Bureau (WTB) oversees USF policy concerning the Mobility Fund, a universal service support mechanism dedicated exclusively to mobile services.  WTB also oversees reverse auctions activity for </w:t>
      </w:r>
      <w:r>
        <w:rPr>
          <w:rFonts w:ascii="Times New Roman" w:hAnsi="Times New Roman"/>
          <w:sz w:val="24"/>
          <w:szCs w:val="24"/>
          <w:lang w:val="en"/>
        </w:rPr>
        <w:t xml:space="preserve">the </w:t>
      </w:r>
      <w:r w:rsidRPr="00F04826">
        <w:rPr>
          <w:rFonts w:ascii="Times New Roman" w:hAnsi="Times New Roman"/>
          <w:sz w:val="24"/>
          <w:szCs w:val="24"/>
          <w:lang w:val="en"/>
        </w:rPr>
        <w:t xml:space="preserve">Mobility Fund and </w:t>
      </w:r>
      <w:r>
        <w:rPr>
          <w:rFonts w:ascii="Times New Roman" w:hAnsi="Times New Roman"/>
          <w:sz w:val="24"/>
          <w:szCs w:val="24"/>
          <w:lang w:val="en"/>
        </w:rPr>
        <w:t xml:space="preserve">the </w:t>
      </w:r>
      <w:r w:rsidRPr="00F04826">
        <w:rPr>
          <w:rFonts w:ascii="Times New Roman" w:hAnsi="Times New Roman"/>
          <w:sz w:val="24"/>
          <w:szCs w:val="24"/>
          <w:lang w:val="en"/>
        </w:rPr>
        <w:t>Connect America Fund</w:t>
      </w:r>
      <w:r>
        <w:rPr>
          <w:rFonts w:ascii="Times New Roman" w:hAnsi="Times New Roman"/>
          <w:sz w:val="24"/>
          <w:szCs w:val="24"/>
          <w:lang w:val="en"/>
        </w:rPr>
        <w:t xml:space="preserve">.  The </w:t>
      </w:r>
      <w:r w:rsidRPr="00FC4DE2">
        <w:rPr>
          <w:rFonts w:ascii="Times New Roman" w:hAnsi="Times New Roman"/>
          <w:sz w:val="24"/>
          <w:szCs w:val="24"/>
          <w:lang w:val="en"/>
        </w:rPr>
        <w:t xml:space="preserve">FCC has formed a Rural Broadband Auctions Task Force to implement upcoming </w:t>
      </w:r>
      <w:r>
        <w:rPr>
          <w:rFonts w:ascii="Times New Roman" w:hAnsi="Times New Roman"/>
          <w:sz w:val="24"/>
          <w:szCs w:val="24"/>
          <w:lang w:val="en"/>
        </w:rPr>
        <w:t>USF</w:t>
      </w:r>
      <w:r w:rsidRPr="00FC4DE2">
        <w:rPr>
          <w:rFonts w:ascii="Times New Roman" w:hAnsi="Times New Roman"/>
          <w:sz w:val="24"/>
          <w:szCs w:val="24"/>
          <w:lang w:val="en"/>
        </w:rPr>
        <w:t>-related auctions</w:t>
      </w:r>
    </w:p>
    <w:p w:rsidR="00077030" w:rsidRPr="00F04826" w:rsidRDefault="00077030" w:rsidP="00077030">
      <w:pPr>
        <w:spacing w:after="240" w:line="240" w:lineRule="auto"/>
        <w:jc w:val="both"/>
        <w:rPr>
          <w:rFonts w:ascii="Times New Roman" w:hAnsi="Times New Roman"/>
          <w:b/>
          <w:bCs/>
          <w:sz w:val="24"/>
          <w:szCs w:val="24"/>
          <w:lang w:val="en"/>
        </w:rPr>
      </w:pPr>
      <w:r w:rsidRPr="00F04826">
        <w:rPr>
          <w:rFonts w:ascii="Times New Roman" w:hAnsi="Times New Roman"/>
          <w:sz w:val="24"/>
          <w:szCs w:val="24"/>
          <w:u w:val="single"/>
          <w:lang w:val="en"/>
        </w:rPr>
        <w:t>Office of General Counsel</w:t>
      </w:r>
      <w:r w:rsidRPr="00F04826">
        <w:rPr>
          <w:rFonts w:ascii="Times New Roman" w:hAnsi="Times New Roman"/>
          <w:sz w:val="24"/>
          <w:szCs w:val="24"/>
          <w:lang w:val="en"/>
        </w:rPr>
        <w:t xml:space="preserve">.  The Office of General Counsel (OGC) oversees issues relating to litigation and settlements of civil, criminal, or bankruptcy matters.  OGC is also the lead contact on issues relating to the treatment and potential disclosure of confidential information and of other nonpublic information as defined in the Commission’s rules.  </w:t>
      </w:r>
      <w:r w:rsidRPr="00F04826">
        <w:rPr>
          <w:rFonts w:ascii="Times New Roman" w:hAnsi="Times New Roman"/>
          <w:b/>
          <w:bCs/>
          <w:sz w:val="24"/>
          <w:szCs w:val="24"/>
          <w:lang w:val="en"/>
        </w:rPr>
        <w:t xml:space="preserve">   </w:t>
      </w:r>
    </w:p>
    <w:p w:rsidR="00077030" w:rsidRPr="00F04826" w:rsidRDefault="00077030" w:rsidP="00077030">
      <w:pPr>
        <w:spacing w:after="240" w:line="240" w:lineRule="auto"/>
        <w:jc w:val="both"/>
        <w:rPr>
          <w:rFonts w:ascii="Times New Roman" w:hAnsi="Times New Roman"/>
          <w:sz w:val="24"/>
          <w:szCs w:val="24"/>
          <w:lang w:val="en"/>
        </w:rPr>
      </w:pPr>
      <w:r w:rsidRPr="00F04826">
        <w:rPr>
          <w:rFonts w:ascii="Times New Roman" w:hAnsi="Times New Roman"/>
          <w:bCs/>
          <w:sz w:val="24"/>
          <w:szCs w:val="24"/>
          <w:u w:val="single"/>
          <w:lang w:val="en"/>
        </w:rPr>
        <w:t>Enforcement Bureau</w:t>
      </w:r>
      <w:r w:rsidRPr="00F04826">
        <w:rPr>
          <w:rFonts w:ascii="Times New Roman" w:hAnsi="Times New Roman"/>
          <w:bCs/>
          <w:sz w:val="24"/>
          <w:szCs w:val="24"/>
          <w:lang w:val="en"/>
        </w:rPr>
        <w:t xml:space="preserve">.  </w:t>
      </w:r>
      <w:r w:rsidRPr="00F04826">
        <w:rPr>
          <w:rFonts w:ascii="Times New Roman" w:hAnsi="Times New Roman"/>
          <w:sz w:val="24"/>
          <w:szCs w:val="24"/>
          <w:lang w:val="en"/>
        </w:rPr>
        <w:t xml:space="preserve">If USAC identifies a possible violation of the </w:t>
      </w:r>
      <w:r>
        <w:rPr>
          <w:rFonts w:ascii="Times New Roman" w:hAnsi="Times New Roman"/>
          <w:sz w:val="24"/>
          <w:szCs w:val="24"/>
          <w:lang w:val="en"/>
        </w:rPr>
        <w:t xml:space="preserve">Communications </w:t>
      </w:r>
      <w:r w:rsidRPr="00F04826">
        <w:rPr>
          <w:rFonts w:ascii="Times New Roman" w:hAnsi="Times New Roman"/>
          <w:sz w:val="24"/>
          <w:szCs w:val="24"/>
          <w:lang w:val="en"/>
        </w:rPr>
        <w:t xml:space="preserve">Act or a Commission rule, order, or directive, it will refer the issue to the Enforcement Bureau (EB) for possible </w:t>
      </w:r>
      <w:r>
        <w:rPr>
          <w:rFonts w:ascii="Times New Roman" w:hAnsi="Times New Roman"/>
          <w:sz w:val="24"/>
          <w:szCs w:val="24"/>
          <w:lang w:val="en"/>
        </w:rPr>
        <w:t xml:space="preserve">investigation and </w:t>
      </w:r>
      <w:r w:rsidRPr="00F04826">
        <w:rPr>
          <w:rFonts w:ascii="Times New Roman" w:hAnsi="Times New Roman"/>
          <w:sz w:val="24"/>
          <w:szCs w:val="24"/>
          <w:lang w:val="en"/>
        </w:rPr>
        <w:t>administrative enforcement action.</w:t>
      </w:r>
      <w:r>
        <w:rPr>
          <w:rFonts w:ascii="Times New Roman" w:hAnsi="Times New Roman"/>
          <w:sz w:val="24"/>
          <w:szCs w:val="24"/>
          <w:lang w:val="en"/>
        </w:rPr>
        <w:t xml:space="preserve">  EB also pursues potential investigations of USF related matters from other sources of information as well.</w:t>
      </w:r>
      <w:r w:rsidRPr="00F04826">
        <w:rPr>
          <w:rFonts w:ascii="Times New Roman" w:hAnsi="Times New Roman"/>
          <w:sz w:val="24"/>
          <w:szCs w:val="24"/>
          <w:lang w:val="en"/>
        </w:rPr>
        <w:t xml:space="preserve">  </w:t>
      </w:r>
    </w:p>
    <w:p w:rsidR="00077030" w:rsidRDefault="00077030" w:rsidP="00077030">
      <w:pPr>
        <w:spacing w:after="0" w:line="240" w:lineRule="auto"/>
        <w:jc w:val="both"/>
        <w:rPr>
          <w:rFonts w:ascii="Times New Roman" w:hAnsi="Times New Roman"/>
          <w:sz w:val="24"/>
          <w:szCs w:val="24"/>
          <w:lang w:val="en"/>
        </w:rPr>
      </w:pPr>
      <w:r w:rsidRPr="00F04826">
        <w:rPr>
          <w:rFonts w:ascii="Times New Roman" w:hAnsi="Times New Roman"/>
          <w:sz w:val="24"/>
          <w:szCs w:val="24"/>
          <w:u w:val="single"/>
          <w:lang w:val="en"/>
        </w:rPr>
        <w:t>Office of Inspector General</w:t>
      </w:r>
      <w:r w:rsidRPr="00F04826">
        <w:rPr>
          <w:rFonts w:ascii="Times New Roman" w:hAnsi="Times New Roman"/>
          <w:sz w:val="24"/>
          <w:szCs w:val="24"/>
          <w:lang w:val="en"/>
        </w:rPr>
        <w:t>.  The Office of Inspector General (OIG)</w:t>
      </w:r>
      <w:r>
        <w:rPr>
          <w:rFonts w:ascii="Times New Roman" w:hAnsi="Times New Roman"/>
          <w:sz w:val="24"/>
          <w:szCs w:val="24"/>
          <w:lang w:val="en"/>
        </w:rPr>
        <w:t xml:space="preserve"> </w:t>
      </w:r>
      <w:r w:rsidRPr="00574FE6">
        <w:rPr>
          <w:rFonts w:ascii="Times New Roman" w:hAnsi="Times New Roman"/>
          <w:sz w:val="24"/>
          <w:szCs w:val="24"/>
          <w:lang w:val="en"/>
        </w:rPr>
        <w:t xml:space="preserve">conducts audits, evaluations, and inspections of USF program service providers and beneficiaries designed to prevent and detect fraud, waste, and abuse. </w:t>
      </w:r>
      <w:r>
        <w:rPr>
          <w:rFonts w:ascii="Times New Roman" w:hAnsi="Times New Roman"/>
          <w:sz w:val="24"/>
          <w:szCs w:val="24"/>
          <w:lang w:val="en"/>
        </w:rPr>
        <w:t xml:space="preserve"> </w:t>
      </w:r>
      <w:r w:rsidRPr="00574FE6">
        <w:rPr>
          <w:rFonts w:ascii="Times New Roman" w:hAnsi="Times New Roman"/>
          <w:sz w:val="24"/>
          <w:szCs w:val="24"/>
          <w:lang w:val="en"/>
        </w:rPr>
        <w:t>Those oversight activities and related initiatives help promote economy, effectiveness, and efficiency of the USF.</w:t>
      </w:r>
    </w:p>
    <w:p w:rsidR="00077030" w:rsidRDefault="00077030" w:rsidP="00077030"/>
    <w:p w:rsidR="00077030" w:rsidRDefault="00077030" w:rsidP="00077030">
      <w:pPr>
        <w:spacing w:after="0" w:line="240" w:lineRule="auto"/>
        <w:jc w:val="both"/>
        <w:rPr>
          <w:rFonts w:ascii="Times New Roman" w:hAnsi="Times New Roman"/>
          <w:b/>
          <w:bCs/>
          <w:sz w:val="24"/>
          <w:szCs w:val="24"/>
          <w:lang w:val="en"/>
        </w:rPr>
      </w:pPr>
      <w:r>
        <w:rPr>
          <w:rFonts w:ascii="Times New Roman" w:hAnsi="Times New Roman"/>
          <w:b/>
          <w:bCs/>
          <w:sz w:val="24"/>
          <w:szCs w:val="24"/>
          <w:lang w:val="en"/>
        </w:rPr>
        <w:t>U</w:t>
      </w:r>
      <w:r w:rsidRPr="00F04826">
        <w:rPr>
          <w:rFonts w:ascii="Times New Roman" w:hAnsi="Times New Roman"/>
          <w:b/>
          <w:bCs/>
          <w:sz w:val="24"/>
          <w:szCs w:val="24"/>
          <w:lang w:val="en"/>
        </w:rPr>
        <w:t>SF Activities</w:t>
      </w:r>
    </w:p>
    <w:p w:rsidR="00077030" w:rsidRPr="00F04826" w:rsidRDefault="00077030" w:rsidP="00077030">
      <w:pPr>
        <w:spacing w:after="0" w:line="240" w:lineRule="auto"/>
        <w:jc w:val="both"/>
        <w:rPr>
          <w:rFonts w:ascii="Times New Roman" w:hAnsi="Times New Roman"/>
          <w:b/>
          <w:bCs/>
          <w:sz w:val="24"/>
          <w:szCs w:val="24"/>
          <w:lang w:val="en"/>
        </w:rPr>
      </w:pPr>
    </w:p>
    <w:p w:rsidR="00077030" w:rsidRPr="00F04826" w:rsidRDefault="00077030" w:rsidP="00077030">
      <w:pPr>
        <w:autoSpaceDE w:val="0"/>
        <w:autoSpaceDN w:val="0"/>
        <w:adjustRightInd w:val="0"/>
        <w:spacing w:after="0" w:line="240" w:lineRule="auto"/>
        <w:jc w:val="both"/>
        <w:rPr>
          <w:rFonts w:ascii="Times New Roman" w:hAnsi="Times New Roman"/>
          <w:sz w:val="24"/>
          <w:szCs w:val="24"/>
        </w:rPr>
      </w:pPr>
      <w:r w:rsidRPr="00F04826">
        <w:rPr>
          <w:rFonts w:ascii="Times New Roman" w:hAnsi="Times New Roman"/>
          <w:sz w:val="24"/>
          <w:szCs w:val="24"/>
        </w:rPr>
        <w:t>On February 23, 2017, the Commission adopted rules for allocating nearly $2 billion</w:t>
      </w:r>
      <w:r>
        <w:rPr>
          <w:rFonts w:ascii="Times New Roman" w:hAnsi="Times New Roman"/>
          <w:sz w:val="24"/>
          <w:szCs w:val="24"/>
        </w:rPr>
        <w:t>, through a reverse auction,</w:t>
      </w:r>
      <w:r w:rsidRPr="00F04826">
        <w:rPr>
          <w:rFonts w:ascii="Times New Roman" w:hAnsi="Times New Roman"/>
          <w:sz w:val="24"/>
          <w:szCs w:val="24"/>
        </w:rPr>
        <w:t xml:space="preserve"> from the Connect America Fund, which aims to advance fixed broadband service </w:t>
      </w:r>
      <w:r>
        <w:rPr>
          <w:rFonts w:ascii="Times New Roman" w:hAnsi="Times New Roman"/>
          <w:sz w:val="24"/>
          <w:szCs w:val="24"/>
        </w:rPr>
        <w:t xml:space="preserve">to unserved and underserved areas </w:t>
      </w:r>
      <w:r w:rsidRPr="00F04826">
        <w:rPr>
          <w:rFonts w:ascii="Times New Roman" w:hAnsi="Times New Roman"/>
          <w:sz w:val="24"/>
          <w:szCs w:val="24"/>
        </w:rPr>
        <w:t xml:space="preserve">across the country.  </w:t>
      </w:r>
      <w:r>
        <w:rPr>
          <w:rFonts w:ascii="Times New Roman" w:hAnsi="Times New Roman"/>
          <w:sz w:val="24"/>
          <w:szCs w:val="24"/>
        </w:rPr>
        <w:t xml:space="preserve">Through the auction mechanism, the </w:t>
      </w:r>
      <w:r w:rsidRPr="00F04826">
        <w:rPr>
          <w:rFonts w:ascii="Times New Roman" w:hAnsi="Times New Roman"/>
          <w:sz w:val="24"/>
          <w:szCs w:val="24"/>
        </w:rPr>
        <w:t>Commission will seek the best deal for the American people with the limited available funds.</w:t>
      </w:r>
    </w:p>
    <w:p w:rsidR="00077030" w:rsidRPr="00F04826" w:rsidRDefault="00077030" w:rsidP="00077030">
      <w:pPr>
        <w:autoSpaceDE w:val="0"/>
        <w:autoSpaceDN w:val="0"/>
        <w:adjustRightInd w:val="0"/>
        <w:spacing w:after="0" w:line="240" w:lineRule="auto"/>
        <w:rPr>
          <w:rFonts w:ascii="Times New Roman" w:hAnsi="Times New Roman"/>
          <w:sz w:val="24"/>
          <w:szCs w:val="24"/>
        </w:rPr>
      </w:pPr>
    </w:p>
    <w:p w:rsidR="00077030" w:rsidRPr="00F04826" w:rsidRDefault="00077030" w:rsidP="00077030">
      <w:pPr>
        <w:autoSpaceDE w:val="0"/>
        <w:autoSpaceDN w:val="0"/>
        <w:adjustRightInd w:val="0"/>
        <w:spacing w:after="0" w:line="240" w:lineRule="auto"/>
        <w:jc w:val="both"/>
        <w:rPr>
          <w:rFonts w:ascii="Times New Roman" w:hAnsi="Times New Roman"/>
          <w:sz w:val="24"/>
          <w:szCs w:val="24"/>
        </w:rPr>
      </w:pPr>
      <w:r w:rsidRPr="00F04826">
        <w:rPr>
          <w:rFonts w:ascii="Times New Roman" w:hAnsi="Times New Roman"/>
          <w:sz w:val="24"/>
          <w:szCs w:val="24"/>
        </w:rPr>
        <w:t xml:space="preserve">Under Mobility Fund Phase II, the Commission’s goal is to ensure that all Americans have access to advanced wireless services.  In order to solve this problem, the FCC adopted, on a bipartisan basis, a plan to bring 4G LTE service to millions of rural Americans who currently do not have it. Over ten years, the </w:t>
      </w:r>
      <w:r>
        <w:rPr>
          <w:rFonts w:ascii="Times New Roman" w:hAnsi="Times New Roman"/>
          <w:sz w:val="24"/>
          <w:szCs w:val="24"/>
        </w:rPr>
        <w:t>USF</w:t>
      </w:r>
      <w:r w:rsidRPr="00F04826">
        <w:rPr>
          <w:rFonts w:ascii="Times New Roman" w:hAnsi="Times New Roman"/>
          <w:sz w:val="24"/>
          <w:szCs w:val="24"/>
        </w:rPr>
        <w:t xml:space="preserve"> will spend over $4.5 billion to bring mobile broadband to unserved areas. This support will be distributed through a reverse auction, which ensures fiscal responsibility.</w:t>
      </w:r>
    </w:p>
    <w:p w:rsidR="00077030" w:rsidRPr="00F04826" w:rsidRDefault="00077030" w:rsidP="00077030">
      <w:pPr>
        <w:autoSpaceDE w:val="0"/>
        <w:autoSpaceDN w:val="0"/>
        <w:adjustRightInd w:val="0"/>
        <w:spacing w:after="0" w:line="240" w:lineRule="auto"/>
        <w:rPr>
          <w:rFonts w:ascii="Times New Roman" w:hAnsi="Times New Roman"/>
          <w:sz w:val="24"/>
          <w:szCs w:val="24"/>
        </w:rPr>
      </w:pPr>
    </w:p>
    <w:p w:rsidR="00077030" w:rsidRPr="00F04826" w:rsidRDefault="00077030" w:rsidP="00077030">
      <w:pPr>
        <w:autoSpaceDE w:val="0"/>
        <w:autoSpaceDN w:val="0"/>
        <w:adjustRightInd w:val="0"/>
        <w:spacing w:after="0" w:line="240" w:lineRule="auto"/>
        <w:jc w:val="both"/>
        <w:rPr>
          <w:rFonts w:ascii="Times New Roman" w:hAnsi="Times New Roman"/>
          <w:sz w:val="24"/>
          <w:szCs w:val="24"/>
        </w:rPr>
      </w:pPr>
      <w:r w:rsidRPr="00F04826">
        <w:rPr>
          <w:rFonts w:ascii="Times New Roman" w:hAnsi="Times New Roman"/>
          <w:sz w:val="24"/>
          <w:szCs w:val="24"/>
        </w:rPr>
        <w:t xml:space="preserve">In the Lifeline program, the Commission’s goals are to: (1) </w:t>
      </w:r>
      <w:r>
        <w:rPr>
          <w:rFonts w:ascii="Times New Roman" w:hAnsi="Times New Roman"/>
          <w:sz w:val="24"/>
          <w:szCs w:val="24"/>
        </w:rPr>
        <w:t>continue implementation of the modernization of</w:t>
      </w:r>
      <w:r w:rsidRPr="00F04826">
        <w:rPr>
          <w:rFonts w:ascii="Times New Roman" w:hAnsi="Times New Roman"/>
          <w:sz w:val="24"/>
          <w:szCs w:val="24"/>
        </w:rPr>
        <w:t xml:space="preserve"> the Lifeline program to support affordable, high-speed Internet access for our nation’s poorest families; and (2) ensure fiscal responsibility and combat waste, fraud, and abuse so Lifeline USF dollars spent reach the consumers Lifeline was created to help.  Actions to accomplish these goals include closing loopholes that let unscrupulous carriers exploit the Lifeline program.</w:t>
      </w:r>
    </w:p>
    <w:p w:rsidR="00077030" w:rsidRPr="00F04826" w:rsidRDefault="00077030" w:rsidP="00077030">
      <w:pPr>
        <w:autoSpaceDE w:val="0"/>
        <w:autoSpaceDN w:val="0"/>
        <w:adjustRightInd w:val="0"/>
        <w:spacing w:after="0" w:line="240" w:lineRule="auto"/>
        <w:rPr>
          <w:rFonts w:ascii="Times New Roman" w:hAnsi="Times New Roman"/>
          <w:sz w:val="24"/>
          <w:szCs w:val="24"/>
        </w:rPr>
      </w:pPr>
    </w:p>
    <w:p w:rsidR="00077030" w:rsidRPr="00B17F39" w:rsidRDefault="00077030" w:rsidP="00077030">
      <w:pPr>
        <w:autoSpaceDE w:val="0"/>
        <w:autoSpaceDN w:val="0"/>
        <w:adjustRightInd w:val="0"/>
        <w:spacing w:after="0" w:line="240" w:lineRule="auto"/>
        <w:jc w:val="both"/>
        <w:rPr>
          <w:rFonts w:ascii="Times New Roman" w:hAnsi="Times New Roman"/>
          <w:sz w:val="24"/>
          <w:szCs w:val="24"/>
          <w:lang w:val="en"/>
        </w:rPr>
      </w:pPr>
      <w:r w:rsidRPr="00B17F39">
        <w:rPr>
          <w:rFonts w:ascii="Times New Roman" w:hAnsi="Times New Roman"/>
          <w:sz w:val="24"/>
          <w:szCs w:val="24"/>
        </w:rPr>
        <w:t>In the E-rate program, the Commission is committed to solving recent problems with USAC’s application system that have negatively impacted the ability of schools and libraries to apply for and receive funding.   The Commission will ensure that USAC remediates these problems and administers this program in a manner which is transparent and accountable.</w:t>
      </w:r>
    </w:p>
    <w:p w:rsidR="00077030" w:rsidRPr="00B17F39" w:rsidRDefault="00077030" w:rsidP="00077030">
      <w:pPr>
        <w:autoSpaceDE w:val="0"/>
        <w:autoSpaceDN w:val="0"/>
        <w:adjustRightInd w:val="0"/>
        <w:spacing w:after="0" w:line="240" w:lineRule="auto"/>
        <w:rPr>
          <w:rFonts w:ascii="Times New Roman" w:hAnsi="Times New Roman"/>
          <w:sz w:val="24"/>
          <w:szCs w:val="24"/>
          <w:lang w:val="en"/>
        </w:rPr>
      </w:pPr>
    </w:p>
    <w:p w:rsidR="00077030" w:rsidRPr="00B17F39" w:rsidRDefault="00077030" w:rsidP="00077030">
      <w:pPr>
        <w:spacing w:after="0" w:line="240" w:lineRule="auto"/>
        <w:jc w:val="both"/>
        <w:rPr>
          <w:rFonts w:ascii="Times New Roman" w:hAnsi="Times New Roman"/>
          <w:sz w:val="24"/>
          <w:szCs w:val="24"/>
        </w:rPr>
      </w:pPr>
      <w:r w:rsidRPr="00B17F39">
        <w:rPr>
          <w:rFonts w:ascii="Times New Roman" w:hAnsi="Times New Roman"/>
          <w:sz w:val="24"/>
          <w:szCs w:val="24"/>
          <w:lang w:val="en"/>
        </w:rPr>
        <w:t xml:space="preserve">Finally, under the Rural Healthcare program, the Commission remains committed to ensuring </w:t>
      </w:r>
      <w:r w:rsidRPr="00B17F39">
        <w:rPr>
          <w:rFonts w:ascii="Times New Roman" w:hAnsi="Times New Roman"/>
          <w:sz w:val="24"/>
          <w:szCs w:val="24"/>
        </w:rPr>
        <w:t>all Americans have access to advanced medicine and health care services no matter where they live.</w:t>
      </w:r>
    </w:p>
    <w:p w:rsidR="00077030" w:rsidRPr="00B17F39" w:rsidRDefault="00077030" w:rsidP="00077030">
      <w:pPr>
        <w:spacing w:after="0" w:line="240" w:lineRule="auto"/>
        <w:jc w:val="both"/>
        <w:rPr>
          <w:rFonts w:ascii="Times New Roman" w:hAnsi="Times New Roman"/>
          <w:sz w:val="24"/>
          <w:szCs w:val="24"/>
        </w:rPr>
      </w:pPr>
    </w:p>
    <w:p w:rsidR="001E6882" w:rsidRPr="00B17F39" w:rsidRDefault="00077030" w:rsidP="00077030">
      <w:pPr>
        <w:spacing w:line="240" w:lineRule="auto"/>
        <w:jc w:val="both"/>
        <w:rPr>
          <w:rFonts w:ascii="Times New Roman" w:hAnsi="Times New Roman"/>
          <w:sz w:val="24"/>
          <w:szCs w:val="24"/>
        </w:rPr>
      </w:pPr>
      <w:r w:rsidRPr="00B17F39">
        <w:rPr>
          <w:rFonts w:ascii="Times New Roman" w:hAnsi="Times New Roman"/>
          <w:sz w:val="24"/>
          <w:szCs w:val="24"/>
        </w:rPr>
        <w:t>The chart below shows the costs the Commission has incurred and paid by regulatory fees in overseeing the USF Fund activities, which includes costs incurred by the OIG.</w:t>
      </w:r>
    </w:p>
    <w:p w:rsidR="001E6882" w:rsidRDefault="001E6882" w:rsidP="001E6882">
      <w:pPr>
        <w:jc w:val="center"/>
        <w:rPr>
          <w:rFonts w:ascii="Times New Roman" w:hAnsi="Times New Roman"/>
          <w:sz w:val="24"/>
          <w:szCs w:val="24"/>
        </w:rPr>
      </w:pPr>
      <w:r w:rsidRPr="00F30BC9">
        <w:rPr>
          <w:noProof/>
        </w:rPr>
        <w:drawing>
          <wp:inline distT="0" distB="0" distL="0" distR="0" wp14:anchorId="33FBDA5C" wp14:editId="5FF4BB56">
            <wp:extent cx="5245100" cy="1097280"/>
            <wp:effectExtent l="0" t="0" r="0" b="762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5100" cy="1097280"/>
                    </a:xfrm>
                    <a:prstGeom prst="rect">
                      <a:avLst/>
                    </a:prstGeom>
                    <a:noFill/>
                    <a:ln>
                      <a:noFill/>
                    </a:ln>
                  </pic:spPr>
                </pic:pic>
              </a:graphicData>
            </a:graphic>
          </wp:inline>
        </w:drawing>
      </w:r>
    </w:p>
    <w:p w:rsidR="00837101" w:rsidRPr="00A148CC" w:rsidRDefault="00837101" w:rsidP="00837101">
      <w:pPr>
        <w:spacing w:after="0"/>
        <w:jc w:val="center"/>
        <w:rPr>
          <w:rFonts w:ascii="Times New Roman" w:hAnsi="Times New Roman"/>
          <w:sz w:val="24"/>
          <w:szCs w:val="24"/>
        </w:rPr>
      </w:pPr>
    </w:p>
    <w:p w:rsidR="00DF35E9" w:rsidRPr="00673828" w:rsidRDefault="00DF35E9" w:rsidP="00DF35E9">
      <w:pPr>
        <w:pStyle w:val="Heading2"/>
        <w:rPr>
          <w:sz w:val="28"/>
          <w:szCs w:val="28"/>
        </w:rPr>
      </w:pPr>
      <w:bookmarkStart w:id="32" w:name="_Toc483207971"/>
      <w:r w:rsidRPr="00FD4264">
        <w:rPr>
          <w:sz w:val="28"/>
          <w:szCs w:val="28"/>
        </w:rPr>
        <w:t>Status of FCC Headquarters Move/Restack</w:t>
      </w:r>
      <w:bookmarkEnd w:id="32"/>
    </w:p>
    <w:p w:rsidR="00DF35E9" w:rsidRPr="003057DC" w:rsidRDefault="00DF35E9" w:rsidP="00DF35E9">
      <w:pPr>
        <w:pStyle w:val="NoSpacing"/>
        <w:jc w:val="center"/>
        <w:rPr>
          <w:sz w:val="24"/>
          <w:szCs w:val="24"/>
        </w:rPr>
      </w:pPr>
    </w:p>
    <w:p w:rsidR="00DF35E9" w:rsidRDefault="00DF35E9" w:rsidP="00DF35E9">
      <w:pPr>
        <w:widowControl w:val="0"/>
        <w:spacing w:after="0" w:line="240" w:lineRule="auto"/>
        <w:jc w:val="both"/>
        <w:rPr>
          <w:rFonts w:ascii="Times New Roman" w:eastAsia="Times New Roman" w:hAnsi="Times New Roman"/>
          <w:sz w:val="24"/>
          <w:szCs w:val="24"/>
        </w:rPr>
      </w:pPr>
      <w:r w:rsidRPr="00CD0154">
        <w:rPr>
          <w:rFonts w:ascii="Times New Roman" w:eastAsia="Times New Roman" w:hAnsi="Times New Roman"/>
          <w:sz w:val="24"/>
          <w:szCs w:val="24"/>
        </w:rPr>
        <w:t xml:space="preserve">The Commission’s current headquarters </w:t>
      </w:r>
      <w:r>
        <w:rPr>
          <w:rFonts w:ascii="Times New Roman" w:eastAsia="Times New Roman" w:hAnsi="Times New Roman"/>
          <w:sz w:val="24"/>
          <w:szCs w:val="24"/>
        </w:rPr>
        <w:t xml:space="preserve">(HQ) </w:t>
      </w:r>
      <w:r w:rsidRPr="00CD0154">
        <w:rPr>
          <w:rFonts w:ascii="Times New Roman" w:eastAsia="Times New Roman" w:hAnsi="Times New Roman"/>
          <w:sz w:val="24"/>
          <w:szCs w:val="24"/>
        </w:rPr>
        <w:t xml:space="preserve">lease for Portals II </w:t>
      </w:r>
      <w:r>
        <w:rPr>
          <w:rFonts w:ascii="Times New Roman" w:eastAsia="Times New Roman" w:hAnsi="Times New Roman"/>
          <w:sz w:val="24"/>
          <w:szCs w:val="24"/>
        </w:rPr>
        <w:t xml:space="preserve">building </w:t>
      </w:r>
      <w:r w:rsidRPr="00CD0154">
        <w:rPr>
          <w:rFonts w:ascii="Times New Roman" w:eastAsia="Times New Roman" w:hAnsi="Times New Roman"/>
          <w:sz w:val="24"/>
          <w:szCs w:val="24"/>
        </w:rPr>
        <w:t>at 445 12th Street SW, Washington, DC will expire in October 2017.  In 2015 Congress approved a prospectus for a replacement lease for a 15</w:t>
      </w:r>
      <w:r>
        <w:rPr>
          <w:rFonts w:ascii="Times New Roman" w:eastAsia="Times New Roman" w:hAnsi="Times New Roman"/>
          <w:sz w:val="24"/>
          <w:szCs w:val="24"/>
        </w:rPr>
        <w:t>-</w:t>
      </w:r>
      <w:r w:rsidRPr="00CD0154">
        <w:rPr>
          <w:rFonts w:ascii="Times New Roman" w:eastAsia="Times New Roman" w:hAnsi="Times New Roman"/>
          <w:sz w:val="24"/>
          <w:szCs w:val="24"/>
        </w:rPr>
        <w:t>year term that would reduce our headquarters square footage by approximately 30</w:t>
      </w:r>
      <w:r>
        <w:rPr>
          <w:rFonts w:ascii="Times New Roman" w:eastAsia="Times New Roman" w:hAnsi="Times New Roman"/>
          <w:sz w:val="24"/>
          <w:szCs w:val="24"/>
        </w:rPr>
        <w:t xml:space="preserve"> percent and </w:t>
      </w:r>
      <w:r w:rsidRPr="00CD0154">
        <w:rPr>
          <w:rFonts w:ascii="Times New Roman" w:eastAsia="Times New Roman" w:hAnsi="Times New Roman"/>
          <w:sz w:val="24"/>
          <w:szCs w:val="24"/>
        </w:rPr>
        <w:t xml:space="preserve">lower </w:t>
      </w:r>
      <w:r>
        <w:rPr>
          <w:rFonts w:ascii="Times New Roman" w:eastAsia="Times New Roman" w:hAnsi="Times New Roman"/>
          <w:sz w:val="24"/>
          <w:szCs w:val="24"/>
        </w:rPr>
        <w:t xml:space="preserve">the </w:t>
      </w:r>
      <w:r w:rsidRPr="00CD0154">
        <w:rPr>
          <w:rFonts w:ascii="Times New Roman" w:eastAsia="Times New Roman" w:hAnsi="Times New Roman"/>
          <w:sz w:val="24"/>
          <w:szCs w:val="24"/>
        </w:rPr>
        <w:t xml:space="preserve">overall rental expense.  It is estimated that the move will provide up to $119 million in total savings over </w:t>
      </w:r>
      <w:r>
        <w:rPr>
          <w:rFonts w:ascii="Times New Roman" w:eastAsia="Times New Roman" w:hAnsi="Times New Roman"/>
          <w:sz w:val="24"/>
          <w:szCs w:val="24"/>
        </w:rPr>
        <w:t>the 15</w:t>
      </w:r>
      <w:r w:rsidRPr="00CD0154">
        <w:rPr>
          <w:rFonts w:ascii="Times New Roman" w:eastAsia="Times New Roman" w:hAnsi="Times New Roman"/>
          <w:sz w:val="24"/>
          <w:szCs w:val="24"/>
        </w:rPr>
        <w:t xml:space="preserve"> years of the new lease. </w:t>
      </w:r>
      <w:r>
        <w:rPr>
          <w:rFonts w:ascii="Times New Roman" w:eastAsia="Times New Roman" w:hAnsi="Times New Roman"/>
          <w:sz w:val="24"/>
          <w:szCs w:val="24"/>
        </w:rPr>
        <w:t xml:space="preserve"> </w:t>
      </w:r>
    </w:p>
    <w:p w:rsidR="00DF35E9" w:rsidRDefault="00DF35E9" w:rsidP="00DF35E9">
      <w:pPr>
        <w:widowControl w:val="0"/>
        <w:spacing w:after="0" w:line="240" w:lineRule="auto"/>
        <w:jc w:val="both"/>
        <w:rPr>
          <w:rFonts w:ascii="Times New Roman" w:eastAsia="Times New Roman" w:hAnsi="Times New Roman"/>
          <w:sz w:val="24"/>
          <w:szCs w:val="24"/>
        </w:rPr>
      </w:pPr>
    </w:p>
    <w:p w:rsidR="00DF35E9" w:rsidRPr="00CD0154" w:rsidRDefault="00DF35E9" w:rsidP="00DF35E9">
      <w:pPr>
        <w:widowControl w:val="0"/>
        <w:spacing w:after="0" w:line="240" w:lineRule="auto"/>
        <w:jc w:val="both"/>
        <w:rPr>
          <w:rFonts w:ascii="Times New Roman" w:eastAsia="Times New Roman" w:hAnsi="Times New Roman"/>
          <w:sz w:val="24"/>
          <w:szCs w:val="24"/>
        </w:rPr>
      </w:pPr>
      <w:r w:rsidRPr="00CD0154">
        <w:rPr>
          <w:rFonts w:ascii="Times New Roman" w:eastAsia="Times New Roman" w:hAnsi="Times New Roman"/>
          <w:sz w:val="24"/>
          <w:szCs w:val="24"/>
        </w:rPr>
        <w:t xml:space="preserve">Subsequently, the General Services Administration (GSA) conducted a competitive lease procurement and the current lessor filed pre-award protests with GSA, </w:t>
      </w:r>
      <w:r>
        <w:rPr>
          <w:rFonts w:ascii="Times New Roman" w:eastAsia="Times New Roman" w:hAnsi="Times New Roman"/>
          <w:sz w:val="24"/>
          <w:szCs w:val="24"/>
        </w:rPr>
        <w:t>Government Accountability Office (</w:t>
      </w:r>
      <w:r w:rsidRPr="00CD0154">
        <w:rPr>
          <w:rFonts w:ascii="Times New Roman" w:eastAsia="Times New Roman" w:hAnsi="Times New Roman"/>
          <w:sz w:val="24"/>
          <w:szCs w:val="24"/>
        </w:rPr>
        <w:t>GAO</w:t>
      </w:r>
      <w:r>
        <w:rPr>
          <w:rFonts w:ascii="Times New Roman" w:eastAsia="Times New Roman" w:hAnsi="Times New Roman"/>
          <w:sz w:val="24"/>
          <w:szCs w:val="24"/>
        </w:rPr>
        <w:t>)</w:t>
      </w:r>
      <w:r w:rsidRPr="00CD0154">
        <w:rPr>
          <w:rFonts w:ascii="Times New Roman" w:eastAsia="Times New Roman" w:hAnsi="Times New Roman"/>
          <w:sz w:val="24"/>
          <w:szCs w:val="24"/>
        </w:rPr>
        <w:t>, and the Court of Federal Claims, all of which denied the lessor</w:t>
      </w:r>
      <w:r w:rsidR="00173322">
        <w:rPr>
          <w:rFonts w:ascii="Times New Roman" w:eastAsia="Times New Roman" w:hAnsi="Times New Roman"/>
          <w:sz w:val="24"/>
          <w:szCs w:val="24"/>
        </w:rPr>
        <w:t>’</w:t>
      </w:r>
      <w:r w:rsidRPr="00CD0154">
        <w:rPr>
          <w:rFonts w:ascii="Times New Roman" w:eastAsia="Times New Roman" w:hAnsi="Times New Roman"/>
          <w:sz w:val="24"/>
          <w:szCs w:val="24"/>
        </w:rPr>
        <w:t>s protests.  In December 2016, GSA awarded a lease</w:t>
      </w:r>
      <w:r>
        <w:rPr>
          <w:rFonts w:ascii="Times New Roman" w:eastAsia="Times New Roman" w:hAnsi="Times New Roman"/>
          <w:sz w:val="24"/>
          <w:szCs w:val="24"/>
        </w:rPr>
        <w:t>,</w:t>
      </w:r>
      <w:r w:rsidRPr="00CD0154">
        <w:rPr>
          <w:rFonts w:ascii="Times New Roman" w:eastAsia="Times New Roman" w:hAnsi="Times New Roman"/>
          <w:sz w:val="24"/>
          <w:szCs w:val="24"/>
        </w:rPr>
        <w:t xml:space="preserve"> which will require the Commission to move to a newly built facility in fiscal year 2019.  Post award, the current lessor filed a protest with the United States Court of Appeals for the Federal Circuit, and the case remains pending a decision. Since the Commission cannot move to a new facility before the termination of the lease, GSA informed the Commission that the current lessor may want a 20% premium over the current rental rate, translating to an increase of approximately $9 million per year in lease costs. GSA is working on negotiating with the current lessor for a lease extension.</w:t>
      </w:r>
    </w:p>
    <w:p w:rsidR="00DF35E9" w:rsidRPr="00CD0154" w:rsidRDefault="00DF35E9" w:rsidP="00DF35E9">
      <w:pPr>
        <w:widowControl w:val="0"/>
        <w:spacing w:after="0" w:line="240" w:lineRule="auto"/>
        <w:jc w:val="both"/>
        <w:rPr>
          <w:rFonts w:ascii="Times New Roman" w:eastAsia="Times New Roman" w:hAnsi="Times New Roman"/>
          <w:sz w:val="24"/>
          <w:szCs w:val="24"/>
        </w:rPr>
      </w:pPr>
    </w:p>
    <w:p w:rsidR="00DF35E9" w:rsidRDefault="00DF35E9" w:rsidP="00DF35E9">
      <w:pPr>
        <w:widowControl w:val="0"/>
        <w:spacing w:after="0" w:line="240" w:lineRule="auto"/>
        <w:jc w:val="both"/>
        <w:rPr>
          <w:rFonts w:ascii="Times New Roman" w:eastAsia="Times New Roman" w:hAnsi="Times New Roman"/>
          <w:sz w:val="24"/>
          <w:szCs w:val="24"/>
        </w:rPr>
      </w:pPr>
      <w:r w:rsidRPr="00CD0154">
        <w:rPr>
          <w:rFonts w:ascii="Times New Roman" w:eastAsia="Times New Roman" w:hAnsi="Times New Roman"/>
          <w:sz w:val="24"/>
          <w:szCs w:val="24"/>
        </w:rPr>
        <w:t>In FY 2016, Congress provided the funding for the firs</w:t>
      </w:r>
      <w:r>
        <w:rPr>
          <w:rFonts w:ascii="Times New Roman" w:eastAsia="Times New Roman" w:hAnsi="Times New Roman"/>
          <w:sz w:val="24"/>
          <w:szCs w:val="24"/>
        </w:rPr>
        <w:t>t part of the headquarters move</w:t>
      </w:r>
      <w:r w:rsidRPr="00FD4264">
        <w:rPr>
          <w:rFonts w:ascii="Times New Roman" w:eastAsia="Times New Roman" w:hAnsi="Times New Roman"/>
          <w:sz w:val="24"/>
          <w:szCs w:val="24"/>
        </w:rPr>
        <w:t>/restack</w:t>
      </w:r>
      <w:r w:rsidRPr="00CD0154">
        <w:rPr>
          <w:rFonts w:ascii="Times New Roman" w:eastAsia="Times New Roman" w:hAnsi="Times New Roman"/>
          <w:sz w:val="24"/>
          <w:szCs w:val="24"/>
        </w:rPr>
        <w:t>.  In FY 2017</w:t>
      </w:r>
      <w:r w:rsidR="00F92149">
        <w:rPr>
          <w:rFonts w:ascii="Times New Roman" w:eastAsia="Times New Roman" w:hAnsi="Times New Roman"/>
          <w:sz w:val="24"/>
          <w:szCs w:val="24"/>
        </w:rPr>
        <w:t xml:space="preserve">, Congress provided only S&amp;E portion of </w:t>
      </w:r>
      <w:r w:rsidRPr="00CD0154">
        <w:rPr>
          <w:rFonts w:ascii="Times New Roman" w:eastAsia="Times New Roman" w:hAnsi="Times New Roman"/>
          <w:sz w:val="24"/>
          <w:szCs w:val="24"/>
        </w:rPr>
        <w:t>the Commission</w:t>
      </w:r>
      <w:r w:rsidR="00F92149">
        <w:rPr>
          <w:rFonts w:ascii="Times New Roman" w:eastAsia="Times New Roman" w:hAnsi="Times New Roman"/>
          <w:sz w:val="24"/>
          <w:szCs w:val="24"/>
        </w:rPr>
        <w:t xml:space="preserve">’s remaining </w:t>
      </w:r>
      <w:r w:rsidR="00F92149" w:rsidRPr="00CD0154">
        <w:rPr>
          <w:rFonts w:ascii="Times New Roman" w:eastAsia="Times New Roman" w:hAnsi="Times New Roman"/>
          <w:sz w:val="24"/>
          <w:szCs w:val="24"/>
        </w:rPr>
        <w:t>request</w:t>
      </w:r>
      <w:r w:rsidRPr="00CD0154">
        <w:rPr>
          <w:rFonts w:ascii="Times New Roman" w:eastAsia="Times New Roman" w:hAnsi="Times New Roman"/>
          <w:sz w:val="24"/>
          <w:szCs w:val="24"/>
        </w:rPr>
        <w:t xml:space="preserve"> of the funding necessary to complete the </w:t>
      </w:r>
      <w:r w:rsidR="00DC4D82">
        <w:rPr>
          <w:rFonts w:ascii="Times New Roman" w:eastAsia="Times New Roman" w:hAnsi="Times New Roman"/>
          <w:sz w:val="24"/>
          <w:szCs w:val="24"/>
        </w:rPr>
        <w:t xml:space="preserve">headquarters </w:t>
      </w:r>
      <w:r w:rsidRPr="004164D0">
        <w:rPr>
          <w:rFonts w:ascii="Times New Roman" w:eastAsia="Times New Roman" w:hAnsi="Times New Roman"/>
          <w:sz w:val="24"/>
          <w:szCs w:val="24"/>
        </w:rPr>
        <w:t>move</w:t>
      </w:r>
      <w:r w:rsidR="00FD4264" w:rsidRPr="004164D0">
        <w:rPr>
          <w:rFonts w:ascii="Times New Roman" w:eastAsia="Times New Roman" w:hAnsi="Times New Roman"/>
          <w:sz w:val="24"/>
          <w:szCs w:val="24"/>
        </w:rPr>
        <w:t>/restack</w:t>
      </w:r>
      <w:r w:rsidRPr="004164D0">
        <w:rPr>
          <w:rFonts w:ascii="Times New Roman" w:eastAsia="Times New Roman" w:hAnsi="Times New Roman"/>
          <w:sz w:val="24"/>
          <w:szCs w:val="24"/>
        </w:rPr>
        <w:t>.</w:t>
      </w:r>
      <w:r>
        <w:rPr>
          <w:rFonts w:ascii="Times New Roman" w:eastAsia="Times New Roman" w:hAnsi="Times New Roman"/>
          <w:sz w:val="24"/>
          <w:szCs w:val="24"/>
        </w:rPr>
        <w:t xml:space="preserve">  </w:t>
      </w:r>
      <w:r w:rsidRPr="00CD0154">
        <w:rPr>
          <w:rFonts w:ascii="Times New Roman" w:eastAsia="Times New Roman" w:hAnsi="Times New Roman"/>
          <w:sz w:val="24"/>
          <w:szCs w:val="24"/>
        </w:rPr>
        <w:t xml:space="preserve">Total funds provided for the </w:t>
      </w:r>
      <w:r>
        <w:rPr>
          <w:rFonts w:ascii="Times New Roman" w:eastAsia="Times New Roman" w:hAnsi="Times New Roman"/>
          <w:sz w:val="24"/>
          <w:szCs w:val="24"/>
        </w:rPr>
        <w:t>h</w:t>
      </w:r>
      <w:r w:rsidRPr="00CD0154">
        <w:rPr>
          <w:rFonts w:ascii="Times New Roman" w:eastAsia="Times New Roman" w:hAnsi="Times New Roman"/>
          <w:sz w:val="24"/>
          <w:szCs w:val="24"/>
        </w:rPr>
        <w:t>eadquarters move</w:t>
      </w:r>
      <w:r w:rsidRPr="00FD4264">
        <w:rPr>
          <w:rFonts w:ascii="Times New Roman" w:eastAsia="Times New Roman" w:hAnsi="Times New Roman"/>
          <w:sz w:val="24"/>
          <w:szCs w:val="24"/>
        </w:rPr>
        <w:t>/restack</w:t>
      </w:r>
      <w:r w:rsidRPr="00CD0154">
        <w:rPr>
          <w:rFonts w:ascii="Times New Roman" w:eastAsia="Times New Roman" w:hAnsi="Times New Roman"/>
          <w:sz w:val="24"/>
          <w:szCs w:val="24"/>
        </w:rPr>
        <w:t xml:space="preserve"> is as follows:</w:t>
      </w:r>
    </w:p>
    <w:p w:rsidR="00DF35E9" w:rsidRPr="00CD0154" w:rsidRDefault="00DF35E9" w:rsidP="00DF35E9">
      <w:pPr>
        <w:pStyle w:val="NoSpacing"/>
        <w:rPr>
          <w:rFonts w:ascii="Times New Roman" w:eastAsia="Times New Roman" w:hAnsi="Times New Roman"/>
          <w:sz w:val="24"/>
          <w:szCs w:val="24"/>
        </w:rPr>
      </w:pPr>
    </w:p>
    <w:tbl>
      <w:tblPr>
        <w:tblStyle w:val="TableGrid"/>
        <w:tblW w:w="0" w:type="auto"/>
        <w:jc w:val="center"/>
        <w:tblLook w:val="04A0" w:firstRow="1" w:lastRow="0" w:firstColumn="1" w:lastColumn="0" w:noHBand="0" w:noVBand="1"/>
      </w:tblPr>
      <w:tblGrid>
        <w:gridCol w:w="3498"/>
        <w:gridCol w:w="1588"/>
        <w:gridCol w:w="1656"/>
        <w:gridCol w:w="1417"/>
      </w:tblGrid>
      <w:tr w:rsidR="00DF35E9" w:rsidRPr="00CD0154" w:rsidTr="00DF35E9">
        <w:trPr>
          <w:trHeight w:val="276"/>
          <w:jc w:val="center"/>
        </w:trPr>
        <w:tc>
          <w:tcPr>
            <w:tcW w:w="3498" w:type="dxa"/>
            <w:tcBorders>
              <w:top w:val="nil"/>
              <w:left w:val="nil"/>
              <w:bottom w:val="double" w:sz="4" w:space="0" w:color="auto"/>
              <w:right w:val="double" w:sz="4" w:space="0" w:color="auto"/>
            </w:tcBorders>
          </w:tcPr>
          <w:p w:rsidR="00DF35E9" w:rsidRPr="00CD0154" w:rsidRDefault="00DF35E9" w:rsidP="00DF35E9">
            <w:pPr>
              <w:pStyle w:val="NoSpacing"/>
              <w:jc w:val="center"/>
              <w:rPr>
                <w:b/>
                <w:sz w:val="24"/>
                <w:szCs w:val="24"/>
              </w:rPr>
            </w:pPr>
          </w:p>
        </w:tc>
        <w:tc>
          <w:tcPr>
            <w:tcW w:w="1588" w:type="dxa"/>
            <w:tcBorders>
              <w:top w:val="double" w:sz="4" w:space="0" w:color="auto"/>
              <w:left w:val="double" w:sz="4" w:space="0" w:color="auto"/>
            </w:tcBorders>
            <w:shd w:val="clear" w:color="auto" w:fill="BFBFBF" w:themeFill="background1" w:themeFillShade="BF"/>
            <w:vAlign w:val="center"/>
          </w:tcPr>
          <w:p w:rsidR="00DF35E9" w:rsidRPr="00CD0154" w:rsidRDefault="00DF35E9" w:rsidP="00DF35E9">
            <w:pPr>
              <w:pStyle w:val="NoSpacing"/>
              <w:jc w:val="center"/>
              <w:rPr>
                <w:b/>
                <w:sz w:val="24"/>
                <w:szCs w:val="24"/>
              </w:rPr>
            </w:pPr>
            <w:r w:rsidRPr="00CD0154">
              <w:rPr>
                <w:b/>
                <w:sz w:val="24"/>
                <w:szCs w:val="24"/>
              </w:rPr>
              <w:t>Total</w:t>
            </w:r>
          </w:p>
        </w:tc>
        <w:tc>
          <w:tcPr>
            <w:tcW w:w="1656" w:type="dxa"/>
            <w:tcBorders>
              <w:top w:val="double" w:sz="4" w:space="0" w:color="auto"/>
            </w:tcBorders>
            <w:shd w:val="clear" w:color="auto" w:fill="8DB3E2" w:themeFill="text2" w:themeFillTint="66"/>
            <w:vAlign w:val="center"/>
          </w:tcPr>
          <w:p w:rsidR="00DF35E9" w:rsidRPr="00CD0154" w:rsidRDefault="00DF35E9" w:rsidP="00DF35E9">
            <w:pPr>
              <w:pStyle w:val="NoSpacing"/>
              <w:jc w:val="center"/>
              <w:rPr>
                <w:b/>
                <w:sz w:val="24"/>
                <w:szCs w:val="24"/>
              </w:rPr>
            </w:pPr>
            <w:r w:rsidRPr="00CD0154">
              <w:rPr>
                <w:b/>
                <w:sz w:val="24"/>
                <w:szCs w:val="24"/>
              </w:rPr>
              <w:t>S&amp;E (Reg. Fees)</w:t>
            </w:r>
          </w:p>
        </w:tc>
        <w:tc>
          <w:tcPr>
            <w:tcW w:w="1417" w:type="dxa"/>
            <w:tcBorders>
              <w:top w:val="double" w:sz="4" w:space="0" w:color="auto"/>
              <w:right w:val="double" w:sz="4" w:space="0" w:color="auto"/>
            </w:tcBorders>
            <w:shd w:val="clear" w:color="auto" w:fill="8DB3E2" w:themeFill="text2" w:themeFillTint="66"/>
            <w:vAlign w:val="center"/>
          </w:tcPr>
          <w:p w:rsidR="00DF35E9" w:rsidRPr="00CD0154" w:rsidRDefault="00DF35E9" w:rsidP="00DF35E9">
            <w:pPr>
              <w:pStyle w:val="NoSpacing"/>
              <w:jc w:val="center"/>
              <w:rPr>
                <w:b/>
                <w:sz w:val="24"/>
                <w:szCs w:val="24"/>
              </w:rPr>
            </w:pPr>
            <w:r w:rsidRPr="00CD0154">
              <w:rPr>
                <w:b/>
                <w:sz w:val="24"/>
                <w:szCs w:val="24"/>
              </w:rPr>
              <w:t>Auctions</w:t>
            </w:r>
          </w:p>
        </w:tc>
      </w:tr>
      <w:tr w:rsidR="00DF35E9" w:rsidRPr="00CD0154" w:rsidTr="00DF35E9">
        <w:trPr>
          <w:trHeight w:val="258"/>
          <w:jc w:val="center"/>
        </w:trPr>
        <w:tc>
          <w:tcPr>
            <w:tcW w:w="3498" w:type="dxa"/>
            <w:tcBorders>
              <w:top w:val="double" w:sz="4" w:space="0" w:color="auto"/>
              <w:left w:val="double" w:sz="4" w:space="0" w:color="auto"/>
              <w:right w:val="double" w:sz="4" w:space="0" w:color="auto"/>
            </w:tcBorders>
            <w:vAlign w:val="center"/>
          </w:tcPr>
          <w:p w:rsidR="00DF35E9" w:rsidRPr="00CD0154" w:rsidRDefault="00DF35E9" w:rsidP="00DF35E9">
            <w:pPr>
              <w:pStyle w:val="NoSpacing"/>
              <w:rPr>
                <w:sz w:val="24"/>
                <w:szCs w:val="24"/>
              </w:rPr>
            </w:pPr>
            <w:r w:rsidRPr="00CD0154">
              <w:rPr>
                <w:sz w:val="24"/>
                <w:szCs w:val="24"/>
              </w:rPr>
              <w:t>Amount Provided in FY 2016</w:t>
            </w:r>
          </w:p>
        </w:tc>
        <w:tc>
          <w:tcPr>
            <w:tcW w:w="1588" w:type="dxa"/>
            <w:tcBorders>
              <w:left w:val="double" w:sz="4" w:space="0" w:color="auto"/>
            </w:tcBorders>
            <w:shd w:val="clear" w:color="auto" w:fill="BFBFBF" w:themeFill="background1" w:themeFillShade="BF"/>
            <w:vAlign w:val="center"/>
          </w:tcPr>
          <w:p w:rsidR="00DF35E9" w:rsidRPr="00CD0154" w:rsidRDefault="00DF35E9" w:rsidP="00BA4E10">
            <w:pPr>
              <w:pStyle w:val="NoSpacing"/>
              <w:jc w:val="right"/>
              <w:rPr>
                <w:b/>
                <w:sz w:val="24"/>
                <w:szCs w:val="24"/>
              </w:rPr>
            </w:pPr>
            <w:r w:rsidRPr="00CD0154">
              <w:rPr>
                <w:b/>
                <w:sz w:val="24"/>
                <w:szCs w:val="24"/>
              </w:rPr>
              <w:t>$51,358</w:t>
            </w:r>
            <w:r w:rsidR="00BA4E10">
              <w:rPr>
                <w:b/>
                <w:sz w:val="24"/>
                <w:szCs w:val="24"/>
              </w:rPr>
              <w:t>,4</w:t>
            </w:r>
            <w:r w:rsidRPr="00CD0154">
              <w:rPr>
                <w:b/>
                <w:sz w:val="24"/>
                <w:szCs w:val="24"/>
              </w:rPr>
              <w:t>97</w:t>
            </w:r>
          </w:p>
        </w:tc>
        <w:tc>
          <w:tcPr>
            <w:tcW w:w="1656" w:type="dxa"/>
            <w:vAlign w:val="center"/>
          </w:tcPr>
          <w:p w:rsidR="00DF35E9" w:rsidRPr="00CD0154" w:rsidRDefault="00DF35E9" w:rsidP="00BA4E10">
            <w:pPr>
              <w:pStyle w:val="NoSpacing"/>
              <w:jc w:val="right"/>
              <w:rPr>
                <w:sz w:val="24"/>
                <w:szCs w:val="24"/>
              </w:rPr>
            </w:pPr>
            <w:r w:rsidRPr="00CD0154">
              <w:rPr>
                <w:sz w:val="24"/>
                <w:szCs w:val="24"/>
              </w:rPr>
              <w:t>$44,168,497</w:t>
            </w:r>
          </w:p>
        </w:tc>
        <w:tc>
          <w:tcPr>
            <w:tcW w:w="1417" w:type="dxa"/>
            <w:tcBorders>
              <w:right w:val="double" w:sz="4" w:space="0" w:color="auto"/>
            </w:tcBorders>
            <w:vAlign w:val="center"/>
          </w:tcPr>
          <w:p w:rsidR="00DF35E9" w:rsidRPr="00C23A5D" w:rsidRDefault="00DF35E9" w:rsidP="00BA4E10">
            <w:pPr>
              <w:pStyle w:val="NoSpacing"/>
              <w:jc w:val="right"/>
              <w:rPr>
                <w:sz w:val="24"/>
                <w:szCs w:val="24"/>
              </w:rPr>
            </w:pPr>
            <w:r w:rsidRPr="00C23A5D">
              <w:rPr>
                <w:sz w:val="24"/>
                <w:szCs w:val="24"/>
              </w:rPr>
              <w:t>$7,190,000</w:t>
            </w:r>
          </w:p>
        </w:tc>
      </w:tr>
      <w:tr w:rsidR="00DF35E9" w:rsidRPr="00CD0154" w:rsidTr="00DF35E9">
        <w:trPr>
          <w:trHeight w:val="278"/>
          <w:jc w:val="center"/>
        </w:trPr>
        <w:tc>
          <w:tcPr>
            <w:tcW w:w="3498" w:type="dxa"/>
            <w:tcBorders>
              <w:left w:val="double" w:sz="4" w:space="0" w:color="auto"/>
              <w:bottom w:val="single" w:sz="4" w:space="0" w:color="auto"/>
              <w:right w:val="double" w:sz="4" w:space="0" w:color="auto"/>
            </w:tcBorders>
            <w:vAlign w:val="center"/>
          </w:tcPr>
          <w:p w:rsidR="00DF35E9" w:rsidRPr="00CD0154" w:rsidRDefault="00DF35E9" w:rsidP="00DF35E9">
            <w:pPr>
              <w:pStyle w:val="NoSpacing"/>
              <w:rPr>
                <w:sz w:val="24"/>
                <w:szCs w:val="24"/>
              </w:rPr>
            </w:pPr>
            <w:r w:rsidRPr="00CD0154">
              <w:rPr>
                <w:sz w:val="24"/>
                <w:szCs w:val="24"/>
              </w:rPr>
              <w:t xml:space="preserve">Amount </w:t>
            </w:r>
            <w:r w:rsidR="00BA4E10" w:rsidRPr="00BD0E1E">
              <w:rPr>
                <w:sz w:val="24"/>
                <w:szCs w:val="24"/>
              </w:rPr>
              <w:t>Provided</w:t>
            </w:r>
            <w:r w:rsidRPr="00CD0154">
              <w:rPr>
                <w:sz w:val="24"/>
                <w:szCs w:val="24"/>
              </w:rPr>
              <w:t xml:space="preserve"> in FY 2017</w:t>
            </w:r>
          </w:p>
        </w:tc>
        <w:tc>
          <w:tcPr>
            <w:tcW w:w="1588" w:type="dxa"/>
            <w:tcBorders>
              <w:left w:val="double" w:sz="4" w:space="0" w:color="auto"/>
              <w:bottom w:val="single" w:sz="4" w:space="0" w:color="auto"/>
            </w:tcBorders>
            <w:shd w:val="clear" w:color="auto" w:fill="BFBFBF" w:themeFill="background1" w:themeFillShade="BF"/>
            <w:vAlign w:val="center"/>
          </w:tcPr>
          <w:p w:rsidR="00DF35E9" w:rsidRPr="00CD0154" w:rsidRDefault="00DF35E9" w:rsidP="00BA4E10">
            <w:pPr>
              <w:pStyle w:val="NoSpacing"/>
              <w:jc w:val="right"/>
              <w:rPr>
                <w:b/>
                <w:sz w:val="24"/>
                <w:szCs w:val="24"/>
              </w:rPr>
            </w:pPr>
            <w:r w:rsidRPr="00CD0154">
              <w:rPr>
                <w:b/>
                <w:sz w:val="24"/>
                <w:szCs w:val="24"/>
              </w:rPr>
              <w:t>$1</w:t>
            </w:r>
            <w:r w:rsidR="00BA4E10">
              <w:rPr>
                <w:b/>
                <w:sz w:val="24"/>
                <w:szCs w:val="24"/>
              </w:rPr>
              <w:t>6,866</w:t>
            </w:r>
            <w:r w:rsidRPr="00CD0154">
              <w:rPr>
                <w:b/>
                <w:sz w:val="24"/>
                <w:szCs w:val="24"/>
              </w:rPr>
              <w:t>,992</w:t>
            </w:r>
          </w:p>
        </w:tc>
        <w:tc>
          <w:tcPr>
            <w:tcW w:w="1656" w:type="dxa"/>
            <w:tcBorders>
              <w:bottom w:val="single" w:sz="4" w:space="0" w:color="auto"/>
            </w:tcBorders>
            <w:vAlign w:val="center"/>
          </w:tcPr>
          <w:p w:rsidR="00DF35E9" w:rsidRPr="00CD0154" w:rsidRDefault="00DF35E9" w:rsidP="00BA4E10">
            <w:pPr>
              <w:pStyle w:val="NoSpacing"/>
              <w:jc w:val="right"/>
              <w:rPr>
                <w:sz w:val="24"/>
                <w:szCs w:val="24"/>
              </w:rPr>
            </w:pPr>
            <w:r w:rsidRPr="00CD0154">
              <w:rPr>
                <w:sz w:val="24"/>
                <w:szCs w:val="24"/>
              </w:rPr>
              <w:t>$16,866,992</w:t>
            </w:r>
          </w:p>
        </w:tc>
        <w:tc>
          <w:tcPr>
            <w:tcW w:w="1417" w:type="dxa"/>
            <w:tcBorders>
              <w:bottom w:val="single" w:sz="4" w:space="0" w:color="auto"/>
              <w:right w:val="double" w:sz="4" w:space="0" w:color="auto"/>
            </w:tcBorders>
            <w:vAlign w:val="center"/>
          </w:tcPr>
          <w:p w:rsidR="00DF35E9" w:rsidRPr="00C23A5D" w:rsidRDefault="00DF35E9" w:rsidP="00BA4E10">
            <w:pPr>
              <w:pStyle w:val="NoSpacing"/>
              <w:jc w:val="right"/>
              <w:rPr>
                <w:sz w:val="24"/>
                <w:szCs w:val="24"/>
              </w:rPr>
            </w:pPr>
            <w:r w:rsidRPr="00BD0E1E">
              <w:rPr>
                <w:sz w:val="24"/>
                <w:szCs w:val="24"/>
              </w:rPr>
              <w:t>$0</w:t>
            </w:r>
          </w:p>
        </w:tc>
      </w:tr>
      <w:tr w:rsidR="00DF35E9" w:rsidRPr="00CD0154" w:rsidTr="00DF35E9">
        <w:trPr>
          <w:trHeight w:val="323"/>
          <w:jc w:val="center"/>
        </w:trPr>
        <w:tc>
          <w:tcPr>
            <w:tcW w:w="3498" w:type="dxa"/>
            <w:tcBorders>
              <w:left w:val="double" w:sz="4" w:space="0" w:color="auto"/>
              <w:bottom w:val="double" w:sz="4" w:space="0" w:color="auto"/>
              <w:right w:val="double" w:sz="4" w:space="0" w:color="auto"/>
            </w:tcBorders>
            <w:shd w:val="clear" w:color="auto" w:fill="BFBFBF" w:themeFill="background1" w:themeFillShade="BF"/>
            <w:vAlign w:val="center"/>
          </w:tcPr>
          <w:p w:rsidR="00DF35E9" w:rsidRPr="00CD0154" w:rsidRDefault="00DF35E9" w:rsidP="00DF35E9">
            <w:pPr>
              <w:pStyle w:val="NoSpacing"/>
              <w:jc w:val="center"/>
              <w:rPr>
                <w:b/>
                <w:sz w:val="24"/>
                <w:szCs w:val="24"/>
              </w:rPr>
            </w:pPr>
            <w:r w:rsidRPr="00CD0154">
              <w:rPr>
                <w:b/>
                <w:sz w:val="24"/>
                <w:szCs w:val="24"/>
              </w:rPr>
              <w:t>TOTAL</w:t>
            </w:r>
          </w:p>
        </w:tc>
        <w:tc>
          <w:tcPr>
            <w:tcW w:w="1588" w:type="dxa"/>
            <w:tcBorders>
              <w:left w:val="double" w:sz="4" w:space="0" w:color="auto"/>
              <w:bottom w:val="double" w:sz="4" w:space="0" w:color="auto"/>
            </w:tcBorders>
            <w:shd w:val="clear" w:color="auto" w:fill="BFBFBF" w:themeFill="background1" w:themeFillShade="BF"/>
            <w:vAlign w:val="center"/>
          </w:tcPr>
          <w:p w:rsidR="00DF35E9" w:rsidRPr="00CD0154" w:rsidRDefault="00DF35E9" w:rsidP="00BA4E10">
            <w:pPr>
              <w:pStyle w:val="NoSpacing"/>
              <w:jc w:val="right"/>
              <w:rPr>
                <w:b/>
                <w:sz w:val="24"/>
                <w:szCs w:val="24"/>
              </w:rPr>
            </w:pPr>
            <w:r w:rsidRPr="00CD0154">
              <w:rPr>
                <w:b/>
                <w:sz w:val="24"/>
                <w:szCs w:val="24"/>
              </w:rPr>
              <w:t>$</w:t>
            </w:r>
            <w:r w:rsidR="00BA4E10">
              <w:rPr>
                <w:b/>
                <w:sz w:val="24"/>
                <w:szCs w:val="24"/>
              </w:rPr>
              <w:t>68</w:t>
            </w:r>
            <w:r w:rsidRPr="00CD0154">
              <w:rPr>
                <w:b/>
                <w:sz w:val="24"/>
                <w:szCs w:val="24"/>
              </w:rPr>
              <w:t>,</w:t>
            </w:r>
            <w:r w:rsidR="00BA4E10">
              <w:rPr>
                <w:b/>
                <w:sz w:val="24"/>
                <w:szCs w:val="24"/>
              </w:rPr>
              <w:t>225</w:t>
            </w:r>
            <w:r w:rsidRPr="00CD0154">
              <w:rPr>
                <w:b/>
                <w:sz w:val="24"/>
                <w:szCs w:val="24"/>
              </w:rPr>
              <w:t>,489</w:t>
            </w:r>
          </w:p>
        </w:tc>
        <w:tc>
          <w:tcPr>
            <w:tcW w:w="1656" w:type="dxa"/>
            <w:tcBorders>
              <w:bottom w:val="double" w:sz="4" w:space="0" w:color="auto"/>
            </w:tcBorders>
            <w:shd w:val="clear" w:color="auto" w:fill="BFBFBF" w:themeFill="background1" w:themeFillShade="BF"/>
            <w:vAlign w:val="center"/>
          </w:tcPr>
          <w:p w:rsidR="00DF35E9" w:rsidRPr="00CD0154" w:rsidRDefault="00DF35E9" w:rsidP="00BA4E10">
            <w:pPr>
              <w:pStyle w:val="NoSpacing"/>
              <w:jc w:val="right"/>
              <w:rPr>
                <w:b/>
                <w:sz w:val="24"/>
                <w:szCs w:val="24"/>
              </w:rPr>
            </w:pPr>
            <w:r w:rsidRPr="00CD0154">
              <w:rPr>
                <w:b/>
                <w:sz w:val="24"/>
                <w:szCs w:val="24"/>
              </w:rPr>
              <w:t>$61,035,489</w:t>
            </w:r>
          </w:p>
        </w:tc>
        <w:tc>
          <w:tcPr>
            <w:tcW w:w="1417" w:type="dxa"/>
            <w:tcBorders>
              <w:bottom w:val="double" w:sz="4" w:space="0" w:color="auto"/>
              <w:right w:val="double" w:sz="4" w:space="0" w:color="auto"/>
            </w:tcBorders>
            <w:shd w:val="clear" w:color="auto" w:fill="BFBFBF" w:themeFill="background1" w:themeFillShade="BF"/>
            <w:vAlign w:val="center"/>
          </w:tcPr>
          <w:p w:rsidR="00DF35E9" w:rsidRPr="00CD0154" w:rsidRDefault="00DF35E9" w:rsidP="00BA4E10">
            <w:pPr>
              <w:pStyle w:val="NoSpacing"/>
              <w:jc w:val="right"/>
              <w:rPr>
                <w:b/>
                <w:sz w:val="24"/>
                <w:szCs w:val="24"/>
              </w:rPr>
            </w:pPr>
            <w:r w:rsidRPr="00CD0154">
              <w:rPr>
                <w:b/>
                <w:sz w:val="24"/>
                <w:szCs w:val="24"/>
              </w:rPr>
              <w:t>$</w:t>
            </w:r>
            <w:r w:rsidR="00BA4E10">
              <w:rPr>
                <w:b/>
                <w:sz w:val="24"/>
                <w:szCs w:val="24"/>
              </w:rPr>
              <w:t>7</w:t>
            </w:r>
            <w:r w:rsidRPr="00CD0154">
              <w:rPr>
                <w:b/>
                <w:sz w:val="24"/>
                <w:szCs w:val="24"/>
              </w:rPr>
              <w:t>,</w:t>
            </w:r>
            <w:r w:rsidR="00BA4E10">
              <w:rPr>
                <w:b/>
                <w:sz w:val="24"/>
                <w:szCs w:val="24"/>
              </w:rPr>
              <w:t>190</w:t>
            </w:r>
            <w:r w:rsidRPr="00CD0154">
              <w:rPr>
                <w:b/>
                <w:sz w:val="24"/>
                <w:szCs w:val="24"/>
              </w:rPr>
              <w:t>,000</w:t>
            </w:r>
          </w:p>
        </w:tc>
      </w:tr>
    </w:tbl>
    <w:p w:rsidR="00DF35E9" w:rsidRPr="00CD0154" w:rsidRDefault="00DF35E9" w:rsidP="00DF35E9">
      <w:pPr>
        <w:pStyle w:val="NoSpacing"/>
        <w:rPr>
          <w:rFonts w:ascii="Times New Roman" w:eastAsia="Times New Roman" w:hAnsi="Times New Roman"/>
          <w:sz w:val="24"/>
          <w:szCs w:val="24"/>
        </w:rPr>
      </w:pPr>
    </w:p>
    <w:p w:rsidR="00A92425" w:rsidRDefault="00DF35E9" w:rsidP="007F79C1">
      <w:pPr>
        <w:spacing w:line="240" w:lineRule="auto"/>
        <w:jc w:val="both"/>
        <w:rPr>
          <w:rFonts w:cs="Calibri"/>
        </w:rPr>
      </w:pPr>
      <w:r w:rsidRPr="00CD0154">
        <w:rPr>
          <w:rFonts w:ascii="Times New Roman" w:hAnsi="Times New Roman"/>
          <w:sz w:val="24"/>
          <w:szCs w:val="24"/>
        </w:rPr>
        <w:t xml:space="preserve">In order for GSA to complete the final execution of the lease, we </w:t>
      </w:r>
      <w:r w:rsidRPr="00996715">
        <w:rPr>
          <w:rFonts w:ascii="Times New Roman" w:hAnsi="Times New Roman"/>
          <w:sz w:val="24"/>
          <w:szCs w:val="24"/>
        </w:rPr>
        <w:t>must send the majority</w:t>
      </w:r>
      <w:r w:rsidRPr="00CD0154">
        <w:rPr>
          <w:rFonts w:ascii="Times New Roman" w:hAnsi="Times New Roman"/>
          <w:sz w:val="24"/>
          <w:szCs w:val="24"/>
        </w:rPr>
        <w:t xml:space="preserve"> of the FY 2016 funds to GSA to cover real property costs, such as design and drawings, construction, lessor’s management and inspection fees, GSA management fees, contingency and escalation.  </w:t>
      </w:r>
      <w:r w:rsidR="00DC4D82">
        <w:rPr>
          <w:rFonts w:ascii="Times New Roman" w:hAnsi="Times New Roman"/>
          <w:sz w:val="24"/>
          <w:szCs w:val="24"/>
        </w:rPr>
        <w:t xml:space="preserve">The funds provided in </w:t>
      </w:r>
      <w:r w:rsidRPr="00CD0154">
        <w:rPr>
          <w:rFonts w:ascii="Times New Roman" w:hAnsi="Times New Roman"/>
          <w:sz w:val="24"/>
          <w:szCs w:val="24"/>
        </w:rPr>
        <w:t xml:space="preserve">FY 2017 </w:t>
      </w:r>
      <w:r w:rsidR="00DC4D82">
        <w:rPr>
          <w:rFonts w:ascii="Times New Roman" w:hAnsi="Times New Roman"/>
          <w:sz w:val="24"/>
          <w:szCs w:val="24"/>
        </w:rPr>
        <w:t xml:space="preserve">will be used </w:t>
      </w:r>
      <w:r w:rsidRPr="00CD0154">
        <w:rPr>
          <w:rFonts w:ascii="Times New Roman" w:hAnsi="Times New Roman"/>
          <w:sz w:val="24"/>
          <w:szCs w:val="24"/>
        </w:rPr>
        <w:t xml:space="preserve">to fund our personal property costs, such as </w:t>
      </w:r>
      <w:r>
        <w:rPr>
          <w:rFonts w:ascii="Times New Roman" w:hAnsi="Times New Roman"/>
          <w:sz w:val="24"/>
          <w:szCs w:val="24"/>
        </w:rPr>
        <w:t>information technology (</w:t>
      </w:r>
      <w:r w:rsidRPr="00CD0154">
        <w:rPr>
          <w:rFonts w:ascii="Times New Roman" w:hAnsi="Times New Roman"/>
          <w:sz w:val="24"/>
          <w:szCs w:val="24"/>
        </w:rPr>
        <w:t>IT</w:t>
      </w:r>
      <w:r>
        <w:rPr>
          <w:rFonts w:ascii="Times New Roman" w:hAnsi="Times New Roman"/>
          <w:sz w:val="24"/>
          <w:szCs w:val="24"/>
        </w:rPr>
        <w:t>)</w:t>
      </w:r>
      <w:r w:rsidRPr="00CD0154">
        <w:rPr>
          <w:rFonts w:ascii="Times New Roman" w:hAnsi="Times New Roman"/>
          <w:sz w:val="24"/>
          <w:szCs w:val="24"/>
        </w:rPr>
        <w:t xml:space="preserve"> and telecom</w:t>
      </w:r>
      <w:r>
        <w:rPr>
          <w:rFonts w:ascii="Times New Roman" w:hAnsi="Times New Roman"/>
          <w:sz w:val="24"/>
          <w:szCs w:val="24"/>
        </w:rPr>
        <w:t>munications</w:t>
      </w:r>
      <w:r w:rsidRPr="00CD0154">
        <w:rPr>
          <w:rFonts w:ascii="Times New Roman" w:hAnsi="Times New Roman"/>
          <w:sz w:val="24"/>
          <w:szCs w:val="24"/>
        </w:rPr>
        <w:t xml:space="preserve">, security, project management, furniture and the physical move.  The first six months after the lease award is critical as the Commission will be required to meet design and construction timetables established by the GSA and the </w:t>
      </w:r>
      <w:r>
        <w:rPr>
          <w:rFonts w:ascii="Times New Roman" w:hAnsi="Times New Roman"/>
          <w:sz w:val="24"/>
          <w:szCs w:val="24"/>
        </w:rPr>
        <w:t xml:space="preserve">new </w:t>
      </w:r>
      <w:r w:rsidRPr="00CD0154">
        <w:rPr>
          <w:rFonts w:ascii="Times New Roman" w:hAnsi="Times New Roman"/>
          <w:sz w:val="24"/>
          <w:szCs w:val="24"/>
        </w:rPr>
        <w:t>lessor</w:t>
      </w:r>
      <w:r>
        <w:rPr>
          <w:rFonts w:ascii="Times New Roman" w:hAnsi="Times New Roman"/>
          <w:sz w:val="24"/>
          <w:szCs w:val="24"/>
        </w:rPr>
        <w:t xml:space="preserve">.  The </w:t>
      </w:r>
      <w:r w:rsidRPr="00CD0154">
        <w:rPr>
          <w:rFonts w:ascii="Times New Roman" w:hAnsi="Times New Roman"/>
          <w:sz w:val="24"/>
          <w:szCs w:val="24"/>
        </w:rPr>
        <w:t xml:space="preserve">FCC </w:t>
      </w:r>
      <w:r>
        <w:rPr>
          <w:rFonts w:ascii="Times New Roman" w:hAnsi="Times New Roman"/>
          <w:sz w:val="24"/>
          <w:szCs w:val="24"/>
        </w:rPr>
        <w:t xml:space="preserve">is also required </w:t>
      </w:r>
      <w:r w:rsidRPr="00CD0154">
        <w:rPr>
          <w:rFonts w:ascii="Times New Roman" w:hAnsi="Times New Roman"/>
          <w:sz w:val="24"/>
          <w:szCs w:val="24"/>
        </w:rPr>
        <w:t>to provide the details relat</w:t>
      </w:r>
      <w:r>
        <w:rPr>
          <w:rFonts w:ascii="Times New Roman" w:hAnsi="Times New Roman"/>
          <w:sz w:val="24"/>
          <w:szCs w:val="24"/>
        </w:rPr>
        <w:t xml:space="preserve">ed </w:t>
      </w:r>
      <w:r w:rsidRPr="00CD0154">
        <w:rPr>
          <w:rFonts w:ascii="Times New Roman" w:hAnsi="Times New Roman"/>
          <w:sz w:val="24"/>
          <w:szCs w:val="24"/>
        </w:rPr>
        <w:t>to specialized areas</w:t>
      </w:r>
      <w:r>
        <w:rPr>
          <w:rFonts w:ascii="Times New Roman" w:hAnsi="Times New Roman"/>
          <w:sz w:val="24"/>
          <w:szCs w:val="24"/>
        </w:rPr>
        <w:t xml:space="preserve"> </w:t>
      </w:r>
      <w:r w:rsidRPr="00CD0154">
        <w:rPr>
          <w:rFonts w:ascii="Times New Roman" w:hAnsi="Times New Roman"/>
          <w:sz w:val="24"/>
          <w:szCs w:val="24"/>
        </w:rPr>
        <w:t>and requirements</w:t>
      </w:r>
      <w:r>
        <w:rPr>
          <w:rFonts w:ascii="Times New Roman" w:hAnsi="Times New Roman"/>
          <w:sz w:val="24"/>
          <w:szCs w:val="24"/>
        </w:rPr>
        <w:t xml:space="preserve"> related to </w:t>
      </w:r>
      <w:r w:rsidRPr="00CD0154">
        <w:rPr>
          <w:rFonts w:ascii="Times New Roman" w:hAnsi="Times New Roman"/>
          <w:sz w:val="24"/>
          <w:szCs w:val="24"/>
        </w:rPr>
        <w:t xml:space="preserve">electrical, heating, air conditioning, floor loading, specialized construction and </w:t>
      </w:r>
      <w:r>
        <w:rPr>
          <w:rFonts w:ascii="Times New Roman" w:hAnsi="Times New Roman"/>
          <w:sz w:val="24"/>
          <w:szCs w:val="24"/>
        </w:rPr>
        <w:t xml:space="preserve">the </w:t>
      </w:r>
      <w:r w:rsidRPr="00CD0154">
        <w:rPr>
          <w:rFonts w:ascii="Times New Roman" w:hAnsi="Times New Roman"/>
          <w:sz w:val="24"/>
          <w:szCs w:val="24"/>
        </w:rPr>
        <w:t xml:space="preserve">equipment </w:t>
      </w:r>
      <w:r w:rsidRPr="0033660E">
        <w:rPr>
          <w:rFonts w:ascii="Times New Roman" w:hAnsi="Times New Roman"/>
          <w:sz w:val="24"/>
          <w:szCs w:val="24"/>
        </w:rPr>
        <w:t>to support them</w:t>
      </w:r>
      <w:r w:rsidRPr="00CD0154">
        <w:rPr>
          <w:rFonts w:ascii="Times New Roman" w:hAnsi="Times New Roman"/>
          <w:sz w:val="24"/>
          <w:szCs w:val="24"/>
        </w:rPr>
        <w:t xml:space="preserve">.  The procurements necessary for the FCC to be able to provide the necessary information to GSA and the </w:t>
      </w:r>
      <w:r>
        <w:rPr>
          <w:rFonts w:ascii="Times New Roman" w:hAnsi="Times New Roman"/>
          <w:sz w:val="24"/>
          <w:szCs w:val="24"/>
        </w:rPr>
        <w:t xml:space="preserve">new </w:t>
      </w:r>
      <w:r w:rsidRPr="00CD0154">
        <w:rPr>
          <w:rFonts w:ascii="Times New Roman" w:hAnsi="Times New Roman"/>
          <w:sz w:val="24"/>
          <w:szCs w:val="24"/>
        </w:rPr>
        <w:t xml:space="preserve">lease holder are project management </w:t>
      </w:r>
      <w:r>
        <w:rPr>
          <w:rFonts w:ascii="Times New Roman" w:hAnsi="Times New Roman"/>
          <w:sz w:val="24"/>
          <w:szCs w:val="24"/>
        </w:rPr>
        <w:t>and a</w:t>
      </w:r>
      <w:r w:rsidRPr="00CD0154">
        <w:rPr>
          <w:rFonts w:ascii="Times New Roman" w:hAnsi="Times New Roman"/>
          <w:sz w:val="24"/>
          <w:szCs w:val="24"/>
        </w:rPr>
        <w:t>cquisition support; change management; engineering and design services for IT, audio visual, communications, and special construction; space reduction strategies for records; long lead procurements for the IT infrastructure, communications and security; furniture; equipment; and move services.</w:t>
      </w:r>
    </w:p>
    <w:p w:rsidR="00A92425" w:rsidRPr="00A92425" w:rsidRDefault="00A92425" w:rsidP="00A92425">
      <w:pPr>
        <w:tabs>
          <w:tab w:val="left" w:pos="3556"/>
        </w:tabs>
        <w:rPr>
          <w:rFonts w:cs="Calibri"/>
        </w:rPr>
        <w:sectPr w:rsidR="00A92425" w:rsidRPr="00A92425" w:rsidSect="00EE4FF1">
          <w:pgSz w:w="12240" w:h="15840" w:code="1"/>
          <w:pgMar w:top="1440" w:right="1440" w:bottom="1152" w:left="1440" w:header="720" w:footer="720" w:gutter="0"/>
          <w:cols w:space="720"/>
          <w:docGrid w:linePitch="326"/>
        </w:sectPr>
      </w:pPr>
    </w:p>
    <w:p w:rsidR="008E204F" w:rsidRPr="009563B0" w:rsidRDefault="0059745D" w:rsidP="00624FFA">
      <w:pPr>
        <w:pStyle w:val="Heading2"/>
        <w:rPr>
          <w:sz w:val="28"/>
          <w:szCs w:val="28"/>
        </w:rPr>
      </w:pPr>
      <w:bookmarkStart w:id="33" w:name="_Toc483207972"/>
      <w:r w:rsidRPr="00670EEF">
        <w:rPr>
          <w:sz w:val="28"/>
          <w:szCs w:val="28"/>
        </w:rPr>
        <w:t xml:space="preserve">Spectrum Auctions </w:t>
      </w:r>
      <w:r w:rsidR="00D3006C" w:rsidRPr="00670EEF">
        <w:rPr>
          <w:sz w:val="28"/>
          <w:szCs w:val="28"/>
        </w:rPr>
        <w:t xml:space="preserve">Program </w:t>
      </w:r>
      <w:r w:rsidRPr="00670EEF">
        <w:rPr>
          <w:sz w:val="28"/>
          <w:szCs w:val="28"/>
        </w:rPr>
        <w:t xml:space="preserve">- </w:t>
      </w:r>
      <w:r w:rsidR="006E5792" w:rsidRPr="00670EEF">
        <w:rPr>
          <w:sz w:val="28"/>
          <w:szCs w:val="28"/>
        </w:rPr>
        <w:t>Explanation of Requested Change</w:t>
      </w:r>
      <w:bookmarkEnd w:id="33"/>
    </w:p>
    <w:p w:rsidR="00B005DF" w:rsidRDefault="00B005DF" w:rsidP="00E73B53">
      <w:pPr>
        <w:spacing w:after="0" w:line="240" w:lineRule="auto"/>
        <w:rPr>
          <w:rFonts w:ascii="Times New Roman" w:eastAsia="Times New Roman" w:hAnsi="Times New Roman"/>
          <w:sz w:val="24"/>
          <w:szCs w:val="24"/>
        </w:rPr>
      </w:pPr>
    </w:p>
    <w:p w:rsidR="008E204F" w:rsidRDefault="006E5792" w:rsidP="00C21542">
      <w:pPr>
        <w:spacing w:after="0" w:line="240" w:lineRule="auto"/>
        <w:jc w:val="both"/>
        <w:rPr>
          <w:rFonts w:ascii="Times New Roman" w:eastAsia="Times New Roman" w:hAnsi="Times New Roman"/>
          <w:sz w:val="24"/>
          <w:szCs w:val="24"/>
        </w:rPr>
      </w:pPr>
      <w:r w:rsidRPr="00BC229D">
        <w:rPr>
          <w:rFonts w:ascii="Times New Roman" w:eastAsia="Times New Roman" w:hAnsi="Times New Roman"/>
          <w:sz w:val="24"/>
          <w:szCs w:val="24"/>
        </w:rPr>
        <w:t xml:space="preserve">The Federal Communications Commission is </w:t>
      </w:r>
      <w:r w:rsidRPr="00670EEF">
        <w:rPr>
          <w:rFonts w:ascii="Times New Roman" w:eastAsia="Times New Roman" w:hAnsi="Times New Roman"/>
          <w:sz w:val="24"/>
          <w:szCs w:val="24"/>
        </w:rPr>
        <w:t>requesting $1</w:t>
      </w:r>
      <w:r w:rsidR="00CB1EB9" w:rsidRPr="00670EEF">
        <w:rPr>
          <w:rFonts w:ascii="Times New Roman" w:eastAsia="Times New Roman" w:hAnsi="Times New Roman"/>
          <w:sz w:val="24"/>
          <w:szCs w:val="24"/>
        </w:rPr>
        <w:t>11,150,000</w:t>
      </w:r>
      <w:r w:rsidRPr="00BC229D">
        <w:rPr>
          <w:rFonts w:ascii="Times New Roman" w:eastAsia="Times New Roman" w:hAnsi="Times New Roman"/>
          <w:sz w:val="24"/>
          <w:szCs w:val="24"/>
        </w:rPr>
        <w:t xml:space="preserve"> for the Spectrum Auctions Program for FY 201</w:t>
      </w:r>
      <w:r w:rsidR="006C199F">
        <w:rPr>
          <w:rFonts w:ascii="Times New Roman" w:eastAsia="Times New Roman" w:hAnsi="Times New Roman"/>
          <w:sz w:val="24"/>
          <w:szCs w:val="24"/>
        </w:rPr>
        <w:t>8</w:t>
      </w:r>
      <w:r w:rsidRPr="00BC229D">
        <w:rPr>
          <w:rFonts w:ascii="Times New Roman" w:eastAsia="Times New Roman" w:hAnsi="Times New Roman"/>
          <w:sz w:val="24"/>
          <w:szCs w:val="24"/>
        </w:rPr>
        <w:t>, as shown below</w:t>
      </w:r>
      <w:r w:rsidR="00866BEE">
        <w:rPr>
          <w:rFonts w:ascii="Times New Roman" w:eastAsia="Times New Roman" w:hAnsi="Times New Roman"/>
          <w:sz w:val="24"/>
          <w:szCs w:val="24"/>
        </w:rPr>
        <w:t>,</w:t>
      </w:r>
      <w:r w:rsidR="00866BEE" w:rsidRPr="00866BEE">
        <w:rPr>
          <w:rFonts w:ascii="Times New Roman" w:hAnsi="Times New Roman"/>
          <w:noProof/>
          <w:sz w:val="24"/>
          <w:szCs w:val="24"/>
        </w:rPr>
        <w:t xml:space="preserve"> </w:t>
      </w:r>
      <w:r w:rsidR="00866BEE" w:rsidRPr="00BE7F43">
        <w:rPr>
          <w:rFonts w:ascii="Times New Roman" w:hAnsi="Times New Roman"/>
          <w:noProof/>
          <w:sz w:val="24"/>
          <w:szCs w:val="24"/>
        </w:rPr>
        <w:t xml:space="preserve">in furtherance of making more spectrum available for commercial use; </w:t>
      </w:r>
      <w:r w:rsidR="00866BEE" w:rsidRPr="00BE7F43">
        <w:rPr>
          <w:rFonts w:ascii="Times New Roman" w:eastAsia="Times New Roman" w:hAnsi="Times New Roman"/>
          <w:sz w:val="24"/>
          <w:szCs w:val="24"/>
        </w:rPr>
        <w:t>repacking and reimbursing broadcasters and m</w:t>
      </w:r>
      <w:r w:rsidR="00866BEE" w:rsidRPr="006C4D77">
        <w:rPr>
          <w:rFonts w:ascii="Times New Roman" w:eastAsia="Times New Roman" w:hAnsi="Times New Roman"/>
          <w:sz w:val="24"/>
          <w:szCs w:val="24"/>
        </w:rPr>
        <w:t>ultichannel video programming distributors (MVPDs)</w:t>
      </w:r>
      <w:r w:rsidR="0004769E">
        <w:rPr>
          <w:rFonts w:ascii="Times New Roman" w:eastAsia="Times New Roman" w:hAnsi="Times New Roman"/>
          <w:sz w:val="24"/>
          <w:szCs w:val="24"/>
        </w:rPr>
        <w:t xml:space="preserve"> </w:t>
      </w:r>
      <w:r w:rsidR="0004769E" w:rsidRPr="0004769E">
        <w:rPr>
          <w:rFonts w:ascii="Times New Roman" w:hAnsi="Times New Roman"/>
          <w:sz w:val="24"/>
          <w:szCs w:val="24"/>
        </w:rPr>
        <w:t xml:space="preserve">in order to clear contiguous spectrum in the ultra-high frequency </w:t>
      </w:r>
      <w:r w:rsidR="00173322">
        <w:rPr>
          <w:rFonts w:ascii="Times New Roman" w:hAnsi="Times New Roman"/>
          <w:sz w:val="24"/>
          <w:szCs w:val="24"/>
        </w:rPr>
        <w:t xml:space="preserve">band </w:t>
      </w:r>
      <w:r w:rsidR="0004769E" w:rsidRPr="0004769E">
        <w:rPr>
          <w:rFonts w:ascii="Times New Roman" w:hAnsi="Times New Roman"/>
          <w:sz w:val="24"/>
          <w:szCs w:val="24"/>
        </w:rPr>
        <w:t>that will be repurposed as the 600 MHz Band</w:t>
      </w:r>
      <w:r w:rsidR="00866BEE" w:rsidRPr="006C4D77">
        <w:rPr>
          <w:rFonts w:ascii="Times New Roman" w:eastAsia="Times New Roman" w:hAnsi="Times New Roman"/>
          <w:sz w:val="24"/>
          <w:szCs w:val="24"/>
        </w:rPr>
        <w:t xml:space="preserve">; upgrading and improving auctions infrastructure in preparing for future auctions; continue implementing the Spectrum Pipeline Act of 2015, which includes promoting the use of 3.5 GHz band through auctions; and </w:t>
      </w:r>
      <w:r w:rsidR="0031295A" w:rsidRPr="0031295A">
        <w:rPr>
          <w:rFonts w:ascii="Times New Roman" w:eastAsia="Times New Roman" w:hAnsi="Times New Roman"/>
          <w:sz w:val="24"/>
          <w:szCs w:val="24"/>
        </w:rPr>
        <w:t>conducting additional spectrum auctions</w:t>
      </w:r>
      <w:r w:rsidR="00866BEE" w:rsidRPr="0031295A">
        <w:rPr>
          <w:rFonts w:ascii="Times New Roman" w:eastAsia="Times New Roman" w:hAnsi="Times New Roman"/>
          <w:sz w:val="24"/>
          <w:szCs w:val="24"/>
        </w:rPr>
        <w:t>.</w:t>
      </w:r>
    </w:p>
    <w:p w:rsidR="00C322B6" w:rsidRDefault="00B2473E" w:rsidP="005D7D18">
      <w:pPr>
        <w:spacing w:after="0" w:line="240" w:lineRule="auto"/>
        <w:jc w:val="center"/>
        <w:rPr>
          <w:rFonts w:ascii="Times New Roman" w:eastAsia="Times New Roman" w:hAnsi="Times New Roman"/>
          <w:b/>
          <w:spacing w:val="-2"/>
          <w:sz w:val="32"/>
          <w:szCs w:val="32"/>
        </w:rPr>
      </w:pPr>
      <w:r>
        <w:rPr>
          <w:rFonts w:ascii="Times New Roman" w:eastAsia="Times New Roman" w:hAnsi="Times New Roman"/>
          <w:sz w:val="24"/>
          <w:szCs w:val="24"/>
        </w:rPr>
        <w:br/>
      </w:r>
      <w:r w:rsidR="00F806ED" w:rsidRPr="00F806ED">
        <w:rPr>
          <w:noProof/>
        </w:rPr>
        <w:drawing>
          <wp:inline distT="0" distB="0" distL="0" distR="0" wp14:anchorId="44086E15" wp14:editId="14D7DE01">
            <wp:extent cx="5467350" cy="3505200"/>
            <wp:effectExtent l="0" t="0" r="0" b="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7350" cy="3505200"/>
                    </a:xfrm>
                    <a:prstGeom prst="rect">
                      <a:avLst/>
                    </a:prstGeom>
                    <a:noFill/>
                    <a:ln>
                      <a:noFill/>
                    </a:ln>
                  </pic:spPr>
                </pic:pic>
              </a:graphicData>
            </a:graphic>
          </wp:inline>
        </w:drawing>
      </w:r>
      <w:r w:rsidR="00097660" w:rsidRPr="00097660">
        <w:t xml:space="preserve"> </w:t>
      </w:r>
      <w:r w:rsidR="00C322B6">
        <w:rPr>
          <w:sz w:val="32"/>
          <w:szCs w:val="32"/>
        </w:rPr>
        <w:br w:type="page"/>
      </w:r>
    </w:p>
    <w:p w:rsidR="00E307DB" w:rsidRPr="00A664EC" w:rsidRDefault="00E307DB" w:rsidP="00E307DB">
      <w:pPr>
        <w:pStyle w:val="Heading2"/>
        <w:rPr>
          <w:sz w:val="28"/>
          <w:szCs w:val="28"/>
        </w:rPr>
      </w:pPr>
      <w:bookmarkStart w:id="34" w:name="_Toc483207973"/>
      <w:r w:rsidRPr="00A664EC">
        <w:rPr>
          <w:sz w:val="28"/>
          <w:szCs w:val="28"/>
        </w:rPr>
        <w:t>Spectrum Auctions Program</w:t>
      </w:r>
      <w:bookmarkEnd w:id="34"/>
    </w:p>
    <w:p w:rsidR="00E307DB" w:rsidRDefault="00E307DB" w:rsidP="00E307DB">
      <w:pPr>
        <w:tabs>
          <w:tab w:val="left" w:pos="0"/>
          <w:tab w:val="left" w:pos="456"/>
          <w:tab w:val="left" w:pos="720"/>
        </w:tabs>
        <w:suppressAutoHyphens/>
        <w:spacing w:after="0" w:line="240" w:lineRule="auto"/>
        <w:jc w:val="both"/>
        <w:rPr>
          <w:rFonts w:ascii="Times New Roman" w:eastAsia="Times New Roman" w:hAnsi="Times New Roman"/>
          <w:spacing w:val="-2"/>
          <w:sz w:val="24"/>
          <w:szCs w:val="24"/>
        </w:rPr>
      </w:pPr>
    </w:p>
    <w:p w:rsidR="00097660" w:rsidRPr="00F7596D" w:rsidRDefault="00097660" w:rsidP="00097660">
      <w:pPr>
        <w:suppressAutoHyphens/>
        <w:spacing w:after="0" w:line="240" w:lineRule="auto"/>
        <w:jc w:val="both"/>
        <w:rPr>
          <w:rFonts w:ascii="Times New Roman" w:eastAsia="Times New Roman" w:hAnsi="Times New Roman"/>
          <w:spacing w:val="-2"/>
          <w:sz w:val="24"/>
          <w:szCs w:val="24"/>
        </w:rPr>
      </w:pPr>
      <w:r w:rsidRPr="00F7596D">
        <w:rPr>
          <w:rFonts w:ascii="Times New Roman" w:eastAsia="Times New Roman" w:hAnsi="Times New Roman"/>
          <w:spacing w:val="-2"/>
          <w:sz w:val="24"/>
          <w:szCs w:val="24"/>
        </w:rPr>
        <w:t xml:space="preserve">The Omnibus Budget Reconciliation Act of 1993, P.L. 103-66, required the Commission to auction portions of the spectrum for certain services, replacing the former lottery process.  The Commission is required to ensure that small businesses, women, minorities, and rural telephone companies have an opportunity to participate in the competitive bidding process.  The Commission initiated regulations implementing the spectrum auction authority granted by the legislation and conducted its first round of auctions in July 1994.  </w:t>
      </w:r>
      <w:r w:rsidR="005F70F9">
        <w:rPr>
          <w:rFonts w:ascii="Times New Roman" w:eastAsia="Times New Roman" w:hAnsi="Times New Roman"/>
          <w:spacing w:val="-2"/>
          <w:sz w:val="24"/>
          <w:szCs w:val="24"/>
        </w:rPr>
        <w:t xml:space="preserve">At the official date of the </w:t>
      </w:r>
      <w:r w:rsidR="003D1A71">
        <w:rPr>
          <w:rFonts w:ascii="Times New Roman" w:eastAsia="Times New Roman" w:hAnsi="Times New Roman"/>
          <w:spacing w:val="-2"/>
          <w:sz w:val="24"/>
          <w:szCs w:val="24"/>
        </w:rPr>
        <w:t xml:space="preserve">completion of the </w:t>
      </w:r>
      <w:r w:rsidR="005F70F9">
        <w:rPr>
          <w:rFonts w:ascii="Times New Roman" w:eastAsia="Times New Roman" w:hAnsi="Times New Roman"/>
          <w:spacing w:val="-2"/>
          <w:sz w:val="24"/>
          <w:szCs w:val="24"/>
        </w:rPr>
        <w:t>incentive auction on April 13, 2017</w:t>
      </w:r>
      <w:r w:rsidR="001B5D83">
        <w:rPr>
          <w:rFonts w:ascii="Times New Roman" w:eastAsia="Times New Roman" w:hAnsi="Times New Roman"/>
          <w:spacing w:val="-2"/>
          <w:sz w:val="24"/>
          <w:szCs w:val="24"/>
        </w:rPr>
        <w:t xml:space="preserve">, </w:t>
      </w:r>
      <w:r w:rsidR="001B5D83" w:rsidRPr="00F7596D">
        <w:rPr>
          <w:rFonts w:ascii="Times New Roman" w:eastAsia="Times New Roman" w:hAnsi="Times New Roman"/>
          <w:spacing w:val="-2"/>
          <w:sz w:val="24"/>
          <w:szCs w:val="24"/>
        </w:rPr>
        <w:t>the</w:t>
      </w:r>
      <w:r w:rsidRPr="00F7596D">
        <w:rPr>
          <w:rFonts w:ascii="Times New Roman" w:eastAsia="Times New Roman" w:hAnsi="Times New Roman"/>
          <w:spacing w:val="-2"/>
          <w:sz w:val="24"/>
          <w:szCs w:val="24"/>
        </w:rPr>
        <w:t xml:space="preserve"> Commission has completed 8</w:t>
      </w:r>
      <w:r w:rsidR="005F70F9">
        <w:rPr>
          <w:rFonts w:ascii="Times New Roman" w:eastAsia="Times New Roman" w:hAnsi="Times New Roman"/>
          <w:spacing w:val="-2"/>
          <w:sz w:val="24"/>
          <w:szCs w:val="24"/>
        </w:rPr>
        <w:t>8</w:t>
      </w:r>
      <w:r w:rsidRPr="00F7596D">
        <w:rPr>
          <w:rFonts w:ascii="Times New Roman" w:eastAsia="Times New Roman" w:hAnsi="Times New Roman"/>
          <w:spacing w:val="-2"/>
          <w:sz w:val="24"/>
          <w:szCs w:val="24"/>
        </w:rPr>
        <w:t xml:space="preserve"> spectrum auctions</w:t>
      </w:r>
      <w:r w:rsidR="002E0774">
        <w:rPr>
          <w:rFonts w:ascii="Times New Roman" w:eastAsia="Times New Roman" w:hAnsi="Times New Roman"/>
          <w:spacing w:val="-2"/>
          <w:sz w:val="24"/>
          <w:szCs w:val="24"/>
        </w:rPr>
        <w:t xml:space="preserve"> </w:t>
      </w:r>
      <w:r w:rsidRPr="00F7596D">
        <w:rPr>
          <w:rFonts w:ascii="Times New Roman" w:eastAsia="Times New Roman" w:hAnsi="Times New Roman"/>
          <w:spacing w:val="-2"/>
          <w:sz w:val="24"/>
          <w:szCs w:val="24"/>
        </w:rPr>
        <w:t xml:space="preserve">and the total amount collected for broader government use </w:t>
      </w:r>
      <w:r w:rsidR="005F70F9">
        <w:rPr>
          <w:rFonts w:ascii="Times New Roman" w:eastAsia="Times New Roman" w:hAnsi="Times New Roman"/>
          <w:spacing w:val="-2"/>
          <w:sz w:val="24"/>
          <w:szCs w:val="24"/>
        </w:rPr>
        <w:t xml:space="preserve">and deficit reduction </w:t>
      </w:r>
      <w:r w:rsidRPr="00F7596D">
        <w:rPr>
          <w:rFonts w:ascii="Times New Roman" w:eastAsia="Times New Roman" w:hAnsi="Times New Roman"/>
          <w:spacing w:val="-2"/>
          <w:sz w:val="24"/>
          <w:szCs w:val="24"/>
        </w:rPr>
        <w:t>exceeds $</w:t>
      </w:r>
      <w:r w:rsidR="005F70F9">
        <w:rPr>
          <w:rFonts w:ascii="Times New Roman" w:eastAsia="Times New Roman" w:hAnsi="Times New Roman"/>
          <w:spacing w:val="-2"/>
          <w:sz w:val="24"/>
          <w:szCs w:val="24"/>
        </w:rPr>
        <w:t>1</w:t>
      </w:r>
      <w:r w:rsidR="00E33E68">
        <w:rPr>
          <w:rFonts w:ascii="Times New Roman" w:eastAsia="Times New Roman" w:hAnsi="Times New Roman"/>
          <w:spacing w:val="-2"/>
          <w:sz w:val="24"/>
          <w:szCs w:val="24"/>
        </w:rPr>
        <w:t>14</w:t>
      </w:r>
      <w:r w:rsidRPr="00F7596D">
        <w:rPr>
          <w:rFonts w:ascii="Times New Roman" w:eastAsia="Times New Roman" w:hAnsi="Times New Roman"/>
          <w:spacing w:val="-2"/>
          <w:sz w:val="24"/>
          <w:szCs w:val="24"/>
        </w:rPr>
        <w:t xml:space="preserve"> billion.  The original spectrum auction authority was scheduled to expire in FY 1998; however, it was extended through FY 2007 in the Balanced Budget Act of 1997, P.L. 105-33; extended through FY 2011 by the Deficit Reduction Act of 2005, P.L. 109-171; extended through FY 2012 by the DTV Delay Act (2012), P.L. 111-4; </w:t>
      </w:r>
      <w:r w:rsidR="0034336E">
        <w:rPr>
          <w:rFonts w:ascii="Times New Roman" w:eastAsia="Times New Roman" w:hAnsi="Times New Roman"/>
          <w:spacing w:val="-2"/>
          <w:sz w:val="24"/>
          <w:szCs w:val="24"/>
        </w:rPr>
        <w:t xml:space="preserve">and </w:t>
      </w:r>
      <w:r w:rsidRPr="00F7596D">
        <w:rPr>
          <w:rFonts w:ascii="Times New Roman" w:eastAsia="Times New Roman" w:hAnsi="Times New Roman"/>
          <w:spacing w:val="-2"/>
          <w:sz w:val="24"/>
          <w:szCs w:val="24"/>
        </w:rPr>
        <w:t>extended through FY 2022, by the Middle Class Tax Relief and Job Creation Act of 2012, P.L. 112-96</w:t>
      </w:r>
      <w:r w:rsidR="0034336E">
        <w:rPr>
          <w:rFonts w:ascii="Times New Roman" w:eastAsia="Times New Roman" w:hAnsi="Times New Roman"/>
          <w:spacing w:val="-2"/>
          <w:sz w:val="24"/>
          <w:szCs w:val="24"/>
        </w:rPr>
        <w:t>.  Furthermore</w:t>
      </w:r>
      <w:r w:rsidR="0034336E" w:rsidRPr="0034336E">
        <w:rPr>
          <w:rFonts w:ascii="Times New Roman" w:eastAsia="Times New Roman" w:hAnsi="Times New Roman"/>
          <w:spacing w:val="-2"/>
          <w:sz w:val="24"/>
          <w:szCs w:val="24"/>
        </w:rPr>
        <w:t>,</w:t>
      </w:r>
      <w:r w:rsidR="0034336E" w:rsidRPr="0034336E">
        <w:rPr>
          <w:rFonts w:ascii="Times New Roman" w:hAnsi="Times New Roman"/>
          <w:spacing w:val="-2"/>
          <w:sz w:val="24"/>
          <w:szCs w:val="24"/>
        </w:rPr>
        <w:t xml:space="preserve"> the Commission’s authority to conduct auctions </w:t>
      </w:r>
      <w:r w:rsidR="0034336E" w:rsidRPr="0034336E">
        <w:rPr>
          <w:rFonts w:ascii="Times New Roman" w:hAnsi="Times New Roman"/>
          <w:sz w:val="24"/>
          <w:szCs w:val="24"/>
        </w:rPr>
        <w:t xml:space="preserve">with respect to electromagnetic spectrum identified under section 1004(a) of the Spectrum Pipeline Act of 2015, which was included as Title X in the </w:t>
      </w:r>
      <w:r w:rsidR="0034336E" w:rsidRPr="0034336E">
        <w:rPr>
          <w:rFonts w:ascii="Times New Roman" w:hAnsi="Times New Roman"/>
          <w:spacing w:val="-2"/>
          <w:sz w:val="24"/>
          <w:szCs w:val="24"/>
        </w:rPr>
        <w:t xml:space="preserve">Bipartisan Budget Act of 2015, P.L. 114-74, </w:t>
      </w:r>
      <w:r w:rsidR="0034336E" w:rsidRPr="0034336E">
        <w:rPr>
          <w:rFonts w:ascii="Times New Roman" w:hAnsi="Times New Roman"/>
          <w:sz w:val="24"/>
          <w:szCs w:val="24"/>
        </w:rPr>
        <w:t>does not expire until September 30, 2025</w:t>
      </w:r>
      <w:r w:rsidR="0034336E" w:rsidRPr="0034336E">
        <w:rPr>
          <w:rFonts w:ascii="Times New Roman" w:hAnsi="Times New Roman"/>
          <w:spacing w:val="-2"/>
          <w:sz w:val="24"/>
          <w:szCs w:val="24"/>
        </w:rPr>
        <w:t>.</w:t>
      </w:r>
    </w:p>
    <w:p w:rsidR="00097660" w:rsidRPr="00F7596D" w:rsidRDefault="00097660" w:rsidP="00097660">
      <w:pPr>
        <w:tabs>
          <w:tab w:val="left" w:pos="0"/>
          <w:tab w:val="left" w:pos="456"/>
          <w:tab w:val="left" w:pos="720"/>
        </w:tabs>
        <w:suppressAutoHyphens/>
        <w:spacing w:after="0" w:line="240" w:lineRule="auto"/>
        <w:jc w:val="both"/>
        <w:rPr>
          <w:rFonts w:ascii="Times New Roman" w:eastAsia="Times New Roman" w:hAnsi="Times New Roman"/>
          <w:spacing w:val="-2"/>
          <w:sz w:val="24"/>
          <w:szCs w:val="24"/>
        </w:rPr>
      </w:pPr>
    </w:p>
    <w:p w:rsidR="00097660" w:rsidRPr="00F7596D" w:rsidRDefault="00097660" w:rsidP="00097660">
      <w:pPr>
        <w:spacing w:after="0" w:line="240" w:lineRule="auto"/>
        <w:jc w:val="both"/>
        <w:rPr>
          <w:rFonts w:ascii="Times New Roman" w:eastAsia="Times New Roman" w:hAnsi="Times New Roman"/>
          <w:sz w:val="24"/>
          <w:szCs w:val="24"/>
        </w:rPr>
      </w:pPr>
      <w:r w:rsidRPr="00F7596D">
        <w:rPr>
          <w:rFonts w:ascii="Times New Roman" w:eastAsia="Times New Roman" w:hAnsi="Times New Roman"/>
          <w:spacing w:val="-2"/>
          <w:sz w:val="24"/>
          <w:szCs w:val="24"/>
        </w:rPr>
        <w:t>The Commission is authorized to retain funds from auction revenues to develop, implement, and maintain the auctions program.  These funds cover</w:t>
      </w:r>
      <w:r w:rsidRPr="00F7596D">
        <w:rPr>
          <w:rFonts w:ascii="Times New Roman" w:eastAsia="Times New Roman" w:hAnsi="Times New Roman"/>
          <w:sz w:val="24"/>
          <w:szCs w:val="24"/>
        </w:rPr>
        <w:t xml:space="preserve"> the personnel and administrative costs required to plan and execute spectrum auctions; operational costs to manage installment payments and collections activities; development, implementation, and maintenance of all information technology systems necessary for auctions operations, including development of a combinatorial bidding system; and a proportional share of the general administrative costs of the Commission.  This budget submission assumes the auctions program will continue to recover the costs of conducting all auctions activities from spectrum license auction receipts as the Commission continues to use auctions as a licensing mechanism for spectrum-based communications services.  </w:t>
      </w:r>
    </w:p>
    <w:p w:rsidR="00097660" w:rsidRPr="00F7596D" w:rsidRDefault="00097660" w:rsidP="00097660">
      <w:pPr>
        <w:spacing w:after="0" w:line="240" w:lineRule="auto"/>
        <w:jc w:val="both"/>
        <w:rPr>
          <w:rFonts w:ascii="Times New Roman" w:eastAsia="Times New Roman" w:hAnsi="Times New Roman"/>
          <w:sz w:val="24"/>
          <w:szCs w:val="24"/>
        </w:rPr>
      </w:pPr>
    </w:p>
    <w:p w:rsidR="00097660" w:rsidRPr="00F7596D" w:rsidRDefault="00097660" w:rsidP="00097660">
      <w:pPr>
        <w:spacing w:after="0" w:line="240" w:lineRule="auto"/>
        <w:jc w:val="both"/>
        <w:rPr>
          <w:rFonts w:ascii="Times New Roman" w:eastAsia="Times New Roman" w:hAnsi="Times New Roman"/>
          <w:sz w:val="24"/>
          <w:szCs w:val="24"/>
        </w:rPr>
      </w:pPr>
      <w:r w:rsidRPr="00F7596D">
        <w:rPr>
          <w:rFonts w:ascii="Times New Roman" w:eastAsia="Times New Roman" w:hAnsi="Times New Roman"/>
          <w:sz w:val="24"/>
          <w:szCs w:val="24"/>
        </w:rPr>
        <w:t xml:space="preserve">The FY </w:t>
      </w:r>
      <w:r w:rsidR="00052E62">
        <w:rPr>
          <w:rFonts w:ascii="Times New Roman" w:eastAsia="Times New Roman" w:hAnsi="Times New Roman"/>
          <w:sz w:val="24"/>
          <w:szCs w:val="24"/>
        </w:rPr>
        <w:t>2017</w:t>
      </w:r>
      <w:r w:rsidR="00052E62" w:rsidRPr="00F7596D">
        <w:rPr>
          <w:rFonts w:ascii="Times New Roman" w:eastAsia="Times New Roman" w:hAnsi="Times New Roman"/>
          <w:sz w:val="24"/>
          <w:szCs w:val="24"/>
        </w:rPr>
        <w:t xml:space="preserve"> </w:t>
      </w:r>
      <w:r w:rsidRPr="00F7596D">
        <w:rPr>
          <w:rFonts w:ascii="Times New Roman" w:eastAsia="Times New Roman" w:hAnsi="Times New Roman"/>
          <w:sz w:val="24"/>
          <w:szCs w:val="24"/>
        </w:rPr>
        <w:t xml:space="preserve">Appropriations language capped the auctions program </w:t>
      </w:r>
      <w:r w:rsidR="002E0774">
        <w:rPr>
          <w:rFonts w:ascii="Times New Roman" w:eastAsia="Times New Roman" w:hAnsi="Times New Roman"/>
          <w:sz w:val="24"/>
          <w:szCs w:val="24"/>
        </w:rPr>
        <w:t>obligations</w:t>
      </w:r>
      <w:r w:rsidR="00154991">
        <w:rPr>
          <w:rFonts w:ascii="Times New Roman" w:eastAsia="Times New Roman" w:hAnsi="Times New Roman"/>
          <w:sz w:val="24"/>
          <w:szCs w:val="24"/>
        </w:rPr>
        <w:t xml:space="preserve"> </w:t>
      </w:r>
      <w:r w:rsidRPr="00F7596D">
        <w:rPr>
          <w:rFonts w:ascii="Times New Roman" w:eastAsia="Times New Roman" w:hAnsi="Times New Roman"/>
          <w:sz w:val="24"/>
          <w:szCs w:val="24"/>
        </w:rPr>
        <w:t xml:space="preserve">at $117.0 million.  </w:t>
      </w:r>
      <w:r w:rsidRPr="00427E5F">
        <w:rPr>
          <w:rFonts w:ascii="Times New Roman" w:eastAsia="Times New Roman" w:hAnsi="Times New Roman"/>
          <w:sz w:val="24"/>
          <w:szCs w:val="24"/>
        </w:rPr>
        <w:t>The FCC request</w:t>
      </w:r>
      <w:r w:rsidR="00052E62">
        <w:rPr>
          <w:rFonts w:ascii="Times New Roman" w:eastAsia="Times New Roman" w:hAnsi="Times New Roman"/>
          <w:sz w:val="24"/>
          <w:szCs w:val="24"/>
        </w:rPr>
        <w:t xml:space="preserve"> of</w:t>
      </w:r>
      <w:r w:rsidRPr="00427E5F">
        <w:rPr>
          <w:rFonts w:ascii="Times New Roman" w:eastAsia="Times New Roman" w:hAnsi="Times New Roman"/>
          <w:sz w:val="24"/>
          <w:szCs w:val="24"/>
        </w:rPr>
        <w:t xml:space="preserve"> $111.</w:t>
      </w:r>
      <w:r w:rsidR="00427E5F">
        <w:rPr>
          <w:rFonts w:ascii="Times New Roman" w:eastAsia="Times New Roman" w:hAnsi="Times New Roman"/>
          <w:sz w:val="24"/>
          <w:szCs w:val="24"/>
        </w:rPr>
        <w:t>15</w:t>
      </w:r>
      <w:r w:rsidRPr="00427E5F">
        <w:rPr>
          <w:rFonts w:ascii="Times New Roman" w:eastAsia="Times New Roman" w:hAnsi="Times New Roman"/>
          <w:sz w:val="24"/>
          <w:szCs w:val="24"/>
        </w:rPr>
        <w:t xml:space="preserve"> million for FY 2018 is a decrease of $</w:t>
      </w:r>
      <w:r w:rsidR="00052E62">
        <w:rPr>
          <w:rFonts w:ascii="Times New Roman" w:eastAsia="Times New Roman" w:hAnsi="Times New Roman"/>
          <w:sz w:val="24"/>
          <w:szCs w:val="24"/>
        </w:rPr>
        <w:t>5.85</w:t>
      </w:r>
      <w:r w:rsidRPr="00427E5F">
        <w:rPr>
          <w:rFonts w:ascii="Times New Roman" w:eastAsia="Times New Roman" w:hAnsi="Times New Roman"/>
          <w:sz w:val="24"/>
          <w:szCs w:val="24"/>
        </w:rPr>
        <w:t xml:space="preserve"> million or </w:t>
      </w:r>
      <w:r w:rsidR="00052E62">
        <w:rPr>
          <w:rFonts w:ascii="Times New Roman" w:eastAsia="Times New Roman" w:hAnsi="Times New Roman"/>
          <w:sz w:val="24"/>
          <w:szCs w:val="24"/>
        </w:rPr>
        <w:t>5</w:t>
      </w:r>
      <w:r w:rsidRPr="00427E5F">
        <w:rPr>
          <w:rFonts w:ascii="Times New Roman" w:eastAsia="Times New Roman" w:hAnsi="Times New Roman"/>
          <w:sz w:val="24"/>
          <w:szCs w:val="24"/>
        </w:rPr>
        <w:t xml:space="preserve"> percent</w:t>
      </w:r>
      <w:r w:rsidRPr="00F7596D">
        <w:rPr>
          <w:rFonts w:ascii="Times New Roman" w:eastAsia="Times New Roman" w:hAnsi="Times New Roman"/>
          <w:sz w:val="24"/>
          <w:szCs w:val="24"/>
        </w:rPr>
        <w:t>.  While this amount reflects reductions related to the end of bidding in the incentive auction</w:t>
      </w:r>
      <w:r w:rsidRPr="00E02565">
        <w:rPr>
          <w:rFonts w:ascii="Times New Roman" w:eastAsia="Times New Roman" w:hAnsi="Times New Roman"/>
          <w:sz w:val="24"/>
          <w:szCs w:val="24"/>
        </w:rPr>
        <w:t xml:space="preserve">, </w:t>
      </w:r>
      <w:r w:rsidR="00E02565">
        <w:rPr>
          <w:rFonts w:ascii="Times New Roman" w:eastAsia="Times New Roman" w:hAnsi="Times New Roman"/>
          <w:sz w:val="24"/>
          <w:szCs w:val="24"/>
        </w:rPr>
        <w:t>funding</w:t>
      </w:r>
      <w:r w:rsidRPr="00E02565">
        <w:rPr>
          <w:rFonts w:ascii="Times New Roman" w:eastAsia="Times New Roman" w:hAnsi="Times New Roman"/>
          <w:sz w:val="24"/>
          <w:szCs w:val="24"/>
        </w:rPr>
        <w:t xml:space="preserve"> </w:t>
      </w:r>
      <w:r w:rsidR="00204917">
        <w:rPr>
          <w:rFonts w:ascii="Times New Roman" w:eastAsia="Times New Roman" w:hAnsi="Times New Roman"/>
          <w:sz w:val="24"/>
          <w:szCs w:val="24"/>
        </w:rPr>
        <w:t xml:space="preserve">at this level will </w:t>
      </w:r>
      <w:r w:rsidRPr="00F7596D">
        <w:rPr>
          <w:rFonts w:ascii="Times New Roman" w:eastAsia="Times New Roman" w:hAnsi="Times New Roman"/>
          <w:sz w:val="24"/>
          <w:szCs w:val="24"/>
        </w:rPr>
        <w:t>enable the Commission to continue substantial post incentive auctions work related to repacking and reimbursing broadcasters and multichannel video programming distributors (MVPDs</w:t>
      </w:r>
      <w:r w:rsidRPr="00823899">
        <w:rPr>
          <w:rFonts w:ascii="Times New Roman" w:eastAsia="Times New Roman" w:hAnsi="Times New Roman"/>
          <w:sz w:val="24"/>
          <w:szCs w:val="24"/>
        </w:rPr>
        <w:t>)</w:t>
      </w:r>
      <w:r w:rsidR="00002AE7" w:rsidRPr="00823899">
        <w:rPr>
          <w:rFonts w:ascii="Times New Roman" w:eastAsia="Times New Roman" w:hAnsi="Times New Roman"/>
          <w:sz w:val="24"/>
          <w:szCs w:val="24"/>
        </w:rPr>
        <w:t xml:space="preserve"> for relocation costs</w:t>
      </w:r>
      <w:r w:rsidRPr="00823899">
        <w:rPr>
          <w:rFonts w:ascii="Times New Roman" w:eastAsia="Times New Roman" w:hAnsi="Times New Roman"/>
          <w:sz w:val="24"/>
          <w:szCs w:val="24"/>
        </w:rPr>
        <w:t>; to</w:t>
      </w:r>
      <w:r w:rsidRPr="00F7596D">
        <w:rPr>
          <w:rFonts w:ascii="Times New Roman" w:eastAsia="Times New Roman" w:hAnsi="Times New Roman"/>
          <w:sz w:val="24"/>
          <w:szCs w:val="24"/>
        </w:rPr>
        <w:t xml:space="preserve"> upgrade and improve auctions infrastructure in preparation for future actions; and to continue implementing the Spectrum Pipeline Act of 2015 by, for example, taking the steps necessary to promote use of the 3.5 GHz band throu</w:t>
      </w:r>
      <w:r w:rsidR="002E0774">
        <w:rPr>
          <w:rFonts w:ascii="Times New Roman" w:eastAsia="Times New Roman" w:hAnsi="Times New Roman"/>
          <w:sz w:val="24"/>
          <w:szCs w:val="24"/>
        </w:rPr>
        <w:t>gh auctions of certain licenses, and conducting additional spectrum auctions.</w:t>
      </w:r>
      <w:r w:rsidRPr="00F7596D">
        <w:rPr>
          <w:rFonts w:ascii="Times New Roman" w:eastAsia="Times New Roman" w:hAnsi="Times New Roman"/>
          <w:sz w:val="24"/>
          <w:szCs w:val="24"/>
        </w:rPr>
        <w:t xml:space="preserve">  </w:t>
      </w:r>
    </w:p>
    <w:p w:rsidR="00097660" w:rsidRPr="00F7596D" w:rsidRDefault="00097660" w:rsidP="00097660">
      <w:pPr>
        <w:spacing w:after="0" w:line="240" w:lineRule="auto"/>
        <w:jc w:val="both"/>
        <w:rPr>
          <w:rFonts w:ascii="Times New Roman" w:eastAsia="Times New Roman" w:hAnsi="Times New Roman"/>
          <w:sz w:val="24"/>
          <w:szCs w:val="24"/>
        </w:rPr>
      </w:pPr>
    </w:p>
    <w:p w:rsidR="00097660" w:rsidRPr="006602B8" w:rsidRDefault="00097660" w:rsidP="00097660">
      <w:pPr>
        <w:spacing w:after="0" w:line="240" w:lineRule="auto"/>
        <w:jc w:val="both"/>
        <w:rPr>
          <w:rFonts w:ascii="Times New Roman" w:eastAsia="Times New Roman" w:hAnsi="Times New Roman"/>
          <w:i/>
          <w:sz w:val="24"/>
          <w:szCs w:val="24"/>
          <w:u w:val="single"/>
        </w:rPr>
      </w:pPr>
      <w:r w:rsidRPr="006602B8">
        <w:rPr>
          <w:rFonts w:ascii="Times New Roman" w:eastAsia="Times New Roman" w:hAnsi="Times New Roman"/>
          <w:i/>
          <w:sz w:val="24"/>
          <w:szCs w:val="24"/>
          <w:u w:val="single"/>
        </w:rPr>
        <w:t>Post Incentive Auctions Work</w:t>
      </w:r>
    </w:p>
    <w:p w:rsidR="00097660" w:rsidRPr="00F7596D" w:rsidRDefault="00097660" w:rsidP="00097660">
      <w:pPr>
        <w:spacing w:after="0" w:line="240" w:lineRule="auto"/>
        <w:jc w:val="both"/>
        <w:rPr>
          <w:rFonts w:ascii="Times New Roman" w:eastAsia="Times New Roman" w:hAnsi="Times New Roman"/>
          <w:sz w:val="24"/>
          <w:szCs w:val="24"/>
        </w:rPr>
      </w:pPr>
    </w:p>
    <w:p w:rsidR="00C55D64" w:rsidRDefault="00C55D64" w:rsidP="00097660">
      <w:pPr>
        <w:spacing w:after="0" w:line="240" w:lineRule="auto"/>
        <w:contextualSpacing/>
        <w:jc w:val="both"/>
        <w:rPr>
          <w:rFonts w:ascii="Times New Roman" w:eastAsiaTheme="minorHAnsi" w:hAnsi="Times New Roman"/>
          <w:sz w:val="24"/>
          <w:szCs w:val="24"/>
        </w:rPr>
      </w:pPr>
      <w:r w:rsidRPr="00FF03A6">
        <w:rPr>
          <w:rFonts w:ascii="Times New Roman" w:eastAsiaTheme="minorHAnsi" w:hAnsi="Times New Roman"/>
          <w:sz w:val="24"/>
          <w:szCs w:val="24"/>
        </w:rPr>
        <w:t xml:space="preserve">Because of the complex, two-sided nature of the broadcast incentive auction, the Commission will need to engage in an unprecedented amount of post-auctions activity to fully and successfully complete follow-up auction implementation tasks.  </w:t>
      </w:r>
      <w:r w:rsidR="00CA0BDE">
        <w:rPr>
          <w:rFonts w:ascii="Times New Roman" w:eastAsiaTheme="minorHAnsi" w:hAnsi="Times New Roman"/>
          <w:sz w:val="24"/>
          <w:szCs w:val="24"/>
        </w:rPr>
        <w:t xml:space="preserve">The results of the incentive auctions showed that 957 </w:t>
      </w:r>
      <w:r w:rsidRPr="00CA0BDE">
        <w:rPr>
          <w:rFonts w:ascii="Times New Roman" w:eastAsiaTheme="minorHAnsi" w:hAnsi="Times New Roman"/>
          <w:sz w:val="24"/>
          <w:szCs w:val="24"/>
        </w:rPr>
        <w:t>full-power and Class A broadcasters</w:t>
      </w:r>
      <w:r w:rsidRPr="00FF03A6">
        <w:rPr>
          <w:rFonts w:ascii="Times New Roman" w:eastAsiaTheme="minorHAnsi" w:hAnsi="Times New Roman"/>
          <w:sz w:val="24"/>
          <w:szCs w:val="24"/>
        </w:rPr>
        <w:t xml:space="preserve"> nationwide will be required to be relocated in order to create contiguous spectrum in the 600 MHz band that has been repurposed and auctioned for flexible wireless uses.  Some secondary broadcast stations, low power, and TV translator stations will also be displaced and will have the opportunity to apply for alternative channels.  The bidding concluded in the forward auction’s assignment phase on March 30, 2017, and the Media and Wireless Telecommunications Bureaus released the Auction Closing and Channel Reassignment Public Notice on April 13, 2017, which announced the completion of the incentive auction and publicly provided the results of the reverse auction, the forward auction and assignment phase, and the channel reassignments of television stations that will be required to change their channels during the 39-month relocation process that commenced as of the release of that Public Notice.  The release of that Public Notice also started the licensing process for the winning bidders for the new flexible use wireless spectrum licenses.</w:t>
      </w:r>
      <w:r w:rsidR="00097660" w:rsidRPr="00F7596D">
        <w:rPr>
          <w:rFonts w:ascii="Times New Roman" w:eastAsiaTheme="minorHAnsi" w:hAnsi="Times New Roman"/>
          <w:sz w:val="24"/>
          <w:szCs w:val="24"/>
        </w:rPr>
        <w:t xml:space="preserve">  </w:t>
      </w:r>
    </w:p>
    <w:p w:rsidR="00C55D64" w:rsidRDefault="00C55D64" w:rsidP="00097660">
      <w:pPr>
        <w:spacing w:after="0" w:line="240" w:lineRule="auto"/>
        <w:contextualSpacing/>
        <w:jc w:val="both"/>
        <w:rPr>
          <w:rFonts w:ascii="Times New Roman" w:eastAsiaTheme="minorHAnsi" w:hAnsi="Times New Roman"/>
          <w:sz w:val="24"/>
          <w:szCs w:val="24"/>
        </w:rPr>
      </w:pPr>
    </w:p>
    <w:p w:rsidR="00097660" w:rsidRPr="00E76E2E" w:rsidRDefault="00097660" w:rsidP="00097660">
      <w:pPr>
        <w:spacing w:after="0" w:line="240" w:lineRule="auto"/>
        <w:contextualSpacing/>
        <w:jc w:val="both"/>
        <w:rPr>
          <w:rFonts w:ascii="Times New Roman" w:eastAsiaTheme="minorHAnsi" w:hAnsi="Times New Roman"/>
          <w:sz w:val="24"/>
          <w:szCs w:val="24"/>
        </w:rPr>
      </w:pPr>
      <w:r w:rsidRPr="00F7596D">
        <w:rPr>
          <w:rFonts w:ascii="Times New Roman" w:eastAsiaTheme="minorHAnsi" w:hAnsi="Times New Roman"/>
          <w:sz w:val="24"/>
          <w:szCs w:val="24"/>
        </w:rPr>
        <w:t xml:space="preserve">The auction proceeds from the winning bidders of new spectrum licenses will be used to pay the winning broadcast bidders in the reverse auction and to reimburse full power and Class A broadcast stations and MVPDs for their eligible expenses incurred as a result of being involuntarily relocated to new channels as authorized by Congress in </w:t>
      </w:r>
      <w:r w:rsidRPr="00F7596D">
        <w:rPr>
          <w:rFonts w:ascii="Times New Roman" w:eastAsia="Times New Roman" w:hAnsi="Times New Roman"/>
          <w:spacing w:val="-2"/>
          <w:sz w:val="24"/>
          <w:szCs w:val="24"/>
        </w:rPr>
        <w:t>the Middle Class Tax Relief and Job Creation Act of 2012, P.L. 112-96</w:t>
      </w:r>
      <w:r w:rsidRPr="00F7596D">
        <w:rPr>
          <w:rFonts w:ascii="Times New Roman" w:eastAsiaTheme="minorHAnsi" w:hAnsi="Times New Roman"/>
          <w:sz w:val="24"/>
          <w:szCs w:val="24"/>
        </w:rPr>
        <w:t>. The following highlights many of the activities that will be taking place during the 39-month transition period.  All of these activities will have started in FY 2017 and will continue at a high tempo through FY 2020, and the Commission estimates that the total resources needed for these activities will exceed the amount of resources used to design the auction and complete bidding.</w:t>
      </w:r>
    </w:p>
    <w:p w:rsidR="00097660" w:rsidRPr="00E76E2E" w:rsidRDefault="00097660" w:rsidP="00097660">
      <w:pPr>
        <w:spacing w:after="0" w:line="240" w:lineRule="auto"/>
        <w:contextualSpacing/>
        <w:jc w:val="both"/>
        <w:rPr>
          <w:rFonts w:ascii="Times New Roman" w:eastAsiaTheme="minorHAnsi" w:hAnsi="Times New Roman"/>
          <w:sz w:val="24"/>
          <w:szCs w:val="24"/>
        </w:rPr>
      </w:pPr>
    </w:p>
    <w:p w:rsidR="00097660" w:rsidRPr="00A41B27" w:rsidRDefault="00097660" w:rsidP="00CD6159">
      <w:pPr>
        <w:pStyle w:val="ListParagraph"/>
        <w:numPr>
          <w:ilvl w:val="0"/>
          <w:numId w:val="21"/>
        </w:numPr>
        <w:jc w:val="both"/>
        <w:rPr>
          <w:rFonts w:eastAsiaTheme="minorHAnsi"/>
          <w:szCs w:val="24"/>
        </w:rPr>
      </w:pPr>
      <w:r w:rsidRPr="00A41B27">
        <w:rPr>
          <w:rFonts w:eastAsiaTheme="minorHAnsi"/>
          <w:szCs w:val="24"/>
        </w:rPr>
        <w:t>Wireless Licensing</w:t>
      </w:r>
      <w:r>
        <w:rPr>
          <w:rFonts w:eastAsiaTheme="minorHAnsi"/>
          <w:szCs w:val="24"/>
        </w:rPr>
        <w:t xml:space="preserve"> – </w:t>
      </w:r>
      <w:r w:rsidRPr="00A41B27">
        <w:rPr>
          <w:rFonts w:eastAsiaTheme="minorHAnsi"/>
          <w:szCs w:val="24"/>
        </w:rPr>
        <w:t xml:space="preserve">Winning bidders must submit license applications and deposit the winning bid amounts with the </w:t>
      </w:r>
      <w:r>
        <w:rPr>
          <w:rFonts w:eastAsiaTheme="minorHAnsi"/>
          <w:szCs w:val="24"/>
        </w:rPr>
        <w:t xml:space="preserve">Commission </w:t>
      </w:r>
      <w:r w:rsidRPr="00A41B27">
        <w:rPr>
          <w:rFonts w:eastAsiaTheme="minorHAnsi"/>
          <w:szCs w:val="24"/>
        </w:rPr>
        <w:t xml:space="preserve">within four weeks after the close of the auction.  The </w:t>
      </w:r>
      <w:r>
        <w:rPr>
          <w:rFonts w:eastAsiaTheme="minorHAnsi"/>
          <w:szCs w:val="24"/>
        </w:rPr>
        <w:t xml:space="preserve">Commission </w:t>
      </w:r>
      <w:r w:rsidRPr="00A41B27">
        <w:rPr>
          <w:rFonts w:eastAsiaTheme="minorHAnsi"/>
          <w:szCs w:val="24"/>
        </w:rPr>
        <w:t xml:space="preserve">will review the applications and make them available for public comment.  After public comments are reviewed and any issues raised are resolved, the </w:t>
      </w:r>
      <w:r>
        <w:rPr>
          <w:rFonts w:eastAsiaTheme="minorHAnsi"/>
          <w:szCs w:val="24"/>
        </w:rPr>
        <w:t xml:space="preserve">Commission </w:t>
      </w:r>
      <w:r w:rsidRPr="00A41B27">
        <w:rPr>
          <w:rFonts w:eastAsiaTheme="minorHAnsi"/>
          <w:szCs w:val="24"/>
        </w:rPr>
        <w:t xml:space="preserve">will grant the wireless spectrum licenses.  The </w:t>
      </w:r>
      <w:r>
        <w:rPr>
          <w:rFonts w:eastAsiaTheme="minorHAnsi"/>
          <w:szCs w:val="24"/>
        </w:rPr>
        <w:t xml:space="preserve">Commission may </w:t>
      </w:r>
      <w:r w:rsidRPr="00A41B27">
        <w:rPr>
          <w:rFonts w:eastAsiaTheme="minorHAnsi"/>
          <w:szCs w:val="24"/>
        </w:rPr>
        <w:t xml:space="preserve">grant </w:t>
      </w:r>
      <w:r>
        <w:rPr>
          <w:rFonts w:eastAsiaTheme="minorHAnsi"/>
          <w:szCs w:val="24"/>
        </w:rPr>
        <w:t xml:space="preserve">these </w:t>
      </w:r>
      <w:r w:rsidRPr="00A41B27">
        <w:rPr>
          <w:rFonts w:eastAsiaTheme="minorHAnsi"/>
          <w:szCs w:val="24"/>
        </w:rPr>
        <w:t>licenses on a rolling basis.  Historically</w:t>
      </w:r>
      <w:r>
        <w:rPr>
          <w:rFonts w:eastAsiaTheme="minorHAnsi"/>
          <w:szCs w:val="24"/>
        </w:rPr>
        <w:t>,</w:t>
      </w:r>
      <w:r w:rsidRPr="00A41B27">
        <w:rPr>
          <w:rFonts w:eastAsiaTheme="minorHAnsi"/>
          <w:szCs w:val="24"/>
        </w:rPr>
        <w:t xml:space="preserve"> some licenses have been granted in as little as </w:t>
      </w:r>
      <w:r>
        <w:rPr>
          <w:rFonts w:eastAsiaTheme="minorHAnsi"/>
          <w:szCs w:val="24"/>
        </w:rPr>
        <w:t xml:space="preserve">two </w:t>
      </w:r>
      <w:r w:rsidRPr="00A41B27">
        <w:rPr>
          <w:rFonts w:eastAsiaTheme="minorHAnsi"/>
          <w:szCs w:val="24"/>
        </w:rPr>
        <w:t>months while other</w:t>
      </w:r>
      <w:r>
        <w:rPr>
          <w:rFonts w:eastAsiaTheme="minorHAnsi"/>
          <w:szCs w:val="24"/>
        </w:rPr>
        <w:t>s</w:t>
      </w:r>
      <w:r w:rsidRPr="00A41B27">
        <w:rPr>
          <w:rFonts w:eastAsiaTheme="minorHAnsi"/>
          <w:szCs w:val="24"/>
        </w:rPr>
        <w:t xml:space="preserve"> </w:t>
      </w:r>
      <w:r>
        <w:rPr>
          <w:rFonts w:eastAsiaTheme="minorHAnsi"/>
          <w:szCs w:val="24"/>
        </w:rPr>
        <w:t>may</w:t>
      </w:r>
      <w:r w:rsidRPr="00A41B27">
        <w:rPr>
          <w:rFonts w:eastAsiaTheme="minorHAnsi"/>
          <w:szCs w:val="24"/>
        </w:rPr>
        <w:t xml:space="preserve"> take one to two years </w:t>
      </w:r>
      <w:r>
        <w:rPr>
          <w:rFonts w:eastAsiaTheme="minorHAnsi"/>
          <w:szCs w:val="24"/>
        </w:rPr>
        <w:t>as</w:t>
      </w:r>
      <w:r w:rsidRPr="00A41B27">
        <w:rPr>
          <w:rFonts w:eastAsiaTheme="minorHAnsi"/>
          <w:szCs w:val="24"/>
        </w:rPr>
        <w:t xml:space="preserve"> issues </w:t>
      </w:r>
      <w:r>
        <w:rPr>
          <w:rFonts w:eastAsiaTheme="minorHAnsi"/>
          <w:szCs w:val="24"/>
        </w:rPr>
        <w:t>are</w:t>
      </w:r>
      <w:r w:rsidRPr="00A41B27">
        <w:rPr>
          <w:rFonts w:eastAsiaTheme="minorHAnsi"/>
          <w:szCs w:val="24"/>
        </w:rPr>
        <w:t xml:space="preserve"> resolved. </w:t>
      </w:r>
    </w:p>
    <w:p w:rsidR="00097660" w:rsidRPr="00E76E2E" w:rsidRDefault="00097660" w:rsidP="00097660">
      <w:pPr>
        <w:spacing w:after="0" w:line="240" w:lineRule="auto"/>
        <w:contextualSpacing/>
        <w:jc w:val="both"/>
        <w:rPr>
          <w:rFonts w:ascii="Times New Roman" w:eastAsiaTheme="minorHAnsi" w:hAnsi="Times New Roman"/>
          <w:sz w:val="24"/>
          <w:szCs w:val="24"/>
        </w:rPr>
      </w:pPr>
    </w:p>
    <w:p w:rsidR="00097660" w:rsidRPr="00A41B27" w:rsidRDefault="00097660" w:rsidP="00CD6159">
      <w:pPr>
        <w:pStyle w:val="ListParagraph"/>
        <w:numPr>
          <w:ilvl w:val="0"/>
          <w:numId w:val="21"/>
        </w:numPr>
        <w:jc w:val="both"/>
        <w:rPr>
          <w:rFonts w:eastAsiaTheme="minorHAnsi"/>
          <w:szCs w:val="24"/>
        </w:rPr>
      </w:pPr>
      <w:r w:rsidRPr="00A41B27">
        <w:rPr>
          <w:rFonts w:eastAsiaTheme="minorHAnsi"/>
          <w:szCs w:val="24"/>
        </w:rPr>
        <w:t xml:space="preserve">Payments to </w:t>
      </w:r>
      <w:r>
        <w:rPr>
          <w:rFonts w:eastAsiaTheme="minorHAnsi"/>
          <w:szCs w:val="24"/>
        </w:rPr>
        <w:t xml:space="preserve">Reverse Auction Winning Bidders – </w:t>
      </w:r>
      <w:r w:rsidRPr="00A41B27">
        <w:rPr>
          <w:rFonts w:eastAsiaTheme="minorHAnsi"/>
          <w:szCs w:val="24"/>
        </w:rPr>
        <w:t xml:space="preserve">Broadcasters will be paid as funds become available </w:t>
      </w:r>
      <w:r>
        <w:rPr>
          <w:rFonts w:eastAsiaTheme="minorHAnsi"/>
          <w:szCs w:val="24"/>
        </w:rPr>
        <w:t>after</w:t>
      </w:r>
      <w:r w:rsidRPr="00A41B27">
        <w:rPr>
          <w:rFonts w:eastAsiaTheme="minorHAnsi"/>
          <w:szCs w:val="24"/>
        </w:rPr>
        <w:t xml:space="preserve"> grants of wireless licenses.  Broadcasters </w:t>
      </w:r>
      <w:r>
        <w:rPr>
          <w:rFonts w:eastAsiaTheme="minorHAnsi"/>
          <w:szCs w:val="24"/>
        </w:rPr>
        <w:t>that are relinquishing their licenses</w:t>
      </w:r>
      <w:r w:rsidRPr="00A41B27">
        <w:rPr>
          <w:rFonts w:eastAsiaTheme="minorHAnsi"/>
          <w:szCs w:val="24"/>
        </w:rPr>
        <w:t xml:space="preserve"> will have 90 days to </w:t>
      </w:r>
      <w:r>
        <w:rPr>
          <w:rFonts w:eastAsiaTheme="minorHAnsi"/>
          <w:szCs w:val="24"/>
        </w:rPr>
        <w:t>discontinue operations on their pre-auction channels</w:t>
      </w:r>
      <w:r w:rsidRPr="00A41B27">
        <w:rPr>
          <w:rFonts w:eastAsiaTheme="minorHAnsi"/>
          <w:szCs w:val="24"/>
        </w:rPr>
        <w:t xml:space="preserve"> while broadcasters </w:t>
      </w:r>
      <w:r>
        <w:rPr>
          <w:rFonts w:eastAsiaTheme="minorHAnsi"/>
          <w:szCs w:val="24"/>
        </w:rPr>
        <w:t>that</w:t>
      </w:r>
      <w:r w:rsidRPr="00A41B27">
        <w:rPr>
          <w:rFonts w:eastAsiaTheme="minorHAnsi"/>
          <w:szCs w:val="24"/>
        </w:rPr>
        <w:t xml:space="preserve"> will be channel-sharing will have 180 days to </w:t>
      </w:r>
      <w:r>
        <w:rPr>
          <w:rFonts w:eastAsiaTheme="minorHAnsi"/>
          <w:szCs w:val="24"/>
        </w:rPr>
        <w:t>discontinue operations on their pre-auction channels</w:t>
      </w:r>
      <w:r w:rsidRPr="00A41B27">
        <w:rPr>
          <w:rFonts w:eastAsiaTheme="minorHAnsi"/>
          <w:szCs w:val="24"/>
        </w:rPr>
        <w:t xml:space="preserve">.  </w:t>
      </w:r>
      <w:r>
        <w:rPr>
          <w:rFonts w:eastAsiaTheme="minorHAnsi"/>
          <w:szCs w:val="24"/>
        </w:rPr>
        <w:t>W</w:t>
      </w:r>
      <w:r w:rsidRPr="00A41B27">
        <w:rPr>
          <w:rFonts w:eastAsiaTheme="minorHAnsi"/>
          <w:szCs w:val="24"/>
        </w:rPr>
        <w:t xml:space="preserve">aivers may be requested </w:t>
      </w:r>
      <w:r>
        <w:rPr>
          <w:rFonts w:eastAsiaTheme="minorHAnsi"/>
          <w:szCs w:val="24"/>
        </w:rPr>
        <w:t xml:space="preserve">to </w:t>
      </w:r>
      <w:r w:rsidRPr="00A41B27">
        <w:rPr>
          <w:rFonts w:eastAsiaTheme="minorHAnsi"/>
          <w:szCs w:val="24"/>
        </w:rPr>
        <w:t>extend the</w:t>
      </w:r>
      <w:r>
        <w:rPr>
          <w:rFonts w:eastAsiaTheme="minorHAnsi"/>
          <w:szCs w:val="24"/>
        </w:rPr>
        <w:t>se</w:t>
      </w:r>
      <w:r w:rsidRPr="00A41B27">
        <w:rPr>
          <w:rFonts w:eastAsiaTheme="minorHAnsi"/>
          <w:szCs w:val="24"/>
        </w:rPr>
        <w:t xml:space="preserve"> deadline</w:t>
      </w:r>
      <w:r>
        <w:rPr>
          <w:rFonts w:eastAsiaTheme="minorHAnsi"/>
          <w:szCs w:val="24"/>
        </w:rPr>
        <w:t>s</w:t>
      </w:r>
      <w:r w:rsidRPr="00A41B27">
        <w:rPr>
          <w:rFonts w:eastAsiaTheme="minorHAnsi"/>
          <w:szCs w:val="24"/>
        </w:rPr>
        <w:t xml:space="preserve">.  The </w:t>
      </w:r>
      <w:r>
        <w:rPr>
          <w:rFonts w:eastAsiaTheme="minorHAnsi"/>
          <w:szCs w:val="24"/>
        </w:rPr>
        <w:t xml:space="preserve">Commission </w:t>
      </w:r>
      <w:r w:rsidRPr="00A41B27">
        <w:rPr>
          <w:rFonts w:eastAsiaTheme="minorHAnsi"/>
          <w:szCs w:val="24"/>
        </w:rPr>
        <w:t xml:space="preserve">will issue a series </w:t>
      </w:r>
      <w:r>
        <w:rPr>
          <w:rFonts w:eastAsiaTheme="minorHAnsi"/>
          <w:szCs w:val="24"/>
        </w:rPr>
        <w:t xml:space="preserve">of ‘ready to pay’ </w:t>
      </w:r>
      <w:r w:rsidRPr="00A41B27">
        <w:rPr>
          <w:rFonts w:eastAsiaTheme="minorHAnsi"/>
          <w:szCs w:val="24"/>
        </w:rPr>
        <w:t xml:space="preserve">public notices </w:t>
      </w:r>
      <w:r>
        <w:rPr>
          <w:rFonts w:eastAsiaTheme="minorHAnsi"/>
          <w:szCs w:val="24"/>
        </w:rPr>
        <w:t xml:space="preserve">to </w:t>
      </w:r>
      <w:r w:rsidRPr="00A41B27">
        <w:rPr>
          <w:rFonts w:eastAsiaTheme="minorHAnsi"/>
          <w:szCs w:val="24"/>
        </w:rPr>
        <w:t>announc</w:t>
      </w:r>
      <w:r>
        <w:rPr>
          <w:rFonts w:eastAsiaTheme="minorHAnsi"/>
          <w:szCs w:val="24"/>
        </w:rPr>
        <w:t>e</w:t>
      </w:r>
      <w:r w:rsidRPr="00A41B27">
        <w:rPr>
          <w:rFonts w:eastAsiaTheme="minorHAnsi"/>
          <w:szCs w:val="24"/>
        </w:rPr>
        <w:t xml:space="preserve"> when </w:t>
      </w:r>
      <w:r>
        <w:rPr>
          <w:rFonts w:eastAsiaTheme="minorHAnsi"/>
          <w:szCs w:val="24"/>
        </w:rPr>
        <w:t>specific</w:t>
      </w:r>
      <w:r w:rsidRPr="00A41B27">
        <w:rPr>
          <w:rFonts w:eastAsiaTheme="minorHAnsi"/>
          <w:szCs w:val="24"/>
        </w:rPr>
        <w:t xml:space="preserve"> broadcaster</w:t>
      </w:r>
      <w:r>
        <w:rPr>
          <w:rFonts w:eastAsiaTheme="minorHAnsi"/>
          <w:szCs w:val="24"/>
        </w:rPr>
        <w:t>s</w:t>
      </w:r>
      <w:r w:rsidRPr="00A41B27">
        <w:rPr>
          <w:rFonts w:eastAsiaTheme="minorHAnsi"/>
          <w:szCs w:val="24"/>
        </w:rPr>
        <w:t xml:space="preserve"> will be </w:t>
      </w:r>
      <w:r>
        <w:rPr>
          <w:rFonts w:eastAsiaTheme="minorHAnsi"/>
          <w:szCs w:val="24"/>
        </w:rPr>
        <w:t>paid</w:t>
      </w:r>
      <w:r w:rsidRPr="00A41B27">
        <w:rPr>
          <w:rFonts w:eastAsiaTheme="minorHAnsi"/>
          <w:szCs w:val="24"/>
        </w:rPr>
        <w:t xml:space="preserve"> </w:t>
      </w:r>
      <w:r>
        <w:rPr>
          <w:rFonts w:eastAsiaTheme="minorHAnsi"/>
          <w:szCs w:val="24"/>
        </w:rPr>
        <w:t xml:space="preserve">as the </w:t>
      </w:r>
      <w:r w:rsidRPr="00A41B27">
        <w:rPr>
          <w:rFonts w:eastAsiaTheme="minorHAnsi"/>
          <w:szCs w:val="24"/>
        </w:rPr>
        <w:t xml:space="preserve">funds from </w:t>
      </w:r>
      <w:r>
        <w:rPr>
          <w:rFonts w:eastAsiaTheme="minorHAnsi"/>
          <w:szCs w:val="24"/>
        </w:rPr>
        <w:t xml:space="preserve">the </w:t>
      </w:r>
      <w:r w:rsidRPr="00A41B27">
        <w:rPr>
          <w:rFonts w:eastAsiaTheme="minorHAnsi"/>
          <w:szCs w:val="24"/>
        </w:rPr>
        <w:t xml:space="preserve">winning wireless spectrum bidders become available.     </w:t>
      </w:r>
    </w:p>
    <w:p w:rsidR="00097660" w:rsidRPr="00E76E2E" w:rsidRDefault="00097660" w:rsidP="00097660">
      <w:pPr>
        <w:spacing w:after="0" w:line="240" w:lineRule="auto"/>
        <w:contextualSpacing/>
        <w:jc w:val="both"/>
        <w:rPr>
          <w:rFonts w:ascii="Times New Roman" w:eastAsiaTheme="minorHAnsi" w:hAnsi="Times New Roman"/>
          <w:sz w:val="24"/>
          <w:szCs w:val="24"/>
        </w:rPr>
      </w:pPr>
    </w:p>
    <w:p w:rsidR="00097660" w:rsidRPr="007B1750" w:rsidRDefault="00097660" w:rsidP="00CD6159">
      <w:pPr>
        <w:pStyle w:val="ListParagraph"/>
        <w:numPr>
          <w:ilvl w:val="0"/>
          <w:numId w:val="21"/>
        </w:numPr>
        <w:jc w:val="both"/>
        <w:rPr>
          <w:rFonts w:eastAsiaTheme="minorHAnsi"/>
          <w:szCs w:val="24"/>
        </w:rPr>
      </w:pPr>
      <w:r w:rsidRPr="007B1750">
        <w:rPr>
          <w:rFonts w:eastAsiaTheme="minorHAnsi"/>
          <w:szCs w:val="24"/>
        </w:rPr>
        <w:t>Submission of Banking Information by Broadcasters and MVPDs</w:t>
      </w:r>
      <w:r>
        <w:rPr>
          <w:rFonts w:eastAsiaTheme="minorHAnsi"/>
          <w:szCs w:val="24"/>
        </w:rPr>
        <w:t xml:space="preserve"> – </w:t>
      </w:r>
      <w:r w:rsidRPr="007B1750">
        <w:rPr>
          <w:rFonts w:eastAsiaTheme="minorHAnsi"/>
          <w:szCs w:val="24"/>
        </w:rPr>
        <w:t xml:space="preserve">The </w:t>
      </w:r>
      <w:r>
        <w:rPr>
          <w:rFonts w:eastAsiaTheme="minorHAnsi"/>
          <w:szCs w:val="24"/>
        </w:rPr>
        <w:t xml:space="preserve">Commission </w:t>
      </w:r>
      <w:r w:rsidRPr="007B1750">
        <w:rPr>
          <w:rFonts w:eastAsiaTheme="minorHAnsi"/>
          <w:szCs w:val="24"/>
        </w:rPr>
        <w:t xml:space="preserve">requires broadcasters </w:t>
      </w:r>
      <w:r>
        <w:rPr>
          <w:rFonts w:eastAsiaTheme="minorHAnsi"/>
          <w:szCs w:val="24"/>
        </w:rPr>
        <w:t>that</w:t>
      </w:r>
      <w:r w:rsidRPr="007B1750">
        <w:rPr>
          <w:rFonts w:eastAsiaTheme="minorHAnsi"/>
          <w:szCs w:val="24"/>
        </w:rPr>
        <w:t xml:space="preserve"> will be receiving payments for relinquishing their spectrum or for </w:t>
      </w:r>
      <w:r>
        <w:rPr>
          <w:rFonts w:eastAsiaTheme="minorHAnsi"/>
          <w:szCs w:val="24"/>
        </w:rPr>
        <w:t xml:space="preserve">reimbursement of </w:t>
      </w:r>
      <w:r w:rsidRPr="007B1750">
        <w:rPr>
          <w:rFonts w:eastAsiaTheme="minorHAnsi"/>
          <w:szCs w:val="24"/>
        </w:rPr>
        <w:t xml:space="preserve">repacking </w:t>
      </w:r>
      <w:r>
        <w:rPr>
          <w:rFonts w:eastAsiaTheme="minorHAnsi"/>
          <w:szCs w:val="24"/>
        </w:rPr>
        <w:t xml:space="preserve">expenses and MVPDs that will be receiving payments for reimbursement of expenses related to continued carriage of repacked stations </w:t>
      </w:r>
      <w:r w:rsidRPr="007B1750">
        <w:rPr>
          <w:rFonts w:eastAsiaTheme="minorHAnsi"/>
          <w:szCs w:val="24"/>
        </w:rPr>
        <w:t xml:space="preserve">to provide detailed banking information </w:t>
      </w:r>
      <w:r>
        <w:rPr>
          <w:rFonts w:eastAsiaTheme="minorHAnsi"/>
          <w:szCs w:val="24"/>
        </w:rPr>
        <w:t xml:space="preserve">that is </w:t>
      </w:r>
      <w:r w:rsidRPr="007B1750">
        <w:rPr>
          <w:rFonts w:eastAsiaTheme="minorHAnsi"/>
          <w:szCs w:val="24"/>
        </w:rPr>
        <w:t>notarized</w:t>
      </w:r>
      <w:r>
        <w:rPr>
          <w:rFonts w:eastAsiaTheme="minorHAnsi"/>
          <w:szCs w:val="24"/>
        </w:rPr>
        <w:t xml:space="preserve"> on</w:t>
      </w:r>
      <w:r w:rsidRPr="007B1750">
        <w:rPr>
          <w:rFonts w:eastAsiaTheme="minorHAnsi"/>
          <w:szCs w:val="24"/>
        </w:rPr>
        <w:t xml:space="preserve"> paper form and in a secure electronic system.  The information will be reviewed by the </w:t>
      </w:r>
      <w:r>
        <w:rPr>
          <w:rFonts w:eastAsiaTheme="minorHAnsi"/>
          <w:szCs w:val="24"/>
        </w:rPr>
        <w:t xml:space="preserve">Commission </w:t>
      </w:r>
      <w:r w:rsidRPr="007B1750">
        <w:rPr>
          <w:rFonts w:eastAsiaTheme="minorHAnsi"/>
          <w:szCs w:val="24"/>
        </w:rPr>
        <w:t xml:space="preserve">prior to </w:t>
      </w:r>
      <w:r>
        <w:rPr>
          <w:rFonts w:eastAsiaTheme="minorHAnsi"/>
          <w:szCs w:val="24"/>
        </w:rPr>
        <w:t xml:space="preserve">making </w:t>
      </w:r>
      <w:r w:rsidRPr="007B1750">
        <w:rPr>
          <w:rFonts w:eastAsiaTheme="minorHAnsi"/>
          <w:szCs w:val="24"/>
        </w:rPr>
        <w:t xml:space="preserve">any payments.  This process </w:t>
      </w:r>
      <w:r>
        <w:rPr>
          <w:rFonts w:eastAsiaTheme="minorHAnsi"/>
          <w:szCs w:val="24"/>
        </w:rPr>
        <w:t xml:space="preserve">will </w:t>
      </w:r>
      <w:r w:rsidRPr="007B1750">
        <w:rPr>
          <w:rFonts w:eastAsiaTheme="minorHAnsi"/>
          <w:szCs w:val="24"/>
        </w:rPr>
        <w:t>start after the Closing and Channel Reassignment P</w:t>
      </w:r>
      <w:r>
        <w:rPr>
          <w:rFonts w:eastAsiaTheme="minorHAnsi"/>
          <w:szCs w:val="24"/>
        </w:rPr>
        <w:t xml:space="preserve">ublic </w:t>
      </w:r>
      <w:r w:rsidRPr="007B1750">
        <w:rPr>
          <w:rFonts w:eastAsiaTheme="minorHAnsi"/>
          <w:szCs w:val="24"/>
        </w:rPr>
        <w:t>N</w:t>
      </w:r>
      <w:r>
        <w:rPr>
          <w:rFonts w:eastAsiaTheme="minorHAnsi"/>
          <w:szCs w:val="24"/>
        </w:rPr>
        <w:t>otice</w:t>
      </w:r>
      <w:r w:rsidRPr="007B1750">
        <w:rPr>
          <w:rFonts w:eastAsiaTheme="minorHAnsi"/>
          <w:szCs w:val="24"/>
        </w:rPr>
        <w:t xml:space="preserve"> is released.       </w:t>
      </w:r>
    </w:p>
    <w:p w:rsidR="00097660" w:rsidRPr="00E76E2E" w:rsidRDefault="00097660" w:rsidP="00097660">
      <w:pPr>
        <w:spacing w:after="0" w:line="240" w:lineRule="auto"/>
        <w:contextualSpacing/>
        <w:jc w:val="both"/>
        <w:rPr>
          <w:rFonts w:ascii="Times New Roman" w:eastAsiaTheme="minorHAnsi" w:hAnsi="Times New Roman"/>
          <w:sz w:val="24"/>
          <w:szCs w:val="24"/>
        </w:rPr>
      </w:pPr>
    </w:p>
    <w:p w:rsidR="00097660" w:rsidRPr="007B1750" w:rsidRDefault="00097660" w:rsidP="00CD6159">
      <w:pPr>
        <w:pStyle w:val="ListParagraph"/>
        <w:numPr>
          <w:ilvl w:val="0"/>
          <w:numId w:val="21"/>
        </w:numPr>
        <w:jc w:val="both"/>
        <w:rPr>
          <w:rFonts w:eastAsiaTheme="minorHAnsi"/>
          <w:szCs w:val="24"/>
        </w:rPr>
      </w:pPr>
      <w:r w:rsidRPr="007B1750">
        <w:rPr>
          <w:rFonts w:eastAsiaTheme="minorHAnsi"/>
          <w:szCs w:val="24"/>
        </w:rPr>
        <w:t>Licensing for Broadcasters Being Relocated</w:t>
      </w:r>
      <w:r>
        <w:rPr>
          <w:rFonts w:eastAsiaTheme="minorHAnsi"/>
          <w:szCs w:val="24"/>
        </w:rPr>
        <w:t xml:space="preserve"> – </w:t>
      </w:r>
      <w:r w:rsidRPr="007B1750">
        <w:rPr>
          <w:rFonts w:eastAsiaTheme="minorHAnsi"/>
          <w:szCs w:val="24"/>
        </w:rPr>
        <w:t xml:space="preserve">Broadcast licensing is performed in two steps: </w:t>
      </w:r>
      <w:r>
        <w:rPr>
          <w:rFonts w:eastAsiaTheme="minorHAnsi"/>
          <w:szCs w:val="24"/>
        </w:rPr>
        <w:t xml:space="preserve">(1) </w:t>
      </w:r>
      <w:r w:rsidRPr="007B1750">
        <w:rPr>
          <w:rFonts w:eastAsiaTheme="minorHAnsi"/>
          <w:szCs w:val="24"/>
        </w:rPr>
        <w:t xml:space="preserve">application </w:t>
      </w:r>
      <w:r>
        <w:rPr>
          <w:rFonts w:eastAsiaTheme="minorHAnsi"/>
          <w:szCs w:val="24"/>
        </w:rPr>
        <w:t xml:space="preserve">review </w:t>
      </w:r>
      <w:r w:rsidRPr="007B1750">
        <w:rPr>
          <w:rFonts w:eastAsiaTheme="minorHAnsi"/>
          <w:szCs w:val="24"/>
        </w:rPr>
        <w:t xml:space="preserve">and grant of a construction permit (CP) and </w:t>
      </w:r>
      <w:r>
        <w:rPr>
          <w:rFonts w:eastAsiaTheme="minorHAnsi"/>
          <w:szCs w:val="24"/>
        </w:rPr>
        <w:t xml:space="preserve">(2) </w:t>
      </w:r>
      <w:r w:rsidRPr="007B1750">
        <w:rPr>
          <w:rFonts w:eastAsiaTheme="minorHAnsi"/>
          <w:szCs w:val="24"/>
        </w:rPr>
        <w:t xml:space="preserve">application </w:t>
      </w:r>
      <w:r>
        <w:rPr>
          <w:rFonts w:eastAsiaTheme="minorHAnsi"/>
          <w:szCs w:val="24"/>
        </w:rPr>
        <w:t xml:space="preserve">review </w:t>
      </w:r>
      <w:r w:rsidRPr="007B1750">
        <w:rPr>
          <w:rFonts w:eastAsiaTheme="minorHAnsi"/>
          <w:szCs w:val="24"/>
        </w:rPr>
        <w:t xml:space="preserve">and grant of a license to cover.  Broadcasters being relocated are required to file a construction permit application with the </w:t>
      </w:r>
      <w:r>
        <w:rPr>
          <w:rFonts w:eastAsiaTheme="minorHAnsi"/>
          <w:szCs w:val="24"/>
        </w:rPr>
        <w:t>Commission</w:t>
      </w:r>
      <w:r w:rsidRPr="007B1750">
        <w:rPr>
          <w:rFonts w:eastAsiaTheme="minorHAnsi"/>
          <w:szCs w:val="24"/>
        </w:rPr>
        <w:t xml:space="preserve"> that includes detailed technical parameters of their broadcast configuration.  There will be three sequential windows </w:t>
      </w:r>
      <w:r>
        <w:rPr>
          <w:rFonts w:eastAsiaTheme="minorHAnsi"/>
          <w:szCs w:val="24"/>
        </w:rPr>
        <w:t xml:space="preserve">in </w:t>
      </w:r>
      <w:r w:rsidRPr="007B1750">
        <w:rPr>
          <w:rFonts w:eastAsiaTheme="minorHAnsi"/>
          <w:szCs w:val="24"/>
        </w:rPr>
        <w:t xml:space="preserve">which broadcasters may submit their CPs to the </w:t>
      </w:r>
      <w:r>
        <w:rPr>
          <w:rFonts w:eastAsiaTheme="minorHAnsi"/>
          <w:szCs w:val="24"/>
        </w:rPr>
        <w:t>Commission</w:t>
      </w:r>
      <w:r w:rsidRPr="007B1750">
        <w:rPr>
          <w:rFonts w:eastAsiaTheme="minorHAnsi"/>
          <w:szCs w:val="24"/>
        </w:rPr>
        <w:t xml:space="preserve">, depending on the broadcaster’s </w:t>
      </w:r>
      <w:r>
        <w:rPr>
          <w:rFonts w:eastAsiaTheme="minorHAnsi"/>
          <w:szCs w:val="24"/>
        </w:rPr>
        <w:t xml:space="preserve">specific circumstances and </w:t>
      </w:r>
      <w:r w:rsidRPr="007B1750">
        <w:rPr>
          <w:rFonts w:eastAsiaTheme="minorHAnsi"/>
          <w:szCs w:val="24"/>
        </w:rPr>
        <w:t>needs.</w:t>
      </w:r>
      <w:r>
        <w:rPr>
          <w:rFonts w:eastAsiaTheme="minorHAnsi"/>
          <w:szCs w:val="24"/>
        </w:rPr>
        <w:t xml:space="preserve"> </w:t>
      </w:r>
      <w:r w:rsidRPr="007B1750">
        <w:rPr>
          <w:rFonts w:eastAsiaTheme="minorHAnsi"/>
          <w:szCs w:val="24"/>
        </w:rPr>
        <w:t xml:space="preserve"> In addition, broadcasters may ask for waivers </w:t>
      </w:r>
      <w:r>
        <w:rPr>
          <w:rFonts w:eastAsiaTheme="minorHAnsi"/>
          <w:szCs w:val="24"/>
        </w:rPr>
        <w:t xml:space="preserve">of some of the deadlines </w:t>
      </w:r>
      <w:r w:rsidRPr="007B1750">
        <w:rPr>
          <w:rFonts w:eastAsiaTheme="minorHAnsi"/>
          <w:szCs w:val="24"/>
        </w:rPr>
        <w:t>based on certain criteria</w:t>
      </w:r>
      <w:r w:rsidR="001C686B">
        <w:rPr>
          <w:rFonts w:eastAsiaTheme="minorHAnsi"/>
          <w:szCs w:val="24"/>
        </w:rPr>
        <w:t>.</w:t>
      </w:r>
      <w:r w:rsidRPr="007B1750">
        <w:rPr>
          <w:rFonts w:eastAsiaTheme="minorHAnsi"/>
          <w:szCs w:val="24"/>
        </w:rPr>
        <w:t xml:space="preserve">  </w:t>
      </w:r>
      <w:r>
        <w:rPr>
          <w:rFonts w:eastAsiaTheme="minorHAnsi"/>
          <w:szCs w:val="24"/>
        </w:rPr>
        <w:t xml:space="preserve">The Commission has adopted a phased transition process in which each station that is being repacked is assigned one of ten transition phases, each with a specific sequential testing period, at the end of which they must discontinue operations on </w:t>
      </w:r>
      <w:r w:rsidRPr="007B1750">
        <w:rPr>
          <w:rFonts w:eastAsiaTheme="minorHAnsi"/>
          <w:szCs w:val="24"/>
        </w:rPr>
        <w:t xml:space="preserve">their </w:t>
      </w:r>
      <w:r>
        <w:rPr>
          <w:rFonts w:eastAsiaTheme="minorHAnsi"/>
          <w:szCs w:val="24"/>
        </w:rPr>
        <w:t xml:space="preserve">pre-auction channels.  Consideration of all CPs and requests for waivers and applications to alter deadlines must be analyzed by staff for compliance with applicable rules and to determine the impact that granting such requests would have on the phased transition schedule.  </w:t>
      </w:r>
      <w:r>
        <w:rPr>
          <w:szCs w:val="24"/>
        </w:rPr>
        <w:t>If a</w:t>
      </w:r>
      <w:r>
        <w:t>pplications filed during the window are mutually exclusive, certain priorities apply and applicants will be provided an opportunity to resolve remaining issues through settlement or technical solution.  If they are unable to do so they</w:t>
      </w:r>
      <w:r w:rsidRPr="00B22690">
        <w:t xml:space="preserve"> will be resolved </w:t>
      </w:r>
      <w:r>
        <w:t>pursuant to the Commission’s</w:t>
      </w:r>
      <w:r w:rsidRPr="00B22690">
        <w:t xml:space="preserve"> competitive bidding rules.</w:t>
      </w:r>
      <w:r>
        <w:t xml:space="preserve"> </w:t>
      </w:r>
      <w:r w:rsidRPr="007B1750">
        <w:rPr>
          <w:rFonts w:eastAsiaTheme="minorHAnsi"/>
          <w:szCs w:val="24"/>
        </w:rPr>
        <w:t xml:space="preserve"> Including </w:t>
      </w:r>
      <w:r>
        <w:rPr>
          <w:rFonts w:eastAsiaTheme="minorHAnsi"/>
          <w:szCs w:val="24"/>
        </w:rPr>
        <w:t xml:space="preserve">the consideration of </w:t>
      </w:r>
      <w:r w:rsidRPr="007B1750">
        <w:rPr>
          <w:rFonts w:eastAsiaTheme="minorHAnsi"/>
          <w:szCs w:val="24"/>
        </w:rPr>
        <w:t>processing waivers, the CP process is anticipated to take nine to twelve months.</w:t>
      </w:r>
      <w:r>
        <w:rPr>
          <w:rFonts w:eastAsiaTheme="minorHAnsi"/>
          <w:szCs w:val="24"/>
        </w:rPr>
        <w:t xml:space="preserve">  Additional waiver applications and requests for transition relief may be received outside of the three windows and after the anticipated processing period.  Pursuant to Commission rules, all broadcasters must cease operation on their pre-auction channels </w:t>
      </w:r>
      <w:r w:rsidRPr="007B1750">
        <w:rPr>
          <w:rFonts w:eastAsiaTheme="minorHAnsi"/>
          <w:szCs w:val="24"/>
        </w:rPr>
        <w:t>no later than 39 months after the issuance of the Closing and Channel Reassignment P</w:t>
      </w:r>
      <w:r>
        <w:rPr>
          <w:rFonts w:eastAsiaTheme="minorHAnsi"/>
          <w:szCs w:val="24"/>
        </w:rPr>
        <w:t xml:space="preserve">ublic </w:t>
      </w:r>
      <w:r w:rsidRPr="007B1750">
        <w:rPr>
          <w:rFonts w:eastAsiaTheme="minorHAnsi"/>
          <w:szCs w:val="24"/>
        </w:rPr>
        <w:t>N</w:t>
      </w:r>
      <w:r>
        <w:rPr>
          <w:rFonts w:eastAsiaTheme="minorHAnsi"/>
          <w:szCs w:val="24"/>
        </w:rPr>
        <w:t>otice</w:t>
      </w:r>
      <w:r w:rsidRPr="007B1750">
        <w:rPr>
          <w:rFonts w:eastAsiaTheme="minorHAnsi"/>
          <w:szCs w:val="24"/>
        </w:rPr>
        <w:t>.</w:t>
      </w:r>
      <w:r w:rsidRPr="00673A0A">
        <w:rPr>
          <w:rFonts w:eastAsiaTheme="minorHAnsi"/>
          <w:szCs w:val="24"/>
        </w:rPr>
        <w:t xml:space="preserve"> </w:t>
      </w:r>
      <w:r>
        <w:rPr>
          <w:rFonts w:eastAsiaTheme="minorHAnsi"/>
          <w:szCs w:val="24"/>
        </w:rPr>
        <w:t xml:space="preserve"> </w:t>
      </w:r>
      <w:r w:rsidRPr="007B1750">
        <w:rPr>
          <w:rFonts w:eastAsiaTheme="minorHAnsi"/>
          <w:szCs w:val="24"/>
        </w:rPr>
        <w:t xml:space="preserve">After a broadcaster completes the construction of its new facilities, it </w:t>
      </w:r>
      <w:r>
        <w:rPr>
          <w:rFonts w:eastAsiaTheme="minorHAnsi"/>
          <w:szCs w:val="24"/>
        </w:rPr>
        <w:t xml:space="preserve">will </w:t>
      </w:r>
      <w:r w:rsidRPr="007B1750">
        <w:rPr>
          <w:rFonts w:eastAsiaTheme="minorHAnsi"/>
          <w:szCs w:val="24"/>
        </w:rPr>
        <w:t xml:space="preserve">file an application with the </w:t>
      </w:r>
      <w:r>
        <w:rPr>
          <w:rFonts w:eastAsiaTheme="minorHAnsi"/>
          <w:szCs w:val="24"/>
        </w:rPr>
        <w:t>Commission</w:t>
      </w:r>
      <w:r w:rsidRPr="007B1750">
        <w:rPr>
          <w:rFonts w:eastAsiaTheme="minorHAnsi"/>
          <w:szCs w:val="24"/>
        </w:rPr>
        <w:t xml:space="preserve"> for </w:t>
      </w:r>
      <w:r w:rsidRPr="00E27BF7">
        <w:rPr>
          <w:rFonts w:eastAsiaTheme="minorHAnsi"/>
          <w:szCs w:val="24"/>
        </w:rPr>
        <w:t>its license.</w:t>
      </w:r>
      <w:r w:rsidRPr="007B1750">
        <w:rPr>
          <w:rFonts w:eastAsiaTheme="minorHAnsi"/>
          <w:szCs w:val="24"/>
        </w:rPr>
        <w:t xml:space="preserve">  </w:t>
      </w:r>
    </w:p>
    <w:p w:rsidR="00097660" w:rsidRPr="00E76E2E" w:rsidRDefault="00097660" w:rsidP="00097660">
      <w:pPr>
        <w:spacing w:after="0" w:line="240" w:lineRule="auto"/>
        <w:contextualSpacing/>
        <w:jc w:val="both"/>
        <w:rPr>
          <w:rFonts w:ascii="Times New Roman" w:eastAsiaTheme="minorHAnsi" w:hAnsi="Times New Roman"/>
          <w:sz w:val="24"/>
          <w:szCs w:val="24"/>
        </w:rPr>
      </w:pPr>
    </w:p>
    <w:p w:rsidR="00097660" w:rsidRPr="00F7596D" w:rsidRDefault="00097660" w:rsidP="00CD6159">
      <w:pPr>
        <w:pStyle w:val="ListParagraph"/>
        <w:numPr>
          <w:ilvl w:val="0"/>
          <w:numId w:val="21"/>
        </w:numPr>
        <w:jc w:val="both"/>
        <w:rPr>
          <w:szCs w:val="24"/>
        </w:rPr>
      </w:pPr>
      <w:r w:rsidRPr="005C4E9D">
        <w:rPr>
          <w:rFonts w:eastAsiaTheme="minorHAnsi"/>
          <w:szCs w:val="24"/>
        </w:rPr>
        <w:t>Reimbursement</w:t>
      </w:r>
      <w:r>
        <w:rPr>
          <w:rFonts w:eastAsiaTheme="minorHAnsi"/>
          <w:szCs w:val="24"/>
        </w:rPr>
        <w:t>s</w:t>
      </w:r>
      <w:r w:rsidRPr="005C4E9D">
        <w:rPr>
          <w:rFonts w:eastAsiaTheme="minorHAnsi"/>
          <w:szCs w:val="24"/>
        </w:rPr>
        <w:t xml:space="preserve"> </w:t>
      </w:r>
      <w:r>
        <w:rPr>
          <w:rFonts w:eastAsiaTheme="minorHAnsi"/>
          <w:szCs w:val="24"/>
        </w:rPr>
        <w:t xml:space="preserve">to MVPDs and Repacked </w:t>
      </w:r>
      <w:r w:rsidRPr="005C4E9D">
        <w:rPr>
          <w:rFonts w:eastAsiaTheme="minorHAnsi"/>
          <w:szCs w:val="24"/>
        </w:rPr>
        <w:t>Broadcasters</w:t>
      </w:r>
      <w:r>
        <w:rPr>
          <w:rFonts w:eastAsiaTheme="minorHAnsi"/>
          <w:szCs w:val="24"/>
        </w:rPr>
        <w:t xml:space="preserve"> – </w:t>
      </w:r>
      <w:r w:rsidRPr="005C4E9D">
        <w:rPr>
          <w:rFonts w:eastAsiaTheme="minorHAnsi"/>
          <w:szCs w:val="24"/>
        </w:rPr>
        <w:t xml:space="preserve">Congress established </w:t>
      </w:r>
      <w:r>
        <w:rPr>
          <w:rFonts w:eastAsiaTheme="minorHAnsi"/>
          <w:szCs w:val="24"/>
        </w:rPr>
        <w:t>a</w:t>
      </w:r>
      <w:r w:rsidRPr="005C4E9D">
        <w:rPr>
          <w:rFonts w:eastAsiaTheme="minorHAnsi"/>
          <w:szCs w:val="24"/>
        </w:rPr>
        <w:t xml:space="preserve"> </w:t>
      </w:r>
      <w:r>
        <w:rPr>
          <w:rFonts w:eastAsiaTheme="minorHAnsi"/>
          <w:szCs w:val="24"/>
        </w:rPr>
        <w:t>TV Broadcaster Relocation Fund,</w:t>
      </w:r>
      <w:r w:rsidRPr="005C4E9D">
        <w:rPr>
          <w:rFonts w:eastAsiaTheme="minorHAnsi"/>
          <w:szCs w:val="24"/>
        </w:rPr>
        <w:t xml:space="preserve"> not to exceed $1.75 billion</w:t>
      </w:r>
      <w:r>
        <w:rPr>
          <w:rFonts w:eastAsiaTheme="minorHAnsi"/>
          <w:szCs w:val="24"/>
        </w:rPr>
        <w:t>,</w:t>
      </w:r>
      <w:r w:rsidRPr="005C4E9D">
        <w:rPr>
          <w:rFonts w:eastAsiaTheme="minorHAnsi"/>
          <w:szCs w:val="24"/>
        </w:rPr>
        <w:t xml:space="preserve"> to reimburse broadcasters and MVPDs for their relocation expenses.  The reimbursement </w:t>
      </w:r>
      <w:r>
        <w:rPr>
          <w:rFonts w:eastAsiaTheme="minorHAnsi"/>
          <w:szCs w:val="24"/>
        </w:rPr>
        <w:t>process h</w:t>
      </w:r>
      <w:r w:rsidRPr="005C4E9D">
        <w:rPr>
          <w:rFonts w:eastAsiaTheme="minorHAnsi"/>
          <w:szCs w:val="24"/>
        </w:rPr>
        <w:t>as two major components</w:t>
      </w:r>
      <w:r>
        <w:rPr>
          <w:rFonts w:eastAsiaTheme="minorHAnsi"/>
          <w:szCs w:val="24"/>
        </w:rPr>
        <w:t>:</w:t>
      </w:r>
      <w:r w:rsidRPr="005C4E9D">
        <w:rPr>
          <w:rFonts w:eastAsiaTheme="minorHAnsi"/>
          <w:szCs w:val="24"/>
        </w:rPr>
        <w:t xml:space="preserve"> (1) cost estimates and fund allocation and (2) invoice reimbursement processing.  Broadcasters and MVPDs will have 90 days from the Closing and Channel Reassignment Public Notice to file their relocation cost estimates with the </w:t>
      </w:r>
      <w:r>
        <w:rPr>
          <w:rFonts w:eastAsiaTheme="minorHAnsi"/>
          <w:szCs w:val="24"/>
        </w:rPr>
        <w:t>Commission</w:t>
      </w:r>
      <w:r w:rsidRPr="005C4E9D">
        <w:rPr>
          <w:rFonts w:eastAsiaTheme="minorHAnsi"/>
          <w:szCs w:val="24"/>
        </w:rPr>
        <w:t xml:space="preserve">.  The </w:t>
      </w:r>
      <w:r>
        <w:rPr>
          <w:rFonts w:eastAsiaTheme="minorHAnsi"/>
          <w:szCs w:val="24"/>
        </w:rPr>
        <w:t xml:space="preserve">Commission </w:t>
      </w:r>
      <w:r w:rsidRPr="005C4E9D">
        <w:rPr>
          <w:rFonts w:eastAsiaTheme="minorHAnsi"/>
          <w:szCs w:val="24"/>
        </w:rPr>
        <w:t xml:space="preserve">will review the cost estimates and issue a reimbursement allocation public notice announcing the </w:t>
      </w:r>
      <w:r>
        <w:rPr>
          <w:rFonts w:eastAsiaTheme="minorHAnsi"/>
          <w:szCs w:val="24"/>
        </w:rPr>
        <w:t xml:space="preserve">initial </w:t>
      </w:r>
      <w:r w:rsidRPr="005C4E9D">
        <w:rPr>
          <w:rFonts w:eastAsiaTheme="minorHAnsi"/>
          <w:szCs w:val="24"/>
        </w:rPr>
        <w:t xml:space="preserve">amount of money that </w:t>
      </w:r>
      <w:r>
        <w:rPr>
          <w:rFonts w:eastAsiaTheme="minorHAnsi"/>
          <w:szCs w:val="24"/>
        </w:rPr>
        <w:t xml:space="preserve">the eligible </w:t>
      </w:r>
      <w:r w:rsidRPr="005C4E9D">
        <w:rPr>
          <w:rFonts w:eastAsiaTheme="minorHAnsi"/>
          <w:szCs w:val="24"/>
        </w:rPr>
        <w:t>broadcaster</w:t>
      </w:r>
      <w:r>
        <w:rPr>
          <w:rFonts w:eastAsiaTheme="minorHAnsi"/>
          <w:szCs w:val="24"/>
        </w:rPr>
        <w:t>s and MVPDs</w:t>
      </w:r>
      <w:r w:rsidRPr="005C4E9D">
        <w:rPr>
          <w:rFonts w:eastAsiaTheme="minorHAnsi"/>
          <w:szCs w:val="24"/>
        </w:rPr>
        <w:t xml:space="preserve"> will have available for reimbursement of their repacking expenses.  After the allocations are announced, the </w:t>
      </w:r>
      <w:r>
        <w:rPr>
          <w:rFonts w:eastAsiaTheme="minorHAnsi"/>
          <w:szCs w:val="24"/>
        </w:rPr>
        <w:t xml:space="preserve">Commission </w:t>
      </w:r>
      <w:r w:rsidRPr="005C4E9D">
        <w:rPr>
          <w:rFonts w:eastAsiaTheme="minorHAnsi"/>
          <w:szCs w:val="24"/>
        </w:rPr>
        <w:t xml:space="preserve">will review and pay </w:t>
      </w:r>
      <w:r>
        <w:rPr>
          <w:rFonts w:eastAsiaTheme="minorHAnsi"/>
          <w:szCs w:val="24"/>
        </w:rPr>
        <w:t xml:space="preserve">approved </w:t>
      </w:r>
      <w:r w:rsidRPr="005C4E9D">
        <w:rPr>
          <w:rFonts w:eastAsiaTheme="minorHAnsi"/>
          <w:szCs w:val="24"/>
        </w:rPr>
        <w:t xml:space="preserve">invoices submitted by broadcasters and MVPDs.  </w:t>
      </w:r>
      <w:r w:rsidRPr="005E4459">
        <w:t>Entities are required to update their cost estimates if their plans for purchasing reimbursable equipment or services change</w:t>
      </w:r>
      <w:r>
        <w:rPr>
          <w:rFonts w:eastAsiaTheme="minorHAnsi"/>
          <w:szCs w:val="24"/>
        </w:rPr>
        <w:t xml:space="preserve">.  The Commission will </w:t>
      </w:r>
      <w:r w:rsidRPr="005E4459">
        <w:t>announce one or more additional allocations</w:t>
      </w:r>
      <w:r w:rsidRPr="005C4E9D">
        <w:rPr>
          <w:rFonts w:eastAsiaTheme="minorHAnsi"/>
          <w:szCs w:val="24"/>
        </w:rPr>
        <w:t xml:space="preserve"> </w:t>
      </w:r>
      <w:r>
        <w:rPr>
          <w:rFonts w:eastAsiaTheme="minorHAnsi"/>
          <w:szCs w:val="24"/>
        </w:rPr>
        <w:t xml:space="preserve">during the transition period and </w:t>
      </w:r>
      <w:r w:rsidRPr="005E4459">
        <w:t>subsequent allocations may be based on revised cost estimates</w:t>
      </w:r>
      <w:r>
        <w:t xml:space="preserve">. </w:t>
      </w:r>
      <w:r w:rsidRPr="005C4E9D">
        <w:rPr>
          <w:rFonts w:eastAsiaTheme="minorHAnsi"/>
          <w:szCs w:val="24"/>
        </w:rPr>
        <w:t xml:space="preserve"> </w:t>
      </w:r>
      <w:r w:rsidRPr="005E4459">
        <w:rPr>
          <w:szCs w:val="22"/>
        </w:rPr>
        <w:t xml:space="preserve">Prior to the end of the three-year </w:t>
      </w:r>
      <w:r>
        <w:rPr>
          <w:szCs w:val="22"/>
        </w:rPr>
        <w:t>r</w:t>
      </w:r>
      <w:r w:rsidRPr="005E4459">
        <w:rPr>
          <w:szCs w:val="22"/>
        </w:rPr>
        <w:t xml:space="preserve">eimbursement </w:t>
      </w:r>
      <w:r>
        <w:rPr>
          <w:szCs w:val="22"/>
        </w:rPr>
        <w:t>p</w:t>
      </w:r>
      <w:r w:rsidRPr="005E4459">
        <w:rPr>
          <w:szCs w:val="22"/>
        </w:rPr>
        <w:t xml:space="preserve">eriod, </w:t>
      </w:r>
      <w:r>
        <w:rPr>
          <w:szCs w:val="22"/>
        </w:rPr>
        <w:t>e</w:t>
      </w:r>
      <w:r w:rsidRPr="005E4459">
        <w:rPr>
          <w:szCs w:val="22"/>
        </w:rPr>
        <w:t>ntities will provide information regarding their actual and remaining estimated costs and will be issued a final allocation, if appropriate, to cover the remainder of their eligible costs.</w:t>
      </w:r>
      <w:r>
        <w:rPr>
          <w:szCs w:val="22"/>
        </w:rPr>
        <w:t xml:space="preserve">  </w:t>
      </w:r>
      <w:r w:rsidRPr="005C4E9D">
        <w:rPr>
          <w:rFonts w:eastAsiaTheme="minorHAnsi"/>
          <w:szCs w:val="24"/>
        </w:rPr>
        <w:t xml:space="preserve">The </w:t>
      </w:r>
      <w:r>
        <w:rPr>
          <w:rFonts w:eastAsiaTheme="minorHAnsi"/>
          <w:szCs w:val="24"/>
        </w:rPr>
        <w:t>Commission h</w:t>
      </w:r>
      <w:r w:rsidRPr="005C4E9D">
        <w:rPr>
          <w:rFonts w:eastAsiaTheme="minorHAnsi"/>
          <w:szCs w:val="24"/>
        </w:rPr>
        <w:t xml:space="preserve">as engaged </w:t>
      </w:r>
      <w:r>
        <w:rPr>
          <w:rFonts w:eastAsiaTheme="minorHAnsi"/>
          <w:szCs w:val="24"/>
        </w:rPr>
        <w:t xml:space="preserve">an independent consulting firm, </w:t>
      </w:r>
      <w:r w:rsidRPr="007C2B9D">
        <w:rPr>
          <w:rFonts w:eastAsiaTheme="minorHAnsi"/>
          <w:szCs w:val="24"/>
        </w:rPr>
        <w:t>Ernst &amp; Young,</w:t>
      </w:r>
      <w:r>
        <w:rPr>
          <w:rFonts w:eastAsiaTheme="minorHAnsi"/>
          <w:szCs w:val="24"/>
        </w:rPr>
        <w:t xml:space="preserve"> </w:t>
      </w:r>
      <w:r w:rsidRPr="005C4E9D">
        <w:rPr>
          <w:rFonts w:eastAsiaTheme="minorHAnsi"/>
          <w:szCs w:val="24"/>
        </w:rPr>
        <w:t xml:space="preserve">to assist in administering the </w:t>
      </w:r>
      <w:r>
        <w:rPr>
          <w:rFonts w:eastAsiaTheme="minorHAnsi"/>
          <w:szCs w:val="24"/>
        </w:rPr>
        <w:t>TV Broadcaster Relocation Fund</w:t>
      </w:r>
      <w:r w:rsidRPr="005C4E9D">
        <w:rPr>
          <w:rFonts w:eastAsiaTheme="minorHAnsi"/>
          <w:szCs w:val="24"/>
        </w:rPr>
        <w:t>.</w:t>
      </w:r>
    </w:p>
    <w:p w:rsidR="00097660" w:rsidRPr="00F7596D" w:rsidRDefault="00097660" w:rsidP="00097660">
      <w:pPr>
        <w:pStyle w:val="ListParagraph"/>
        <w:jc w:val="both"/>
        <w:rPr>
          <w:szCs w:val="24"/>
        </w:rPr>
      </w:pPr>
    </w:p>
    <w:p w:rsidR="00097660" w:rsidRPr="00F7596D" w:rsidRDefault="00097660" w:rsidP="00CD6159">
      <w:pPr>
        <w:pStyle w:val="ListParagraph"/>
        <w:numPr>
          <w:ilvl w:val="0"/>
          <w:numId w:val="21"/>
        </w:numPr>
        <w:jc w:val="both"/>
        <w:rPr>
          <w:szCs w:val="24"/>
        </w:rPr>
      </w:pPr>
      <w:r>
        <w:rPr>
          <w:rFonts w:eastAsiaTheme="minorHAnsi"/>
          <w:szCs w:val="24"/>
        </w:rPr>
        <w:t xml:space="preserve">Displaced LPTV </w:t>
      </w:r>
      <w:r w:rsidR="00E172F6">
        <w:rPr>
          <w:rFonts w:eastAsiaTheme="minorHAnsi"/>
          <w:szCs w:val="24"/>
        </w:rPr>
        <w:t xml:space="preserve">(Low Powered Television) </w:t>
      </w:r>
      <w:r>
        <w:rPr>
          <w:rFonts w:eastAsiaTheme="minorHAnsi"/>
          <w:szCs w:val="24"/>
        </w:rPr>
        <w:t xml:space="preserve">and TV Translators – </w:t>
      </w:r>
      <w:r>
        <w:rPr>
          <w:szCs w:val="24"/>
        </w:rPr>
        <w:t>After l</w:t>
      </w:r>
      <w:r w:rsidRPr="007B1750">
        <w:rPr>
          <w:rFonts w:eastAsiaTheme="minorHAnsi"/>
          <w:szCs w:val="24"/>
        </w:rPr>
        <w:t xml:space="preserve">icensing for </w:t>
      </w:r>
      <w:r>
        <w:rPr>
          <w:rFonts w:eastAsiaTheme="minorHAnsi"/>
          <w:szCs w:val="24"/>
        </w:rPr>
        <w:t>full power and Class A b</w:t>
      </w:r>
      <w:r w:rsidRPr="007B1750">
        <w:rPr>
          <w:rFonts w:eastAsiaTheme="minorHAnsi"/>
          <w:szCs w:val="24"/>
        </w:rPr>
        <w:t xml:space="preserve">roadcasters </w:t>
      </w:r>
      <w:r>
        <w:rPr>
          <w:rFonts w:eastAsiaTheme="minorHAnsi"/>
          <w:szCs w:val="24"/>
        </w:rPr>
        <w:t>b</w:t>
      </w:r>
      <w:r w:rsidRPr="007B1750">
        <w:rPr>
          <w:rFonts w:eastAsiaTheme="minorHAnsi"/>
          <w:szCs w:val="24"/>
        </w:rPr>
        <w:t xml:space="preserve">eing </w:t>
      </w:r>
      <w:r>
        <w:rPr>
          <w:rFonts w:eastAsiaTheme="minorHAnsi"/>
          <w:szCs w:val="24"/>
        </w:rPr>
        <w:t>r</w:t>
      </w:r>
      <w:r w:rsidRPr="007B1750">
        <w:rPr>
          <w:rFonts w:eastAsiaTheme="minorHAnsi"/>
          <w:szCs w:val="24"/>
        </w:rPr>
        <w:t>elocated</w:t>
      </w:r>
      <w:r>
        <w:rPr>
          <w:rFonts w:eastAsiaTheme="minorHAnsi"/>
          <w:szCs w:val="24"/>
        </w:rPr>
        <w:t xml:space="preserve"> in t</w:t>
      </w:r>
      <w:r>
        <w:rPr>
          <w:szCs w:val="24"/>
        </w:rPr>
        <w:t>he three filing periods described above is substantially complete, the Commission will open a special filing window for operating LPTV and TV translator stations that are displaced by the reallocation of the television bands and the repacking.  The displacement window is anticipated to open approximately seven to nine months after release of the Closing and Channel Reassignment Public Notice.  Processing of applications is anticipated to take nine to twelve months.  If a</w:t>
      </w:r>
      <w:r>
        <w:t>pplications filed during the window are mutually exclusive, certain priorities apply and applicants will be provided an opportunity to resolve remaining issues through settlement or technical solution.  If they are unable to do so</w:t>
      </w:r>
      <w:r w:rsidR="007F7325">
        <w:t>,</w:t>
      </w:r>
      <w:r>
        <w:t xml:space="preserve"> they</w:t>
      </w:r>
      <w:r w:rsidRPr="00B22690">
        <w:t xml:space="preserve"> will be resolved </w:t>
      </w:r>
      <w:r>
        <w:t>pursuant to the Commission’s</w:t>
      </w:r>
      <w:r w:rsidRPr="00B22690">
        <w:t xml:space="preserve"> competitive bidding </w:t>
      </w:r>
      <w:r w:rsidRPr="00F7596D">
        <w:t>rules.</w:t>
      </w:r>
    </w:p>
    <w:p w:rsidR="00097660" w:rsidRPr="00F7596D" w:rsidRDefault="00097660" w:rsidP="00097660">
      <w:pPr>
        <w:pStyle w:val="ListParagraph"/>
        <w:rPr>
          <w:szCs w:val="24"/>
        </w:rPr>
      </w:pPr>
    </w:p>
    <w:p w:rsidR="00097660" w:rsidRPr="00F7596D" w:rsidRDefault="00097660" w:rsidP="00CD6159">
      <w:pPr>
        <w:pStyle w:val="ListParagraph"/>
        <w:numPr>
          <w:ilvl w:val="0"/>
          <w:numId w:val="21"/>
        </w:numPr>
        <w:jc w:val="both"/>
        <w:rPr>
          <w:szCs w:val="24"/>
        </w:rPr>
      </w:pPr>
      <w:r w:rsidRPr="00F7596D">
        <w:rPr>
          <w:szCs w:val="24"/>
        </w:rPr>
        <w:t>Stakeholder Outreach – To minimize disruptions and ensure an orderly transition, the Commission will conduct necessary stakeholder and consumer communications, education, and outreach. These efforts include developing training materials for broadcast stations, MVPDs, wireless microphone operators, and unlicensed users affected by the transition, as well as consumer outreach efforts geared toward reaching affected Americans where they live and work.  The Commission will also maintain a comprehensive website to serve as a single point of reference for all transition-related information.</w:t>
      </w:r>
    </w:p>
    <w:p w:rsidR="00097660" w:rsidRPr="00BC229D" w:rsidRDefault="00097660" w:rsidP="00097660">
      <w:pPr>
        <w:spacing w:after="0" w:line="240" w:lineRule="auto"/>
        <w:jc w:val="both"/>
        <w:rPr>
          <w:rFonts w:ascii="Times New Roman" w:eastAsia="Times New Roman" w:hAnsi="Times New Roman"/>
          <w:sz w:val="24"/>
          <w:szCs w:val="24"/>
        </w:rPr>
      </w:pPr>
    </w:p>
    <w:p w:rsidR="00097660" w:rsidRPr="007F7325" w:rsidRDefault="00097660" w:rsidP="00097660">
      <w:pPr>
        <w:pStyle w:val="NormalWeb"/>
        <w:spacing w:before="0" w:beforeAutospacing="0" w:after="0" w:afterAutospacing="0"/>
        <w:jc w:val="both"/>
        <w:rPr>
          <w:i/>
          <w:u w:val="single"/>
        </w:rPr>
      </w:pPr>
      <w:r w:rsidRPr="007F7325">
        <w:rPr>
          <w:i/>
          <w:u w:val="single"/>
        </w:rPr>
        <w:t>Spectrum Pipeline Act of 2015 and other Auction Program Improvements</w:t>
      </w:r>
    </w:p>
    <w:p w:rsidR="00097660" w:rsidRDefault="00097660" w:rsidP="00097660">
      <w:pPr>
        <w:pStyle w:val="NormalWeb"/>
        <w:spacing w:before="0" w:beforeAutospacing="0" w:after="0" w:afterAutospacing="0"/>
        <w:jc w:val="both"/>
      </w:pPr>
    </w:p>
    <w:p w:rsidR="00097660" w:rsidRDefault="00097660" w:rsidP="00097660">
      <w:pPr>
        <w:pStyle w:val="NormalWeb"/>
        <w:spacing w:before="0" w:beforeAutospacing="0" w:after="0" w:afterAutospacing="0"/>
        <w:jc w:val="both"/>
      </w:pPr>
      <w:r w:rsidRPr="00BC229D">
        <w:t xml:space="preserve">The </w:t>
      </w:r>
      <w:r>
        <w:t xml:space="preserve">Spectrum Pipeline </w:t>
      </w:r>
      <w:r w:rsidRPr="00BC229D">
        <w:t xml:space="preserve">Act </w:t>
      </w:r>
      <w:r>
        <w:t xml:space="preserve">of 2015 (Act) </w:t>
      </w:r>
      <w:r w:rsidRPr="00BC229D">
        <w:t xml:space="preserve">requires the </w:t>
      </w:r>
      <w:r>
        <w:t>Commission</w:t>
      </w:r>
      <w:r w:rsidRPr="00BC229D">
        <w:t xml:space="preserve"> to auction 30 megahertz of spectrum identified by the Secretary of Commerce for reallocation from Federal use to non-Federal use, shared use, or a combination</w:t>
      </w:r>
      <w:r>
        <w:t xml:space="preserve"> thereof</w:t>
      </w:r>
      <w:r w:rsidRPr="00BC229D">
        <w:t>.  The Act also appropriates funds from the Spectrum Relocation Fund to support activities by Federal entities to improve the efficiency and effectiveness of Federal use of spectrum in order to make Federal spectrum available for non-Federal use, shared use, or a combination</w:t>
      </w:r>
      <w:r>
        <w:t xml:space="preserve"> thereof</w:t>
      </w:r>
      <w:r w:rsidRPr="00BC229D">
        <w:t xml:space="preserve">, and requires the FCC, as part of its role on the Technical Panel, to review Federal entities’ proposals for funds for these purposes.  Additionally, the Act also requires the Commission to submit four separate reports to Congress.  By November 2018, the Commission must submit a report </w:t>
      </w:r>
      <w:r>
        <w:t>with</w:t>
      </w:r>
      <w:r w:rsidRPr="00BC229D">
        <w:t xml:space="preserve"> an analysis of its new rules for the innovative Citizens Broadband Radio Service in the 3550-3650 MHz band, and a report analyzing proposals to promote and identify additional bands that can be shared and identify at least 1 gigahertz of spectrum between 6 GHz and 57 GHz for such use.  By January 1, 2022, the Commission must submit a report, in coordination with the Assistant Secretary of Commerce for Communications and Information</w:t>
      </w:r>
      <w:r>
        <w:t>,</w:t>
      </w:r>
      <w:r w:rsidRPr="00BC229D">
        <w:t xml:space="preserve"> </w:t>
      </w:r>
      <w:r>
        <w:t xml:space="preserve">which </w:t>
      </w:r>
      <w:r w:rsidRPr="00BC229D">
        <w:t>identifies at least 50 megahertz of spectrum below 6 GHz</w:t>
      </w:r>
      <w:r>
        <w:t xml:space="preserve"> for potential auction</w:t>
      </w:r>
      <w:r w:rsidRPr="00BC229D">
        <w:t>.  Finally, by January 2, 2024, the Commission must submit a report, in coordination with the Assistant Secretary of Commerce for Communications and Information</w:t>
      </w:r>
      <w:r>
        <w:t>,</w:t>
      </w:r>
      <w:r w:rsidRPr="00BC229D">
        <w:t xml:space="preserve"> </w:t>
      </w:r>
      <w:r>
        <w:t xml:space="preserve">which </w:t>
      </w:r>
      <w:r w:rsidRPr="00BC229D">
        <w:t>identifies at least an additional 50 megahertz of additional spectrum below 6 gigahertz</w:t>
      </w:r>
      <w:r>
        <w:t xml:space="preserve"> for potential auction</w:t>
      </w:r>
      <w:r w:rsidRPr="00BC229D">
        <w:t xml:space="preserve">.  Both of these latter two reports must contain an assessment of the Federal operations in such spectrum, an estimated timeline for the competitive bidding process, and a proposed plan for balance between unlicensed and licensed use. </w:t>
      </w:r>
    </w:p>
    <w:p w:rsidR="00097660" w:rsidRDefault="00097660" w:rsidP="00097660">
      <w:pPr>
        <w:pStyle w:val="NormalWeb"/>
        <w:spacing w:before="0" w:beforeAutospacing="0" w:after="0" w:afterAutospacing="0"/>
        <w:jc w:val="both"/>
      </w:pPr>
    </w:p>
    <w:p w:rsidR="00097660" w:rsidRPr="00F7596D" w:rsidRDefault="00097660" w:rsidP="00097660">
      <w:pPr>
        <w:pStyle w:val="NormalWeb"/>
        <w:spacing w:before="0" w:beforeAutospacing="0" w:after="0" w:afterAutospacing="0"/>
        <w:jc w:val="both"/>
      </w:pPr>
      <w:r w:rsidRPr="00823899">
        <w:t>To fulfill these statutory requirements and enhance the Commission’s ability to execute upcoming auctions, auctions funding will be used for the following:</w:t>
      </w:r>
    </w:p>
    <w:p w:rsidR="00097660" w:rsidRPr="00F7596D" w:rsidRDefault="00097660" w:rsidP="00CD6159">
      <w:pPr>
        <w:pStyle w:val="ListParagraph"/>
        <w:numPr>
          <w:ilvl w:val="0"/>
          <w:numId w:val="20"/>
        </w:numPr>
        <w:spacing w:before="100" w:beforeAutospacing="1" w:after="100" w:afterAutospacing="1"/>
        <w:jc w:val="both"/>
        <w:rPr>
          <w:szCs w:val="24"/>
        </w:rPr>
      </w:pPr>
      <w:r w:rsidRPr="00F7596D">
        <w:rPr>
          <w:szCs w:val="24"/>
        </w:rPr>
        <w:t>Auctions Systems Replacement – The replacement of 10-year-old old backend database and software components that support the auction application set-up and management. Modernization of this system is critical to conform to current best practices, allow for modular builds, communicate with auction bidding systems and other Commission databases, and enable greater flexibility for future auction development.  This modernization will support all future auctions.</w:t>
      </w:r>
    </w:p>
    <w:p w:rsidR="00097660" w:rsidRPr="00F7596D" w:rsidRDefault="00097660" w:rsidP="00097660">
      <w:pPr>
        <w:pStyle w:val="ListParagraph"/>
        <w:spacing w:before="100" w:beforeAutospacing="1" w:after="100" w:afterAutospacing="1"/>
        <w:jc w:val="both"/>
        <w:rPr>
          <w:szCs w:val="24"/>
        </w:rPr>
      </w:pPr>
    </w:p>
    <w:p w:rsidR="00097660" w:rsidRPr="00F7596D" w:rsidRDefault="00097660" w:rsidP="00CD6159">
      <w:pPr>
        <w:pStyle w:val="ListParagraph"/>
        <w:numPr>
          <w:ilvl w:val="0"/>
          <w:numId w:val="20"/>
        </w:numPr>
        <w:spacing w:before="100" w:beforeAutospacing="1" w:after="100" w:afterAutospacing="1"/>
        <w:jc w:val="both"/>
        <w:rPr>
          <w:szCs w:val="24"/>
        </w:rPr>
      </w:pPr>
      <w:r w:rsidRPr="00F7596D">
        <w:rPr>
          <w:szCs w:val="24"/>
        </w:rPr>
        <w:t>3.5 GHz Auction Development and Implementation – These auctions will have a unique set of requirements, which includes auctioning more than 500,000 licenses every three years, at a minimum.</w:t>
      </w:r>
    </w:p>
    <w:p w:rsidR="00097660" w:rsidRPr="00F7596D" w:rsidRDefault="00097660" w:rsidP="00097660">
      <w:pPr>
        <w:pStyle w:val="ListParagraph"/>
        <w:spacing w:before="100" w:beforeAutospacing="1" w:after="100" w:afterAutospacing="1"/>
        <w:jc w:val="both"/>
        <w:rPr>
          <w:szCs w:val="24"/>
        </w:rPr>
      </w:pPr>
    </w:p>
    <w:p w:rsidR="00097660" w:rsidRPr="00F7596D" w:rsidRDefault="00097660" w:rsidP="00CD6159">
      <w:pPr>
        <w:pStyle w:val="ListParagraph"/>
        <w:numPr>
          <w:ilvl w:val="0"/>
          <w:numId w:val="20"/>
        </w:numPr>
        <w:spacing w:before="100" w:beforeAutospacing="1" w:after="100" w:afterAutospacing="1"/>
        <w:jc w:val="both"/>
        <w:rPr>
          <w:szCs w:val="24"/>
        </w:rPr>
      </w:pPr>
      <w:r w:rsidRPr="00F7596D">
        <w:rPr>
          <w:szCs w:val="24"/>
        </w:rPr>
        <w:t>Other Auction Development and Implementation – The Commission needs to make additional changes to the auction bidding system for other planned auctions that include an AWS-3 re-auction, millimeter wave auction(s), FM Auction 83, and FM Translators.</w:t>
      </w:r>
    </w:p>
    <w:p w:rsidR="00097660" w:rsidRPr="00F7596D" w:rsidRDefault="00097660" w:rsidP="00097660">
      <w:pPr>
        <w:pStyle w:val="ListParagraph"/>
        <w:spacing w:before="100" w:beforeAutospacing="1" w:after="100" w:afterAutospacing="1"/>
        <w:jc w:val="both"/>
        <w:rPr>
          <w:szCs w:val="24"/>
        </w:rPr>
      </w:pPr>
    </w:p>
    <w:p w:rsidR="00097660" w:rsidRPr="00F7596D" w:rsidRDefault="00097660" w:rsidP="00CD6159">
      <w:pPr>
        <w:pStyle w:val="ListParagraph"/>
        <w:numPr>
          <w:ilvl w:val="0"/>
          <w:numId w:val="20"/>
        </w:numPr>
        <w:spacing w:before="100" w:beforeAutospacing="1" w:after="100" w:afterAutospacing="1"/>
        <w:jc w:val="both"/>
        <w:rPr>
          <w:szCs w:val="24"/>
        </w:rPr>
      </w:pPr>
      <w:r w:rsidRPr="00F7596D">
        <w:rPr>
          <w:szCs w:val="24"/>
        </w:rPr>
        <w:t xml:space="preserve">Auction Security Enhancements – As recent news headlines have emphasized, the threat of cyber-attacks and security vulnerabilities are very real, and the Commission takes these threats and vulnerabilities very seriously.  The </w:t>
      </w:r>
      <w:r w:rsidRPr="00F7596D">
        <w:t xml:space="preserve">FCC will proactively engage security engineers and architects to ensure the modernization of systems in the cloud are secure and adhere to Federal mandates and regulations to include two factor authentication.  </w:t>
      </w:r>
      <w:r w:rsidRPr="00F7596D">
        <w:rPr>
          <w:szCs w:val="24"/>
        </w:rPr>
        <w:t>Making FCC auction systems resilient to cyber-attacks and mitigating security vulnerabilities will be a critical part of these efforts.</w:t>
      </w:r>
    </w:p>
    <w:p w:rsidR="00097660" w:rsidRPr="00F7596D" w:rsidRDefault="00097660" w:rsidP="00097660">
      <w:pPr>
        <w:pStyle w:val="ListParagraph"/>
        <w:spacing w:before="100" w:beforeAutospacing="1" w:after="100" w:afterAutospacing="1"/>
        <w:jc w:val="both"/>
        <w:rPr>
          <w:szCs w:val="24"/>
        </w:rPr>
      </w:pPr>
      <w:r w:rsidRPr="00F7596D">
        <w:rPr>
          <w:szCs w:val="24"/>
        </w:rPr>
        <w:t xml:space="preserve"> </w:t>
      </w:r>
    </w:p>
    <w:p w:rsidR="00097660" w:rsidRPr="00F7596D" w:rsidRDefault="00097660" w:rsidP="00CD6159">
      <w:pPr>
        <w:pStyle w:val="ListParagraph"/>
        <w:numPr>
          <w:ilvl w:val="0"/>
          <w:numId w:val="20"/>
        </w:numPr>
        <w:spacing w:before="100" w:beforeAutospacing="1" w:after="100" w:afterAutospacing="1"/>
        <w:jc w:val="both"/>
        <w:rPr>
          <w:szCs w:val="24"/>
        </w:rPr>
      </w:pPr>
      <w:r w:rsidRPr="00F7596D">
        <w:rPr>
          <w:szCs w:val="24"/>
        </w:rPr>
        <w:t xml:space="preserve">SAS/ESC Testing for 3.5 GHz and Beyond – </w:t>
      </w:r>
      <w:r w:rsidRPr="00F7596D">
        <w:t>The Spectrum Access System (SAS)/Environmental Sensing Capability (ESC) are necessary components to share additional spectrum, and are necessary to protect incumbent Federal operations.  These systems will first be launched for the 3.5 GHz band, and may have additional applications in the future.  Because the systems will work as a dynamic frequency coordinator for millions of devices, we need to ensure they operate properly and consistently with our rules prior to approval.</w:t>
      </w:r>
    </w:p>
    <w:p w:rsidR="00097660" w:rsidRPr="00F7596D" w:rsidRDefault="00097660" w:rsidP="00097660">
      <w:pPr>
        <w:pStyle w:val="ListParagraph"/>
        <w:spacing w:before="100" w:beforeAutospacing="1" w:after="100" w:afterAutospacing="1"/>
        <w:jc w:val="both"/>
        <w:rPr>
          <w:szCs w:val="24"/>
        </w:rPr>
      </w:pPr>
    </w:p>
    <w:p w:rsidR="00097660" w:rsidRPr="00F7596D" w:rsidRDefault="00097660" w:rsidP="00CD6159">
      <w:pPr>
        <w:pStyle w:val="ListParagraph"/>
        <w:numPr>
          <w:ilvl w:val="0"/>
          <w:numId w:val="20"/>
        </w:numPr>
        <w:spacing w:before="100" w:beforeAutospacing="1" w:after="100" w:afterAutospacing="1"/>
        <w:jc w:val="both"/>
        <w:rPr>
          <w:szCs w:val="24"/>
        </w:rPr>
      </w:pPr>
      <w:r w:rsidRPr="00F7596D">
        <w:rPr>
          <w:szCs w:val="24"/>
        </w:rPr>
        <w:t xml:space="preserve">Optimization for New Spectrum Opportunities – </w:t>
      </w:r>
      <w:r w:rsidRPr="00F7596D">
        <w:t>The optimization team will help us analyze and study options for making new spectrum available, including through sharing scenarios, to ensure we are maximizing the amount of useful commercial spectrum.  They will develop optimal band plans accommodating incumbent uses and demonstrate the value of additional clearing or sharing as necessary.</w:t>
      </w:r>
    </w:p>
    <w:p w:rsidR="00097660" w:rsidRPr="00F7596D" w:rsidRDefault="00097660" w:rsidP="00097660">
      <w:pPr>
        <w:pStyle w:val="ListParagraph"/>
        <w:spacing w:before="100" w:beforeAutospacing="1" w:after="100" w:afterAutospacing="1"/>
        <w:jc w:val="both"/>
        <w:rPr>
          <w:szCs w:val="24"/>
        </w:rPr>
      </w:pPr>
    </w:p>
    <w:p w:rsidR="00097660" w:rsidRPr="00F7596D" w:rsidRDefault="007F7325" w:rsidP="00CD6159">
      <w:pPr>
        <w:pStyle w:val="ListParagraph"/>
        <w:numPr>
          <w:ilvl w:val="0"/>
          <w:numId w:val="20"/>
        </w:numPr>
        <w:spacing w:before="100" w:beforeAutospacing="1" w:after="100" w:afterAutospacing="1"/>
        <w:jc w:val="both"/>
        <w:rPr>
          <w:szCs w:val="24"/>
        </w:rPr>
      </w:pPr>
      <w:r>
        <w:rPr>
          <w:szCs w:val="24"/>
        </w:rPr>
        <w:t>Spectrum Visualization Tools –</w:t>
      </w:r>
      <w:r w:rsidR="00097660" w:rsidRPr="00F7596D">
        <w:rPr>
          <w:szCs w:val="24"/>
        </w:rPr>
        <w:t xml:space="preserve"> Public Facing and Internal –</w:t>
      </w:r>
      <w:r w:rsidR="00097660" w:rsidRPr="00F7596D">
        <w:t xml:space="preserve"> The public has a significant interest in understanding who has the rights to different spectrum bands at different locations, and desires the ability to manipulate and analyze this data.  Federal agencies would also benefit from this information as they consider sharing/relocation options.  Additionally, it is critical for internal teams to have robust data, including mapping, to understand coverage and operations across the country.</w:t>
      </w:r>
    </w:p>
    <w:p w:rsidR="00097660" w:rsidRPr="00F7596D" w:rsidRDefault="00097660" w:rsidP="00097660">
      <w:pPr>
        <w:pStyle w:val="ListParagraph"/>
        <w:spacing w:before="100" w:beforeAutospacing="1" w:after="100" w:afterAutospacing="1"/>
        <w:jc w:val="both"/>
        <w:rPr>
          <w:szCs w:val="24"/>
        </w:rPr>
      </w:pPr>
    </w:p>
    <w:p w:rsidR="00097660" w:rsidRPr="00F7596D" w:rsidRDefault="00097660" w:rsidP="00CD6159">
      <w:pPr>
        <w:pStyle w:val="ListParagraph"/>
        <w:numPr>
          <w:ilvl w:val="0"/>
          <w:numId w:val="20"/>
        </w:numPr>
        <w:spacing w:before="100" w:beforeAutospacing="1" w:after="100" w:afterAutospacing="1"/>
        <w:jc w:val="both"/>
        <w:rPr>
          <w:szCs w:val="24"/>
        </w:rPr>
      </w:pPr>
      <w:r w:rsidRPr="00F7596D">
        <w:rPr>
          <w:szCs w:val="24"/>
        </w:rPr>
        <w:t xml:space="preserve">Integrated Spectrum Auctions System (ISAS) Enhancement/Modifications – </w:t>
      </w:r>
      <w:r w:rsidRPr="00F7596D">
        <w:t>It is necessary to modify the application forms for participation in each auction in response to the auction’s unique requirements.  This work will provide additional modernization of the primary auctions application via the ability to customize the form to support each auction.</w:t>
      </w:r>
    </w:p>
    <w:p w:rsidR="00097660" w:rsidRPr="00F7596D" w:rsidRDefault="00097660" w:rsidP="00097660">
      <w:pPr>
        <w:pStyle w:val="ListParagraph"/>
        <w:rPr>
          <w:szCs w:val="24"/>
        </w:rPr>
      </w:pPr>
    </w:p>
    <w:p w:rsidR="00097660" w:rsidRPr="00874F25" w:rsidRDefault="00097660" w:rsidP="0054408B">
      <w:pPr>
        <w:pStyle w:val="ListParagraph"/>
        <w:numPr>
          <w:ilvl w:val="0"/>
          <w:numId w:val="20"/>
        </w:numPr>
        <w:spacing w:before="100" w:beforeAutospacing="1"/>
        <w:jc w:val="both"/>
        <w:rPr>
          <w:szCs w:val="24"/>
        </w:rPr>
      </w:pPr>
      <w:r w:rsidRPr="00F7596D">
        <w:rPr>
          <w:szCs w:val="24"/>
        </w:rPr>
        <w:t xml:space="preserve">Auction Warehouse – The Commission will create a </w:t>
      </w:r>
      <w:r w:rsidRPr="00F7596D">
        <w:t xml:space="preserve">persistent data warehouse where it will host the vast amounts of data generated from each auction.  Keeping the data over </w:t>
      </w:r>
      <w:r w:rsidRPr="00874F25">
        <w:t>time will help as both a reference and a tool to continue to improve the auctions and bidding systems.</w:t>
      </w:r>
    </w:p>
    <w:p w:rsidR="00097660" w:rsidRPr="00BC229D" w:rsidRDefault="00097660" w:rsidP="00097660">
      <w:pPr>
        <w:pStyle w:val="NormalWeb"/>
        <w:spacing w:before="0" w:beforeAutospacing="0" w:after="0" w:afterAutospacing="0"/>
        <w:jc w:val="both"/>
      </w:pPr>
    </w:p>
    <w:p w:rsidR="00E307DB" w:rsidRDefault="00097660" w:rsidP="00097660">
      <w:pPr>
        <w:spacing w:after="0" w:line="240" w:lineRule="auto"/>
        <w:jc w:val="both"/>
        <w:rPr>
          <w:rFonts w:ascii="Times New Roman" w:eastAsia="Times New Roman" w:hAnsi="Times New Roman"/>
          <w:spacing w:val="-2"/>
          <w:sz w:val="24"/>
          <w:szCs w:val="24"/>
        </w:rPr>
      </w:pPr>
      <w:r w:rsidRPr="00DE0CE1">
        <w:rPr>
          <w:rFonts w:ascii="Times New Roman" w:eastAsia="Times New Roman" w:hAnsi="Times New Roman"/>
          <w:spacing w:val="-2"/>
          <w:sz w:val="24"/>
          <w:szCs w:val="24"/>
        </w:rPr>
        <w:t xml:space="preserve">The </w:t>
      </w:r>
      <w:r w:rsidRPr="0055050C">
        <w:rPr>
          <w:rFonts w:ascii="Times New Roman" w:eastAsia="Times New Roman" w:hAnsi="Times New Roman"/>
          <w:spacing w:val="-2"/>
          <w:sz w:val="24"/>
          <w:szCs w:val="24"/>
        </w:rPr>
        <w:t>Balanced Budget Act of 1997</w:t>
      </w:r>
      <w:r w:rsidRPr="00DE0CE1">
        <w:rPr>
          <w:rFonts w:ascii="Times New Roman" w:eastAsia="Times New Roman" w:hAnsi="Times New Roman"/>
          <w:spacing w:val="-2"/>
          <w:sz w:val="24"/>
          <w:szCs w:val="24"/>
        </w:rPr>
        <w:t xml:space="preserve">, P.L. 105-33, required that the Commission provide to authorizing committees a detailed report of obligations in support of the auctions program for each fiscal year of operation, as a prerequisite to the continued use of auctions receipts for the costs of all auctions activities. </w:t>
      </w:r>
      <w:r>
        <w:rPr>
          <w:rFonts w:ascii="Times New Roman" w:eastAsia="Times New Roman" w:hAnsi="Times New Roman"/>
          <w:spacing w:val="-2"/>
          <w:sz w:val="24"/>
          <w:szCs w:val="24"/>
        </w:rPr>
        <w:t xml:space="preserve"> As required by the law, each year the FCC provides the spectrum auctions expenditures report for the preceding fiscal year to Congress by the statutory deadline of September 30 of the following fiscal year.  The following table shows available auction cash for the respective fiscal years. </w:t>
      </w:r>
      <w:r w:rsidR="00E307DB">
        <w:rPr>
          <w:rFonts w:ascii="Times New Roman" w:eastAsia="Times New Roman" w:hAnsi="Times New Roman"/>
          <w:spacing w:val="-2"/>
          <w:sz w:val="24"/>
          <w:szCs w:val="24"/>
        </w:rPr>
        <w:t xml:space="preserve"> </w:t>
      </w:r>
    </w:p>
    <w:p w:rsidR="00E307DB" w:rsidRDefault="00E307DB" w:rsidP="00E307DB">
      <w:pPr>
        <w:spacing w:after="0" w:line="240" w:lineRule="auto"/>
        <w:jc w:val="both"/>
        <w:rPr>
          <w:rFonts w:ascii="Times New Roman" w:eastAsia="Times New Roman" w:hAnsi="Times New Roman"/>
          <w:spacing w:val="-2"/>
          <w:sz w:val="24"/>
          <w:szCs w:val="24"/>
        </w:rPr>
      </w:pPr>
    </w:p>
    <w:p w:rsidR="00E307DB" w:rsidRDefault="00E307DB" w:rsidP="00E307DB">
      <w:pPr>
        <w:spacing w:after="0" w:line="240" w:lineRule="auto"/>
        <w:jc w:val="both"/>
        <w:rPr>
          <w:rFonts w:ascii="Times New Roman" w:eastAsia="Times New Roman" w:hAnsi="Times New Roman"/>
          <w:spacing w:val="-2"/>
          <w:sz w:val="24"/>
          <w:szCs w:val="24"/>
        </w:rPr>
      </w:pPr>
    </w:p>
    <w:p w:rsidR="00E307DB" w:rsidRPr="007F7325" w:rsidRDefault="00E307DB" w:rsidP="00E307DB">
      <w:pPr>
        <w:pStyle w:val="Heading2"/>
        <w:rPr>
          <w:noProof/>
          <w:sz w:val="28"/>
          <w:szCs w:val="28"/>
        </w:rPr>
      </w:pPr>
      <w:bookmarkStart w:id="35" w:name="_Toc483207974"/>
      <w:r w:rsidRPr="007F7325">
        <w:rPr>
          <w:noProof/>
          <w:sz w:val="28"/>
          <w:szCs w:val="28"/>
        </w:rPr>
        <w:t>Spectrum Auctions Activities</w:t>
      </w:r>
      <w:bookmarkEnd w:id="35"/>
    </w:p>
    <w:p w:rsidR="00E307DB" w:rsidRPr="00301C03" w:rsidRDefault="001E5894" w:rsidP="00E307DB">
      <w:pPr>
        <w:spacing w:after="0" w:line="240" w:lineRule="auto"/>
        <w:jc w:val="center"/>
        <w:rPr>
          <w:rFonts w:ascii="Times New Roman" w:hAnsi="Times New Roman"/>
          <w:sz w:val="24"/>
          <w:szCs w:val="24"/>
        </w:rPr>
      </w:pPr>
      <w:r w:rsidRPr="001E5894">
        <w:rPr>
          <w:noProof/>
        </w:rPr>
        <w:drawing>
          <wp:inline distT="0" distB="0" distL="0" distR="0" wp14:anchorId="2441ADA2" wp14:editId="06AEDD99">
            <wp:extent cx="6057900" cy="1998682"/>
            <wp:effectExtent l="0" t="0" r="0" b="1905"/>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7900" cy="1998682"/>
                    </a:xfrm>
                    <a:prstGeom prst="rect">
                      <a:avLst/>
                    </a:prstGeom>
                    <a:noFill/>
                    <a:ln>
                      <a:noFill/>
                    </a:ln>
                  </pic:spPr>
                </pic:pic>
              </a:graphicData>
            </a:graphic>
          </wp:inline>
        </w:drawing>
      </w:r>
    </w:p>
    <w:p w:rsidR="00E307DB" w:rsidRDefault="00E307DB"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sectPr w:rsidR="007F7325" w:rsidSect="00097660">
          <w:pgSz w:w="12240" w:h="15840" w:code="1"/>
          <w:pgMar w:top="1152" w:right="1350" w:bottom="1350" w:left="1440" w:header="720" w:footer="720" w:gutter="0"/>
          <w:cols w:space="720"/>
          <w:docGrid w:linePitch="326"/>
        </w:sectPr>
      </w:pPr>
    </w:p>
    <w:p w:rsidR="00E307DB" w:rsidRPr="00A664EC" w:rsidRDefault="00E307DB" w:rsidP="00E307DB">
      <w:pPr>
        <w:pStyle w:val="Heading2"/>
        <w:rPr>
          <w:noProof/>
          <w:sz w:val="28"/>
          <w:szCs w:val="28"/>
        </w:rPr>
      </w:pPr>
      <w:bookmarkStart w:id="36" w:name="_Toc483207975"/>
      <w:r w:rsidRPr="00A664EC">
        <w:rPr>
          <w:noProof/>
          <w:sz w:val="28"/>
          <w:szCs w:val="28"/>
        </w:rPr>
        <w:t>Summary of Dis</w:t>
      </w:r>
      <w:r w:rsidR="009E597B" w:rsidRPr="00A664EC">
        <w:rPr>
          <w:noProof/>
          <w:sz w:val="28"/>
          <w:szCs w:val="28"/>
        </w:rPr>
        <w:t>t</w:t>
      </w:r>
      <w:r w:rsidRPr="00A664EC">
        <w:rPr>
          <w:noProof/>
          <w:sz w:val="28"/>
          <w:szCs w:val="28"/>
        </w:rPr>
        <w:t>ribution of Resources - Spectrum Auctions Program</w:t>
      </w:r>
      <w:bookmarkEnd w:id="36"/>
    </w:p>
    <w:p w:rsidR="00E307DB" w:rsidRDefault="00E307DB" w:rsidP="00E307DB">
      <w:pPr>
        <w:pStyle w:val="NoSpacing"/>
      </w:pPr>
    </w:p>
    <w:p w:rsidR="00E307DB" w:rsidRPr="00B2473E" w:rsidRDefault="00E307DB" w:rsidP="00E307DB">
      <w:pPr>
        <w:pStyle w:val="NoSpacing"/>
        <w:jc w:val="center"/>
        <w:rPr>
          <w:rFonts w:ascii="Times New Roman" w:hAnsi="Times New Roman"/>
          <w:b/>
          <w:u w:val="single"/>
        </w:rPr>
      </w:pPr>
      <w:r w:rsidRPr="00B2473E">
        <w:rPr>
          <w:rFonts w:ascii="Times New Roman" w:hAnsi="Times New Roman"/>
          <w:b/>
          <w:u w:val="single"/>
        </w:rPr>
        <w:t>SPECTRUM AUCTIONS COST RECOVERY REIMBURSABLE AUTHORITY</w:t>
      </w:r>
    </w:p>
    <w:p w:rsidR="00E307DB" w:rsidRDefault="00E307DB" w:rsidP="00E307DB">
      <w:pPr>
        <w:pStyle w:val="NoSpacing"/>
        <w:jc w:val="center"/>
      </w:pPr>
      <w:r w:rsidRPr="00B2473E">
        <w:rPr>
          <w:rFonts w:ascii="Times New Roman" w:hAnsi="Times New Roman"/>
          <w:b/>
          <w:u w:val="single"/>
        </w:rPr>
        <w:t>INCLUDING OFFICE OF INSPECTOR GENERAL</w:t>
      </w:r>
    </w:p>
    <w:p w:rsidR="00E307DB" w:rsidRPr="00D941D5" w:rsidRDefault="00E307DB" w:rsidP="00E307DB">
      <w:pPr>
        <w:pStyle w:val="NoSpacing"/>
      </w:pPr>
    </w:p>
    <w:p w:rsidR="00E307DB" w:rsidRDefault="00052E62" w:rsidP="00E307DB">
      <w:pPr>
        <w:jc w:val="center"/>
        <w:rPr>
          <w:sz w:val="32"/>
          <w:szCs w:val="32"/>
        </w:rPr>
      </w:pPr>
      <w:r w:rsidRPr="00052E62">
        <w:rPr>
          <w:noProof/>
        </w:rPr>
        <w:drawing>
          <wp:inline distT="0" distB="0" distL="0" distR="0" wp14:anchorId="2892F000" wp14:editId="7AF26E74">
            <wp:extent cx="6000750" cy="4842104"/>
            <wp:effectExtent l="0" t="0" r="0"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0" cy="4842104"/>
                    </a:xfrm>
                    <a:prstGeom prst="rect">
                      <a:avLst/>
                    </a:prstGeom>
                    <a:noFill/>
                    <a:ln>
                      <a:noFill/>
                    </a:ln>
                  </pic:spPr>
                </pic:pic>
              </a:graphicData>
            </a:graphic>
          </wp:inline>
        </w:drawing>
      </w:r>
    </w:p>
    <w:p w:rsidR="00E307DB" w:rsidRPr="00406B38" w:rsidRDefault="00E307DB" w:rsidP="00E307DB">
      <w:pPr>
        <w:rPr>
          <w:color w:val="FF0000"/>
          <w:sz w:val="32"/>
          <w:szCs w:val="32"/>
        </w:rPr>
      </w:pPr>
    </w:p>
    <w:p w:rsidR="00406B38" w:rsidRPr="00406B38" w:rsidRDefault="00406B38" w:rsidP="00E307DB">
      <w:pPr>
        <w:rPr>
          <w:color w:val="FF0000"/>
          <w:sz w:val="24"/>
          <w:szCs w:val="24"/>
        </w:rPr>
        <w:sectPr w:rsidR="00406B38" w:rsidRPr="00406B38" w:rsidSect="00097660">
          <w:pgSz w:w="12240" w:h="15840" w:code="1"/>
          <w:pgMar w:top="1152" w:right="1350" w:bottom="1350" w:left="1440" w:header="720" w:footer="720" w:gutter="0"/>
          <w:cols w:space="720"/>
          <w:docGrid w:linePitch="326"/>
        </w:sectPr>
      </w:pPr>
    </w:p>
    <w:p w:rsidR="008E204F" w:rsidRPr="00A664EC" w:rsidRDefault="00EB694E" w:rsidP="000F0E73">
      <w:pPr>
        <w:pStyle w:val="Heading2"/>
        <w:rPr>
          <w:sz w:val="28"/>
          <w:szCs w:val="28"/>
        </w:rPr>
      </w:pPr>
      <w:bookmarkStart w:id="37" w:name="_Toc483207976"/>
      <w:r w:rsidRPr="00A664EC">
        <w:rPr>
          <w:sz w:val="28"/>
          <w:szCs w:val="28"/>
        </w:rPr>
        <w:t xml:space="preserve">Spectrum </w:t>
      </w:r>
      <w:r w:rsidR="008E204F" w:rsidRPr="00A664EC">
        <w:rPr>
          <w:sz w:val="28"/>
          <w:szCs w:val="28"/>
        </w:rPr>
        <w:t>Auction</w:t>
      </w:r>
      <w:r w:rsidR="00700AB8" w:rsidRPr="00A664EC">
        <w:rPr>
          <w:sz w:val="28"/>
          <w:szCs w:val="28"/>
        </w:rPr>
        <w:t>s</w:t>
      </w:r>
      <w:r w:rsidR="008E204F" w:rsidRPr="00A664EC">
        <w:rPr>
          <w:sz w:val="28"/>
          <w:szCs w:val="28"/>
        </w:rPr>
        <w:t xml:space="preserve"> Expenditure</w:t>
      </w:r>
      <w:r w:rsidR="000F0E73" w:rsidRPr="00A664EC">
        <w:rPr>
          <w:sz w:val="28"/>
          <w:szCs w:val="28"/>
        </w:rPr>
        <w:t>s</w:t>
      </w:r>
      <w:r w:rsidR="008E204F" w:rsidRPr="00A664EC">
        <w:rPr>
          <w:sz w:val="28"/>
          <w:szCs w:val="28"/>
        </w:rPr>
        <w:t xml:space="preserve"> Report</w:t>
      </w:r>
      <w:bookmarkEnd w:id="37"/>
    </w:p>
    <w:p w:rsidR="000F0E73" w:rsidRPr="00A664EC" w:rsidRDefault="000F0E73" w:rsidP="00A664EC">
      <w:pPr>
        <w:spacing w:after="0" w:line="240" w:lineRule="auto"/>
        <w:jc w:val="both"/>
        <w:rPr>
          <w:rFonts w:ascii="Times New Roman" w:hAnsi="Times New Roman"/>
          <w:sz w:val="24"/>
          <w:szCs w:val="24"/>
        </w:rPr>
      </w:pPr>
    </w:p>
    <w:p w:rsidR="00097660" w:rsidRPr="00F7596D" w:rsidRDefault="00097660" w:rsidP="00097660">
      <w:pPr>
        <w:spacing w:line="240" w:lineRule="auto"/>
        <w:jc w:val="both"/>
        <w:rPr>
          <w:rFonts w:ascii="Times New Roman" w:eastAsia="Times New Roman" w:hAnsi="Times New Roman"/>
          <w:sz w:val="24"/>
          <w:szCs w:val="24"/>
        </w:rPr>
      </w:pPr>
      <w:r w:rsidRPr="00BC229D">
        <w:rPr>
          <w:rFonts w:ascii="Times New Roman" w:hAnsi="Times New Roman"/>
          <w:sz w:val="24"/>
          <w:szCs w:val="24"/>
        </w:rPr>
        <w:t>Section 309(j) of the Communications Act permits the Commission to utilize funds raise</w:t>
      </w:r>
      <w:r>
        <w:rPr>
          <w:rFonts w:ascii="Times New Roman" w:hAnsi="Times New Roman"/>
          <w:sz w:val="24"/>
          <w:szCs w:val="24"/>
        </w:rPr>
        <w:t>d from auctions to fund auction</w:t>
      </w:r>
      <w:r w:rsidRPr="00BC229D">
        <w:rPr>
          <w:rFonts w:ascii="Times New Roman" w:hAnsi="Times New Roman"/>
          <w:sz w:val="24"/>
          <w:szCs w:val="24"/>
        </w:rPr>
        <w:t xml:space="preserve"> purchases, including contracts for services, and personnel performing work in support of Commission auctions authorized under that section.  The FCC’s Office of General Counsel (OGC) and Office of Managing Director (OMD) provide direction to FCC employees attributing hours for this purpose.</w:t>
      </w:r>
      <w:r w:rsidRPr="00BC229D">
        <w:rPr>
          <w:rFonts w:ascii="Times New Roman" w:eastAsia="Times New Roman" w:hAnsi="Times New Roman"/>
          <w:sz w:val="24"/>
          <w:szCs w:val="24"/>
        </w:rPr>
        <w:t xml:space="preserve">  The House of Representatives and Senate Appropriations Committees review and set a yearly cap for the spectrum auctions program.  The requested cap level for FY 201</w:t>
      </w:r>
      <w:r>
        <w:rPr>
          <w:rFonts w:ascii="Times New Roman" w:eastAsia="Times New Roman" w:hAnsi="Times New Roman"/>
          <w:sz w:val="24"/>
          <w:szCs w:val="24"/>
        </w:rPr>
        <w:t>8</w:t>
      </w:r>
      <w:r w:rsidRPr="00BC229D">
        <w:rPr>
          <w:rFonts w:ascii="Times New Roman" w:eastAsia="Times New Roman" w:hAnsi="Times New Roman"/>
          <w:sz w:val="24"/>
          <w:szCs w:val="24"/>
        </w:rPr>
        <w:t xml:space="preserve"> is </w:t>
      </w:r>
      <w:r w:rsidRPr="00F7596D">
        <w:rPr>
          <w:rFonts w:ascii="Times New Roman" w:eastAsia="Times New Roman" w:hAnsi="Times New Roman"/>
          <w:sz w:val="24"/>
          <w:szCs w:val="24"/>
        </w:rPr>
        <w:t xml:space="preserve">$111,150,000 </w:t>
      </w:r>
      <w:r w:rsidRPr="00F7596D">
        <w:rPr>
          <w:rFonts w:ascii="Times New Roman" w:hAnsi="Times New Roman"/>
          <w:noProof/>
          <w:sz w:val="24"/>
          <w:szCs w:val="24"/>
        </w:rPr>
        <w:t xml:space="preserve">in furtherance of making more spectrum available for commercial use; </w:t>
      </w:r>
      <w:r w:rsidRPr="00F7596D">
        <w:rPr>
          <w:rFonts w:ascii="Times New Roman" w:eastAsia="Times New Roman" w:hAnsi="Times New Roman"/>
          <w:sz w:val="24"/>
          <w:szCs w:val="24"/>
        </w:rPr>
        <w:t>to continue the post incentive auctions work; to upgrade and improve auctions infrastructure in preparation for future actions; and to continue implementation of the Spectrum Pipeline Act of 2015</w:t>
      </w:r>
      <w:r w:rsidRPr="00F7596D">
        <w:rPr>
          <w:rFonts w:ascii="Times New Roman" w:hAnsi="Times New Roman"/>
          <w:noProof/>
          <w:sz w:val="24"/>
          <w:szCs w:val="24"/>
        </w:rPr>
        <w:t>.</w:t>
      </w:r>
      <w:r w:rsidRPr="00F7596D">
        <w:rPr>
          <w:rFonts w:ascii="Times New Roman" w:eastAsia="Times New Roman" w:hAnsi="Times New Roman"/>
          <w:sz w:val="24"/>
          <w:szCs w:val="24"/>
        </w:rPr>
        <w:t xml:space="preserve">  The FY 2018 request is a decrease of $</w:t>
      </w:r>
      <w:r w:rsidR="004D79BC">
        <w:rPr>
          <w:rFonts w:ascii="Times New Roman" w:eastAsia="Times New Roman" w:hAnsi="Times New Roman"/>
          <w:sz w:val="24"/>
          <w:szCs w:val="24"/>
        </w:rPr>
        <w:t>5,850,000</w:t>
      </w:r>
      <w:r w:rsidRPr="00F7596D">
        <w:rPr>
          <w:rFonts w:ascii="Times New Roman" w:eastAsia="Times New Roman" w:hAnsi="Times New Roman"/>
          <w:sz w:val="24"/>
          <w:szCs w:val="24"/>
        </w:rPr>
        <w:t xml:space="preserve"> or </w:t>
      </w:r>
      <w:r w:rsidR="004D79BC">
        <w:rPr>
          <w:rFonts w:ascii="Times New Roman" w:eastAsia="Times New Roman" w:hAnsi="Times New Roman"/>
          <w:sz w:val="24"/>
          <w:szCs w:val="24"/>
        </w:rPr>
        <w:t>5</w:t>
      </w:r>
      <w:r w:rsidRPr="00F7596D">
        <w:rPr>
          <w:rFonts w:ascii="Times New Roman" w:eastAsia="Times New Roman" w:hAnsi="Times New Roman"/>
          <w:sz w:val="24"/>
          <w:szCs w:val="24"/>
        </w:rPr>
        <w:t xml:space="preserve"> percent, from the FY 2017 </w:t>
      </w:r>
      <w:r w:rsidR="004D79BC">
        <w:rPr>
          <w:rFonts w:ascii="Times New Roman" w:eastAsia="Times New Roman" w:hAnsi="Times New Roman"/>
          <w:sz w:val="24"/>
          <w:szCs w:val="24"/>
        </w:rPr>
        <w:t xml:space="preserve">enacted </w:t>
      </w:r>
      <w:r w:rsidRPr="00F7596D">
        <w:rPr>
          <w:rFonts w:ascii="Times New Roman" w:eastAsia="Times New Roman" w:hAnsi="Times New Roman"/>
          <w:sz w:val="24"/>
          <w:szCs w:val="24"/>
        </w:rPr>
        <w:t>cap level of $</w:t>
      </w:r>
      <w:r w:rsidR="004D79BC">
        <w:rPr>
          <w:rFonts w:ascii="Times New Roman" w:eastAsia="Times New Roman" w:hAnsi="Times New Roman"/>
          <w:sz w:val="24"/>
          <w:szCs w:val="24"/>
        </w:rPr>
        <w:t>117,000,000</w:t>
      </w:r>
      <w:r w:rsidRPr="00F7596D">
        <w:rPr>
          <w:rFonts w:ascii="Times New Roman" w:eastAsia="Times New Roman" w:hAnsi="Times New Roman"/>
          <w:sz w:val="24"/>
          <w:szCs w:val="24"/>
        </w:rPr>
        <w:t>.</w:t>
      </w:r>
    </w:p>
    <w:p w:rsidR="00097660" w:rsidRPr="00F7596D" w:rsidRDefault="00097660" w:rsidP="00097660">
      <w:pPr>
        <w:spacing w:line="240" w:lineRule="auto"/>
        <w:jc w:val="both"/>
        <w:rPr>
          <w:rFonts w:ascii="Times New Roman" w:eastAsia="Times New Roman" w:hAnsi="Times New Roman"/>
          <w:sz w:val="24"/>
          <w:szCs w:val="24"/>
        </w:rPr>
      </w:pPr>
      <w:r w:rsidRPr="00F7596D">
        <w:rPr>
          <w:rFonts w:ascii="Times New Roman" w:eastAsia="Times New Roman" w:hAnsi="Times New Roman"/>
          <w:sz w:val="24"/>
          <w:szCs w:val="24"/>
        </w:rPr>
        <w:t xml:space="preserve">The Commission’s spectrum auctions program expenditures support efficient licensing while also contributing significant funds to the U.S. Treasury for deficit reduction and providing direct support to other broader government programs.  In particular, in the Middle Class Tax Relief and Job Creation Act of 2012, Congress directed that proceeds from certain spectrum auctions, including auctions of licenses covering spectrum offered in the H-Block, AWS-3, and the broadcast incentive auction, fund certain public safety related programs and contribute to deficit reduction.  Specifically, Congress directed that the net proceeds from these auctions be distributed as follows: $135 million for a state and local First Responder Network Authority (FirstNet) implementation fund; $7 billion for FirstNet build out; $115 million for 911, E911, and NG911 implementation; $300 million for public safety research; and $20.4 billion plus any additional proceeds for deficit reduction.  </w:t>
      </w:r>
    </w:p>
    <w:p w:rsidR="00097660" w:rsidRPr="00F7596D" w:rsidRDefault="00097660" w:rsidP="00097660">
      <w:pPr>
        <w:spacing w:before="100" w:beforeAutospacing="1" w:after="100" w:afterAutospacing="1" w:line="240" w:lineRule="auto"/>
        <w:jc w:val="both"/>
        <w:rPr>
          <w:rFonts w:ascii="Times New Roman" w:eastAsia="Times New Roman" w:hAnsi="Times New Roman"/>
          <w:sz w:val="24"/>
          <w:szCs w:val="24"/>
        </w:rPr>
      </w:pPr>
      <w:r w:rsidRPr="00F7596D">
        <w:rPr>
          <w:rFonts w:ascii="Times New Roman" w:eastAsia="Times New Roman" w:hAnsi="Times New Roman"/>
          <w:sz w:val="24"/>
          <w:szCs w:val="24"/>
        </w:rPr>
        <w:t xml:space="preserve">As of September 30, 2016, the FCC has transferred $39.8 billion from the H-Block and AWS-3 auctions to satisfy all the distribution requirements as directed by Congress in the Middle Class Tax Relief and Job Creation Act of 2012.  Of this total, in FY 2016, the Commission transferred $8.4 billion to the Public Safety Trust Fund.  This amount includes $328.9 million for deficit reduction above and beyond the initial $20.4 billion initially mandated by Congress in the Middle Class Tax Relief and Job Creation Act of 2012.  </w:t>
      </w:r>
    </w:p>
    <w:p w:rsidR="00097660" w:rsidRPr="008E204F" w:rsidRDefault="00097660" w:rsidP="00097660">
      <w:pPr>
        <w:spacing w:line="240" w:lineRule="auto"/>
        <w:jc w:val="both"/>
        <w:rPr>
          <w:rFonts w:ascii="Times New Roman" w:eastAsia="Times New Roman" w:hAnsi="Times New Roman"/>
          <w:sz w:val="24"/>
          <w:szCs w:val="24"/>
        </w:rPr>
      </w:pPr>
      <w:r w:rsidRPr="00F7596D">
        <w:rPr>
          <w:rFonts w:ascii="Times New Roman" w:eastAsia="Times New Roman" w:hAnsi="Times New Roman"/>
          <w:sz w:val="24"/>
          <w:szCs w:val="24"/>
        </w:rPr>
        <w:t>A</w:t>
      </w:r>
      <w:r w:rsidR="00235DDB">
        <w:rPr>
          <w:rFonts w:ascii="Times New Roman" w:eastAsia="Times New Roman" w:hAnsi="Times New Roman"/>
          <w:sz w:val="24"/>
          <w:szCs w:val="24"/>
        </w:rPr>
        <w:t>t</w:t>
      </w:r>
      <w:r w:rsidRPr="00F7596D">
        <w:rPr>
          <w:rFonts w:ascii="Times New Roman" w:eastAsia="Times New Roman" w:hAnsi="Times New Roman"/>
          <w:sz w:val="24"/>
          <w:szCs w:val="24"/>
        </w:rPr>
        <w:t xml:space="preserve"> </w:t>
      </w:r>
      <w:r w:rsidR="00235DDB">
        <w:rPr>
          <w:rFonts w:ascii="Times New Roman" w:eastAsia="Times New Roman" w:hAnsi="Times New Roman"/>
          <w:sz w:val="24"/>
          <w:szCs w:val="24"/>
        </w:rPr>
        <w:t xml:space="preserve">the </w:t>
      </w:r>
      <w:r w:rsidR="00F702C3">
        <w:rPr>
          <w:rFonts w:ascii="Times New Roman" w:eastAsia="Times New Roman" w:hAnsi="Times New Roman"/>
          <w:sz w:val="24"/>
          <w:szCs w:val="24"/>
        </w:rPr>
        <w:t xml:space="preserve">conclusion </w:t>
      </w:r>
      <w:r w:rsidR="00235DDB">
        <w:rPr>
          <w:rFonts w:ascii="Times New Roman" w:eastAsia="Times New Roman" w:hAnsi="Times New Roman"/>
          <w:sz w:val="24"/>
          <w:szCs w:val="24"/>
        </w:rPr>
        <w:t>of the incentive auctions on April 13, 2017,</w:t>
      </w:r>
      <w:r w:rsidRPr="00F7596D">
        <w:rPr>
          <w:rFonts w:ascii="Times New Roman" w:eastAsia="Times New Roman" w:hAnsi="Times New Roman"/>
          <w:sz w:val="24"/>
          <w:szCs w:val="24"/>
        </w:rPr>
        <w:t xml:space="preserve"> the Commission had raised </w:t>
      </w:r>
      <w:r w:rsidR="00656FCE">
        <w:rPr>
          <w:rFonts w:ascii="Times New Roman" w:eastAsia="Times New Roman" w:hAnsi="Times New Roman"/>
          <w:sz w:val="24"/>
          <w:szCs w:val="24"/>
        </w:rPr>
        <w:t xml:space="preserve">over </w:t>
      </w:r>
      <w:r w:rsidRPr="00F7596D">
        <w:rPr>
          <w:rFonts w:ascii="Times New Roman" w:eastAsia="Times New Roman" w:hAnsi="Times New Roman"/>
          <w:sz w:val="24"/>
          <w:szCs w:val="24"/>
        </w:rPr>
        <w:t>$</w:t>
      </w:r>
      <w:r w:rsidR="00235DDB">
        <w:rPr>
          <w:rFonts w:ascii="Times New Roman" w:eastAsia="Times New Roman" w:hAnsi="Times New Roman"/>
          <w:sz w:val="24"/>
          <w:szCs w:val="24"/>
        </w:rPr>
        <w:t>1</w:t>
      </w:r>
      <w:r w:rsidR="00E33E68">
        <w:rPr>
          <w:rFonts w:ascii="Times New Roman" w:eastAsia="Times New Roman" w:hAnsi="Times New Roman"/>
          <w:sz w:val="24"/>
          <w:szCs w:val="24"/>
        </w:rPr>
        <w:t>14</w:t>
      </w:r>
      <w:r w:rsidRPr="00F7596D">
        <w:rPr>
          <w:rFonts w:ascii="Times New Roman" w:eastAsia="Times New Roman" w:hAnsi="Times New Roman"/>
          <w:sz w:val="24"/>
          <w:szCs w:val="24"/>
        </w:rPr>
        <w:t xml:space="preserve"> billion in auctions revenues since initiating the auctions program in 1994.  During this period, the auctions program expenses have been less than two percent of the </w:t>
      </w:r>
      <w:r w:rsidRPr="004164D0">
        <w:rPr>
          <w:rFonts w:ascii="Times New Roman" w:eastAsia="Times New Roman" w:hAnsi="Times New Roman"/>
          <w:sz w:val="24"/>
          <w:szCs w:val="24"/>
        </w:rPr>
        <w:t xml:space="preserve">Commission’s total auctions revenues.  </w:t>
      </w:r>
      <w:r w:rsidRPr="00E02565">
        <w:rPr>
          <w:rFonts w:ascii="Times New Roman" w:eastAsia="Times New Roman" w:hAnsi="Times New Roman"/>
          <w:sz w:val="24"/>
          <w:szCs w:val="24"/>
        </w:rPr>
        <w:t xml:space="preserve">The Commission operated the auctions program for </w:t>
      </w:r>
      <w:r w:rsidR="007C2B9D" w:rsidRPr="00E02565">
        <w:rPr>
          <w:rFonts w:ascii="Times New Roman" w:eastAsia="Times New Roman" w:hAnsi="Times New Roman"/>
          <w:sz w:val="24"/>
          <w:szCs w:val="24"/>
        </w:rPr>
        <w:t xml:space="preserve">nine </w:t>
      </w:r>
      <w:r w:rsidRPr="00E02565">
        <w:rPr>
          <w:rFonts w:ascii="Times New Roman" w:eastAsia="Times New Roman" w:hAnsi="Times New Roman"/>
          <w:sz w:val="24"/>
          <w:szCs w:val="24"/>
        </w:rPr>
        <w:t xml:space="preserve">years </w:t>
      </w:r>
      <w:r w:rsidR="00823899" w:rsidRPr="00E02565">
        <w:rPr>
          <w:rFonts w:ascii="Times New Roman" w:eastAsia="Times New Roman" w:hAnsi="Times New Roman"/>
          <w:sz w:val="24"/>
          <w:szCs w:val="24"/>
        </w:rPr>
        <w:t xml:space="preserve">at $85 million without any increase in funding, including increases for inflation, </w:t>
      </w:r>
      <w:r w:rsidRPr="00E02565">
        <w:rPr>
          <w:rFonts w:ascii="Times New Roman" w:eastAsia="Times New Roman" w:hAnsi="Times New Roman"/>
          <w:sz w:val="24"/>
          <w:szCs w:val="24"/>
        </w:rPr>
        <w:t>only receiving increases in FYs 2013 through 201</w:t>
      </w:r>
      <w:r w:rsidR="001705DC">
        <w:rPr>
          <w:rFonts w:ascii="Times New Roman" w:eastAsia="Times New Roman" w:hAnsi="Times New Roman"/>
          <w:sz w:val="24"/>
          <w:szCs w:val="24"/>
        </w:rPr>
        <w:t>7</w:t>
      </w:r>
      <w:r w:rsidRPr="00E02565">
        <w:rPr>
          <w:rFonts w:ascii="Times New Roman" w:eastAsia="Times New Roman" w:hAnsi="Times New Roman"/>
          <w:sz w:val="24"/>
          <w:szCs w:val="24"/>
        </w:rPr>
        <w:t xml:space="preserve"> to fund the implementation costs for the incentive auctions</w:t>
      </w:r>
      <w:r w:rsidR="001705DC">
        <w:rPr>
          <w:rFonts w:ascii="Times New Roman" w:eastAsia="Times New Roman" w:hAnsi="Times New Roman"/>
          <w:sz w:val="24"/>
          <w:szCs w:val="24"/>
        </w:rPr>
        <w:t xml:space="preserve"> and Spectrum Pipeline Act of 2015,</w:t>
      </w:r>
      <w:r w:rsidRPr="00E02565">
        <w:rPr>
          <w:rFonts w:ascii="Times New Roman" w:eastAsia="Times New Roman" w:hAnsi="Times New Roman"/>
          <w:sz w:val="24"/>
          <w:szCs w:val="24"/>
        </w:rPr>
        <w:t xml:space="preserve"> and to fund the necessary expenses associated with headquarters move to a new facility</w:t>
      </w:r>
      <w:r w:rsidR="004B07A2" w:rsidRPr="00E02565">
        <w:rPr>
          <w:rFonts w:ascii="Times New Roman" w:eastAsia="Times New Roman" w:hAnsi="Times New Roman"/>
          <w:sz w:val="24"/>
          <w:szCs w:val="24"/>
        </w:rPr>
        <w:t xml:space="preserve"> or reconfiguring the existing space</w:t>
      </w:r>
      <w:r w:rsidR="001705DC">
        <w:rPr>
          <w:rFonts w:ascii="Times New Roman" w:eastAsia="Times New Roman" w:hAnsi="Times New Roman"/>
          <w:sz w:val="24"/>
          <w:szCs w:val="24"/>
        </w:rPr>
        <w:t xml:space="preserve"> in FY 2016</w:t>
      </w:r>
      <w:r w:rsidRPr="00E02565">
        <w:rPr>
          <w:rFonts w:ascii="Times New Roman" w:eastAsia="Times New Roman" w:hAnsi="Times New Roman"/>
          <w:sz w:val="24"/>
          <w:szCs w:val="24"/>
        </w:rPr>
        <w:t>.</w:t>
      </w:r>
      <w:r w:rsidRPr="007863B7">
        <w:rPr>
          <w:rFonts w:ascii="Times New Roman" w:eastAsia="Times New Roman" w:hAnsi="Times New Roman"/>
          <w:sz w:val="24"/>
          <w:szCs w:val="24"/>
        </w:rPr>
        <w:t xml:space="preserve">  </w:t>
      </w:r>
    </w:p>
    <w:p w:rsidR="00097660" w:rsidRDefault="00097660" w:rsidP="00097660">
      <w:pPr>
        <w:spacing w:line="240" w:lineRule="auto"/>
        <w:jc w:val="both"/>
        <w:rPr>
          <w:rFonts w:ascii="Times New Roman" w:eastAsia="Times New Roman" w:hAnsi="Times New Roman"/>
          <w:sz w:val="24"/>
          <w:szCs w:val="24"/>
        </w:rPr>
      </w:pPr>
      <w:r w:rsidRPr="00BC229D">
        <w:rPr>
          <w:rFonts w:ascii="Times New Roman" w:eastAsia="Times New Roman" w:hAnsi="Times New Roman"/>
          <w:sz w:val="24"/>
          <w:szCs w:val="24"/>
        </w:rPr>
        <w:t xml:space="preserve">Spectrum auctions activities are performed agency-wide and are </w:t>
      </w:r>
      <w:r>
        <w:rPr>
          <w:rFonts w:ascii="Times New Roman" w:eastAsia="Times New Roman" w:hAnsi="Times New Roman"/>
          <w:sz w:val="24"/>
          <w:szCs w:val="24"/>
        </w:rPr>
        <w:t>very i</w:t>
      </w:r>
      <w:r w:rsidRPr="00BC229D">
        <w:rPr>
          <w:rFonts w:ascii="Times New Roman" w:eastAsia="Times New Roman" w:hAnsi="Times New Roman"/>
          <w:sz w:val="24"/>
          <w:szCs w:val="24"/>
        </w:rPr>
        <w:t xml:space="preserve">nformation </w:t>
      </w:r>
      <w:r>
        <w:rPr>
          <w:rFonts w:ascii="Times New Roman" w:eastAsia="Times New Roman" w:hAnsi="Times New Roman"/>
          <w:sz w:val="24"/>
          <w:szCs w:val="24"/>
        </w:rPr>
        <w:t>t</w:t>
      </w:r>
      <w:r w:rsidRPr="00BC229D">
        <w:rPr>
          <w:rFonts w:ascii="Times New Roman" w:eastAsia="Times New Roman" w:hAnsi="Times New Roman"/>
          <w:sz w:val="24"/>
          <w:szCs w:val="24"/>
        </w:rPr>
        <w:t>echnology (IT) intensive, as reflected in our Spectrum Auctions Expenditures Reports, which are provided to Congress on an annual basis.  For example, the Incentive Auction</w:t>
      </w:r>
      <w:r>
        <w:rPr>
          <w:rFonts w:ascii="Times New Roman" w:eastAsia="Times New Roman" w:hAnsi="Times New Roman"/>
          <w:sz w:val="24"/>
          <w:szCs w:val="24"/>
        </w:rPr>
        <w:t>s</w:t>
      </w:r>
      <w:r w:rsidRPr="00BC229D">
        <w:rPr>
          <w:rFonts w:ascii="Times New Roman" w:eastAsia="Times New Roman" w:hAnsi="Times New Roman"/>
          <w:sz w:val="24"/>
          <w:szCs w:val="24"/>
        </w:rPr>
        <w:t xml:space="preserve"> team is composed of staff from across the Commission, including the Wireless Telecommunications Bureau, Media Bureau, International Bureau, Office of Engineering and Technology, Office of the Managing Director, and Office of General Counsel.  Auctions funds also cover the program’s share of Commission</w:t>
      </w:r>
      <w:r w:rsidRPr="008E204F">
        <w:rPr>
          <w:rFonts w:ascii="Times New Roman" w:eastAsia="Times New Roman" w:hAnsi="Times New Roman"/>
          <w:sz w:val="24"/>
          <w:szCs w:val="24"/>
        </w:rPr>
        <w:t xml:space="preserve"> operating expenses.  The </w:t>
      </w:r>
      <w:r>
        <w:rPr>
          <w:rFonts w:ascii="Times New Roman" w:eastAsia="Times New Roman" w:hAnsi="Times New Roman"/>
          <w:sz w:val="24"/>
          <w:szCs w:val="24"/>
        </w:rPr>
        <w:t>Commission</w:t>
      </w:r>
      <w:r w:rsidRPr="008E204F">
        <w:rPr>
          <w:rFonts w:ascii="Times New Roman" w:eastAsia="Times New Roman" w:hAnsi="Times New Roman"/>
          <w:sz w:val="24"/>
          <w:szCs w:val="24"/>
        </w:rPr>
        <w:t xml:space="preserve"> uses these funds to enable successful auctions and expends them in a manner consistent with that objective.  </w:t>
      </w:r>
    </w:p>
    <w:p w:rsidR="00097660" w:rsidRPr="008E204F" w:rsidRDefault="00097660" w:rsidP="00097660">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Every auction is different and unique with very specific requirements, which require careful attention to detail and planning.  Since auctions activities are performed agency-wide and are unique, allocating appropriate amount of cost and overhead related to the auctions program is a challenge.  In addition, the complexity of spectrum auctions has increased steadily as the Commission works through more difficult technical and policy issues, and spectrum auctions generally require long lead times to design, develop, and implement secure, reliable, and effective auction application, bidding, and post-auction licensing systems.</w:t>
      </w:r>
    </w:p>
    <w:p w:rsidR="00097660" w:rsidRPr="00BC229D" w:rsidRDefault="00097660" w:rsidP="00097660">
      <w:pPr>
        <w:spacing w:line="240" w:lineRule="auto"/>
        <w:jc w:val="both"/>
        <w:rPr>
          <w:rFonts w:ascii="Times New Roman" w:hAnsi="Times New Roman"/>
          <w:sz w:val="24"/>
          <w:szCs w:val="24"/>
        </w:rPr>
      </w:pPr>
      <w:r w:rsidRPr="00BC229D">
        <w:rPr>
          <w:rFonts w:ascii="Times New Roman" w:hAnsi="Times New Roman"/>
          <w:sz w:val="24"/>
          <w:szCs w:val="24"/>
        </w:rPr>
        <w:t xml:space="preserve">In </w:t>
      </w:r>
      <w:r>
        <w:rPr>
          <w:rFonts w:ascii="Times New Roman" w:hAnsi="Times New Roman"/>
          <w:sz w:val="24"/>
          <w:szCs w:val="24"/>
        </w:rPr>
        <w:t xml:space="preserve">the practice of </w:t>
      </w:r>
      <w:r w:rsidRPr="00BC229D">
        <w:rPr>
          <w:rFonts w:ascii="Times New Roman" w:hAnsi="Times New Roman"/>
          <w:sz w:val="24"/>
          <w:szCs w:val="24"/>
        </w:rPr>
        <w:t>cost accounting, costs are identified as one of the following</w:t>
      </w:r>
      <w:r>
        <w:rPr>
          <w:rFonts w:ascii="Times New Roman" w:hAnsi="Times New Roman"/>
          <w:sz w:val="24"/>
          <w:szCs w:val="24"/>
        </w:rPr>
        <w:t>:</w:t>
      </w:r>
      <w:r w:rsidRPr="00BC229D">
        <w:rPr>
          <w:rFonts w:ascii="Times New Roman" w:hAnsi="Times New Roman"/>
          <w:sz w:val="24"/>
          <w:szCs w:val="24"/>
        </w:rPr>
        <w:t xml:space="preserve"> (1) direct cost, (2)</w:t>
      </w:r>
      <w:r>
        <w:rPr>
          <w:rFonts w:ascii="Times New Roman" w:hAnsi="Times New Roman"/>
          <w:sz w:val="24"/>
          <w:szCs w:val="24"/>
        </w:rPr>
        <w:t xml:space="preserve"> </w:t>
      </w:r>
      <w:r w:rsidRPr="00BC229D">
        <w:rPr>
          <w:rFonts w:ascii="Times New Roman" w:hAnsi="Times New Roman"/>
          <w:sz w:val="24"/>
          <w:szCs w:val="24"/>
        </w:rPr>
        <w:t>indirect cost, or (3) generally allocated cost.  The methodology for deriving the proportional share of generally allocated administrative costs to be charged to the auctions program is based on the Commission’s time reporting system and Generally Accepted Accounting Principles.  The allocation is based on the percentage of actual hours that employees worked to support the auction program plus the same proportional share of the employee’s indirect hours (leave hours).  This</w:t>
      </w:r>
      <w:r>
        <w:rPr>
          <w:rFonts w:ascii="Times New Roman" w:hAnsi="Times New Roman"/>
          <w:sz w:val="24"/>
          <w:szCs w:val="24"/>
        </w:rPr>
        <w:t xml:space="preserve"> full time equivalent (</w:t>
      </w:r>
      <w:r w:rsidRPr="00BC229D">
        <w:rPr>
          <w:rFonts w:ascii="Times New Roman" w:hAnsi="Times New Roman"/>
          <w:sz w:val="24"/>
          <w:szCs w:val="24"/>
        </w:rPr>
        <w:t>FTE</w:t>
      </w:r>
      <w:r>
        <w:rPr>
          <w:rFonts w:ascii="Times New Roman" w:hAnsi="Times New Roman"/>
          <w:sz w:val="24"/>
          <w:szCs w:val="24"/>
        </w:rPr>
        <w:t>)</w:t>
      </w:r>
      <w:r w:rsidRPr="00BC229D">
        <w:rPr>
          <w:rFonts w:ascii="Times New Roman" w:hAnsi="Times New Roman"/>
          <w:sz w:val="24"/>
          <w:szCs w:val="24"/>
        </w:rPr>
        <w:t xml:space="preserve"> rate is applied to costs that benefit the Commission as a whole.  These items that are allocated by the FTE rate include Commission-wide information technology systems, guard service, administrative facility services, supplies, furniture, equipment, and human resources training activities.  The FCC has maintained an average of 14 percent for this purpose, with minor deviations.  </w:t>
      </w:r>
    </w:p>
    <w:p w:rsidR="00097660" w:rsidRPr="00823899" w:rsidRDefault="00C55D64" w:rsidP="00097660">
      <w:pPr>
        <w:spacing w:before="100" w:beforeAutospacing="1" w:after="100" w:afterAutospacing="1" w:line="240" w:lineRule="auto"/>
        <w:jc w:val="both"/>
        <w:rPr>
          <w:rFonts w:ascii="Times New Roman" w:eastAsia="Times New Roman" w:hAnsi="Times New Roman"/>
          <w:sz w:val="24"/>
          <w:szCs w:val="24"/>
        </w:rPr>
      </w:pPr>
      <w:r w:rsidRPr="00FF03A6">
        <w:rPr>
          <w:rStyle w:val="s3"/>
          <w:rFonts w:ascii="Times New Roman" w:hAnsi="Times New Roman"/>
          <w:sz w:val="24"/>
          <w:szCs w:val="24"/>
        </w:rPr>
        <w:t>After years of planning with all the rules in place, and at the direction of Congress, the Commission concluded the final bidding phase of the historic broadcast incentive auction.  The incentive auction makes available 84 megahertz of low-band spectrum for commercial and unlicensed wireless use by repurposing </w:t>
      </w:r>
      <w:r w:rsidRPr="00FF03A6">
        <w:rPr>
          <w:rStyle w:val="s21"/>
          <w:rFonts w:ascii="Times New Roman" w:hAnsi="Times New Roman"/>
          <w:sz w:val="24"/>
          <w:szCs w:val="24"/>
        </w:rPr>
        <w:t xml:space="preserve">a portion of the broadcast TV bands for wireless use.  </w:t>
      </w:r>
      <w:r w:rsidRPr="00FF03A6">
        <w:rPr>
          <w:rStyle w:val="s3"/>
          <w:rFonts w:ascii="Times New Roman" w:hAnsi="Times New Roman"/>
          <w:sz w:val="24"/>
          <w:szCs w:val="24"/>
        </w:rPr>
        <w:t>The auction that began on March 29, 2016, ended on March 30, 2017.  The total net winning bids of $19.3 billion from this first-ever incentive auction put it in second place among all Commission auctions in terms of the amount of total winning bids.</w:t>
      </w:r>
      <w:r w:rsidR="00097660" w:rsidRPr="00823899">
        <w:rPr>
          <w:rStyle w:val="s3"/>
          <w:rFonts w:ascii="Times New Roman" w:hAnsi="Times New Roman"/>
          <w:sz w:val="24"/>
          <w:szCs w:val="24"/>
        </w:rPr>
        <w:t xml:space="preserve">  </w:t>
      </w:r>
      <w:r w:rsidR="00B959E7">
        <w:rPr>
          <w:rStyle w:val="s3"/>
          <w:rFonts w:ascii="Times New Roman" w:hAnsi="Times New Roman"/>
          <w:sz w:val="24"/>
          <w:szCs w:val="24"/>
        </w:rPr>
        <w:t xml:space="preserve">Approximately $6.5 billion will be transferred to the General Fund of the U.S. Treasury for deficit reduction.   </w:t>
      </w:r>
    </w:p>
    <w:p w:rsidR="00097660" w:rsidRPr="00EE42C3" w:rsidRDefault="00097660" w:rsidP="00097660">
      <w:pPr>
        <w:spacing w:before="100" w:beforeAutospacing="1" w:after="100" w:afterAutospacing="1" w:line="240" w:lineRule="auto"/>
        <w:jc w:val="both"/>
        <w:rPr>
          <w:rFonts w:ascii="Times New Roman" w:eastAsia="Times New Roman" w:hAnsi="Times New Roman"/>
          <w:sz w:val="24"/>
          <w:szCs w:val="24"/>
        </w:rPr>
      </w:pPr>
      <w:r w:rsidRPr="00823899">
        <w:rPr>
          <w:rFonts w:ascii="Times New Roman" w:eastAsia="Times New Roman" w:hAnsi="Times New Roman"/>
          <w:sz w:val="24"/>
          <w:szCs w:val="24"/>
        </w:rPr>
        <w:t xml:space="preserve">The Commission’s primary auctions focus in FY 2018 is to carry on its responsibilities related to the post incentive auction activities.  This includes disbursing </w:t>
      </w:r>
      <w:r w:rsidR="00A22E2B" w:rsidRPr="00823899">
        <w:rPr>
          <w:rFonts w:ascii="Times New Roman" w:eastAsia="Times New Roman" w:hAnsi="Times New Roman"/>
          <w:sz w:val="24"/>
          <w:szCs w:val="24"/>
        </w:rPr>
        <w:t>$</w:t>
      </w:r>
      <w:r w:rsidRPr="00823899">
        <w:rPr>
          <w:rFonts w:ascii="Times New Roman" w:eastAsia="Times New Roman" w:hAnsi="Times New Roman"/>
          <w:sz w:val="24"/>
          <w:szCs w:val="24"/>
        </w:rPr>
        <w:t xml:space="preserve">1.75 billion to broadcasters and MVPDs and relocating </w:t>
      </w:r>
      <w:r w:rsidR="00CA0BDE">
        <w:rPr>
          <w:rFonts w:ascii="Times New Roman" w:eastAsia="Times New Roman" w:hAnsi="Times New Roman"/>
          <w:sz w:val="24"/>
          <w:szCs w:val="24"/>
        </w:rPr>
        <w:t>957</w:t>
      </w:r>
      <w:r w:rsidRPr="00CA0BDE">
        <w:rPr>
          <w:rFonts w:ascii="Times New Roman" w:eastAsia="Times New Roman" w:hAnsi="Times New Roman"/>
          <w:sz w:val="24"/>
          <w:szCs w:val="24"/>
        </w:rPr>
        <w:t xml:space="preserve"> broadcasters </w:t>
      </w:r>
      <w:r w:rsidR="009453CB" w:rsidRPr="00CA0BDE">
        <w:rPr>
          <w:rFonts w:ascii="Times New Roman" w:eastAsia="Times New Roman" w:hAnsi="Times New Roman"/>
          <w:sz w:val="24"/>
          <w:szCs w:val="24"/>
        </w:rPr>
        <w:t>and planning</w:t>
      </w:r>
      <w:r w:rsidR="009453CB" w:rsidRPr="00823899">
        <w:rPr>
          <w:rFonts w:ascii="Times New Roman" w:eastAsia="Times New Roman" w:hAnsi="Times New Roman"/>
          <w:sz w:val="24"/>
          <w:szCs w:val="24"/>
        </w:rPr>
        <w:t xml:space="preserve"> to provide </w:t>
      </w:r>
      <w:r w:rsidRPr="00823899">
        <w:rPr>
          <w:rFonts w:ascii="Times New Roman" w:eastAsia="Times New Roman" w:hAnsi="Times New Roman"/>
          <w:sz w:val="24"/>
          <w:szCs w:val="24"/>
        </w:rPr>
        <w:t xml:space="preserve">with minimum disruption to the viewing public.  The Commission must also carry out its responsibilities to consider the relocation of potentially hundreds of LPTV and TV translator stations that are displaced by the reallocation of the television bands and repacking.  </w:t>
      </w:r>
      <w:r w:rsidR="00BC7CD4">
        <w:rPr>
          <w:rFonts w:ascii="Times New Roman" w:eastAsia="Times New Roman" w:hAnsi="Times New Roman"/>
          <w:sz w:val="24"/>
          <w:szCs w:val="24"/>
        </w:rPr>
        <w:t>T</w:t>
      </w:r>
      <w:r w:rsidRPr="00823899">
        <w:rPr>
          <w:rFonts w:ascii="Times New Roman" w:eastAsia="Times New Roman" w:hAnsi="Times New Roman"/>
          <w:sz w:val="24"/>
          <w:szCs w:val="24"/>
        </w:rPr>
        <w:t>he “repacking” process” beg</w:t>
      </w:r>
      <w:r w:rsidR="00BC7CD4">
        <w:rPr>
          <w:rFonts w:ascii="Times New Roman" w:eastAsia="Times New Roman" w:hAnsi="Times New Roman"/>
          <w:sz w:val="24"/>
          <w:szCs w:val="24"/>
        </w:rPr>
        <w:t>a</w:t>
      </w:r>
      <w:r w:rsidRPr="00823899">
        <w:rPr>
          <w:rFonts w:ascii="Times New Roman" w:eastAsia="Times New Roman" w:hAnsi="Times New Roman"/>
          <w:sz w:val="24"/>
          <w:szCs w:val="24"/>
        </w:rPr>
        <w:t xml:space="preserve">n </w:t>
      </w:r>
      <w:r w:rsidR="00BC7CD4">
        <w:rPr>
          <w:rFonts w:ascii="Times New Roman" w:eastAsia="Times New Roman" w:hAnsi="Times New Roman"/>
          <w:sz w:val="24"/>
          <w:szCs w:val="24"/>
        </w:rPr>
        <w:t>o</w:t>
      </w:r>
      <w:r w:rsidRPr="00823899">
        <w:rPr>
          <w:rFonts w:ascii="Times New Roman" w:eastAsia="Times New Roman" w:hAnsi="Times New Roman"/>
          <w:sz w:val="24"/>
          <w:szCs w:val="24"/>
        </w:rPr>
        <w:t xml:space="preserve">n April </w:t>
      </w:r>
      <w:r w:rsidR="00BC7CD4">
        <w:rPr>
          <w:rFonts w:ascii="Times New Roman" w:eastAsia="Times New Roman" w:hAnsi="Times New Roman"/>
          <w:sz w:val="24"/>
          <w:szCs w:val="24"/>
        </w:rPr>
        <w:t xml:space="preserve">13, </w:t>
      </w:r>
      <w:r w:rsidRPr="00823899">
        <w:rPr>
          <w:rFonts w:ascii="Times New Roman" w:eastAsia="Times New Roman" w:hAnsi="Times New Roman"/>
          <w:sz w:val="24"/>
          <w:szCs w:val="24"/>
        </w:rPr>
        <w:t>2017, with the release of the Closing and Channel Reassignment Public Notice, and will continue for 39 months.  Repacking involves reorganizing and assigning channels to the remaining broadcast television stations in order</w:t>
      </w:r>
      <w:r w:rsidRPr="00F7596D">
        <w:rPr>
          <w:rFonts w:ascii="Times New Roman" w:eastAsia="Times New Roman" w:hAnsi="Times New Roman"/>
          <w:sz w:val="24"/>
          <w:szCs w:val="24"/>
        </w:rPr>
        <w:t xml:space="preserve"> to create contiguous blocks of cleared spectrum suitable for flexible wireless use.  The scope of the repacking component of this auction makes it uniquely, computationally complex challenge that will require substantial resources and engagement from the Commission over the next four years.  The task mandates that the Commission manage and organize every station’s transition in a manner that respects the constraints imposed by linked-station sets - that is, a set of two or more stations with</w:t>
      </w:r>
      <w:r>
        <w:rPr>
          <w:rFonts w:ascii="Times New Roman" w:eastAsia="Times New Roman" w:hAnsi="Times New Roman"/>
          <w:sz w:val="24"/>
          <w:szCs w:val="24"/>
        </w:rPr>
        <w:t xml:space="preserve"> interference relationships and dependencies - as well as accounting for limited resources available to accomplish transition-related work.  Active oversight of the multi-year process will</w:t>
      </w:r>
      <w:r w:rsidRPr="00BC229D">
        <w:rPr>
          <w:rFonts w:ascii="Times New Roman" w:eastAsia="Times New Roman" w:hAnsi="Times New Roman"/>
          <w:sz w:val="24"/>
          <w:szCs w:val="24"/>
        </w:rPr>
        <w:t xml:space="preserve"> requir</w:t>
      </w:r>
      <w:r>
        <w:rPr>
          <w:rFonts w:ascii="Times New Roman" w:eastAsia="Times New Roman" w:hAnsi="Times New Roman"/>
          <w:sz w:val="24"/>
          <w:szCs w:val="24"/>
        </w:rPr>
        <w:t>e</w:t>
      </w:r>
      <w:r w:rsidRPr="00BC229D">
        <w:rPr>
          <w:rFonts w:ascii="Times New Roman" w:eastAsia="Times New Roman" w:hAnsi="Times New Roman"/>
          <w:sz w:val="24"/>
          <w:szCs w:val="24"/>
        </w:rPr>
        <w:t xml:space="preserve"> </w:t>
      </w:r>
      <w:r>
        <w:rPr>
          <w:rFonts w:ascii="Times New Roman" w:eastAsia="Times New Roman" w:hAnsi="Times New Roman"/>
          <w:sz w:val="24"/>
          <w:szCs w:val="24"/>
        </w:rPr>
        <w:t>substantial Commission staff resources to coordinate with broadcasters, vendors involved in transition tasks, and other government and regulatory agencies, including at the federal, state, and local level and with international regulatory partners in the U.S.</w:t>
      </w:r>
      <w:r w:rsidR="00261DD5">
        <w:rPr>
          <w:rFonts w:ascii="Times New Roman" w:eastAsia="Times New Roman" w:hAnsi="Times New Roman"/>
          <w:sz w:val="24"/>
          <w:szCs w:val="24"/>
        </w:rPr>
        <w:t xml:space="preserve"> </w:t>
      </w:r>
      <w:r>
        <w:rPr>
          <w:rFonts w:ascii="Times New Roman" w:eastAsia="Times New Roman" w:hAnsi="Times New Roman"/>
          <w:sz w:val="24"/>
          <w:szCs w:val="24"/>
        </w:rPr>
        <w:t>-</w:t>
      </w:r>
      <w:r w:rsidR="00261DD5">
        <w:rPr>
          <w:rFonts w:ascii="Times New Roman" w:eastAsia="Times New Roman" w:hAnsi="Times New Roman"/>
          <w:sz w:val="24"/>
          <w:szCs w:val="24"/>
        </w:rPr>
        <w:t xml:space="preserve"> </w:t>
      </w:r>
      <w:r>
        <w:rPr>
          <w:rFonts w:ascii="Times New Roman" w:eastAsia="Times New Roman" w:hAnsi="Times New Roman"/>
          <w:sz w:val="24"/>
          <w:szCs w:val="24"/>
        </w:rPr>
        <w:t>Canada and U.S.</w:t>
      </w:r>
      <w:r w:rsidR="00261DD5">
        <w:rPr>
          <w:rFonts w:ascii="Times New Roman" w:eastAsia="Times New Roman" w:hAnsi="Times New Roman"/>
          <w:sz w:val="24"/>
          <w:szCs w:val="24"/>
        </w:rPr>
        <w:t xml:space="preserve"> </w:t>
      </w:r>
      <w:r>
        <w:rPr>
          <w:rFonts w:ascii="Times New Roman" w:eastAsia="Times New Roman" w:hAnsi="Times New Roman"/>
          <w:sz w:val="24"/>
          <w:szCs w:val="24"/>
        </w:rPr>
        <w:t>-</w:t>
      </w:r>
      <w:r w:rsidR="00261DD5">
        <w:rPr>
          <w:rFonts w:ascii="Times New Roman" w:eastAsia="Times New Roman" w:hAnsi="Times New Roman"/>
          <w:sz w:val="24"/>
          <w:szCs w:val="24"/>
        </w:rPr>
        <w:t xml:space="preserve"> </w:t>
      </w:r>
      <w:r>
        <w:rPr>
          <w:rFonts w:ascii="Times New Roman" w:eastAsia="Times New Roman" w:hAnsi="Times New Roman"/>
          <w:sz w:val="24"/>
          <w:szCs w:val="24"/>
        </w:rPr>
        <w:t xml:space="preserve">Mexico border zone regions.  It will require Commission staff to monitor broadcaster progress, identify and resolve transition-related problems and challenges that could endanger the transition schedule, process applications, and review and verify information.  Accomplishing the transition will require </w:t>
      </w:r>
      <w:r w:rsidRPr="00BC229D">
        <w:rPr>
          <w:rFonts w:ascii="Times New Roman" w:eastAsia="Times New Roman" w:hAnsi="Times New Roman"/>
          <w:sz w:val="24"/>
          <w:szCs w:val="24"/>
        </w:rPr>
        <w:t>additional software, cloud computing resources</w:t>
      </w:r>
      <w:r>
        <w:rPr>
          <w:rFonts w:ascii="Times New Roman" w:eastAsia="Times New Roman" w:hAnsi="Times New Roman"/>
          <w:sz w:val="24"/>
          <w:szCs w:val="24"/>
        </w:rPr>
        <w:t>,</w:t>
      </w:r>
      <w:r w:rsidRPr="00BC229D">
        <w:rPr>
          <w:rFonts w:ascii="Times New Roman" w:eastAsia="Times New Roman" w:hAnsi="Times New Roman"/>
          <w:sz w:val="24"/>
          <w:szCs w:val="24"/>
        </w:rPr>
        <w:t xml:space="preserve"> and assistance </w:t>
      </w:r>
      <w:r>
        <w:rPr>
          <w:rFonts w:ascii="Times New Roman" w:eastAsia="Times New Roman" w:hAnsi="Times New Roman"/>
          <w:sz w:val="24"/>
          <w:szCs w:val="24"/>
        </w:rPr>
        <w:t>from</w:t>
      </w:r>
      <w:r w:rsidRPr="00BC229D">
        <w:rPr>
          <w:rFonts w:ascii="Times New Roman" w:eastAsia="Times New Roman" w:hAnsi="Times New Roman"/>
          <w:sz w:val="24"/>
          <w:szCs w:val="24"/>
        </w:rPr>
        <w:t xml:space="preserve"> skilled computer scientists, software engineers, and technology security </w:t>
      </w:r>
      <w:r w:rsidRPr="00EE42C3">
        <w:rPr>
          <w:rFonts w:ascii="Times New Roman" w:eastAsia="Times New Roman" w:hAnsi="Times New Roman"/>
          <w:sz w:val="24"/>
          <w:szCs w:val="24"/>
        </w:rPr>
        <w:t xml:space="preserve">experts.  </w:t>
      </w:r>
      <w:r>
        <w:rPr>
          <w:rFonts w:ascii="Times New Roman" w:eastAsia="Times New Roman" w:hAnsi="Times New Roman"/>
          <w:sz w:val="24"/>
          <w:szCs w:val="24"/>
        </w:rPr>
        <w:t xml:space="preserve">It also requires an administrator, overseen by Commission staff, to manage the reimbursement of $1.75 billion to the qualified relocating broadcasters to minimize fraud.  </w:t>
      </w:r>
    </w:p>
    <w:p w:rsidR="00097660" w:rsidRDefault="00097660" w:rsidP="00097660">
      <w:pPr>
        <w:spacing w:after="0" w:line="240" w:lineRule="auto"/>
        <w:jc w:val="both"/>
        <w:rPr>
          <w:rFonts w:ascii="Times New Roman" w:hAnsi="Times New Roman"/>
          <w:sz w:val="24"/>
          <w:szCs w:val="24"/>
        </w:rPr>
      </w:pPr>
      <w:r>
        <w:rPr>
          <w:rFonts w:ascii="Times New Roman" w:hAnsi="Times New Roman"/>
          <w:sz w:val="24"/>
          <w:szCs w:val="24"/>
        </w:rPr>
        <w:t>In planning for the post-auction transition, the</w:t>
      </w:r>
      <w:r w:rsidRPr="003A07DB">
        <w:rPr>
          <w:rFonts w:ascii="Times New Roman" w:hAnsi="Times New Roman"/>
          <w:sz w:val="24"/>
          <w:szCs w:val="24"/>
        </w:rPr>
        <w:t xml:space="preserve"> </w:t>
      </w:r>
      <w:r>
        <w:rPr>
          <w:rFonts w:ascii="Times New Roman" w:hAnsi="Times New Roman"/>
          <w:sz w:val="24"/>
          <w:szCs w:val="24"/>
        </w:rPr>
        <w:t xml:space="preserve">Commission </w:t>
      </w:r>
      <w:r w:rsidRPr="003A07DB">
        <w:rPr>
          <w:rFonts w:ascii="Times New Roman" w:hAnsi="Times New Roman"/>
          <w:sz w:val="24"/>
          <w:szCs w:val="24"/>
        </w:rPr>
        <w:t xml:space="preserve">is </w:t>
      </w:r>
      <w:r>
        <w:rPr>
          <w:rFonts w:ascii="Times New Roman" w:hAnsi="Times New Roman"/>
          <w:sz w:val="24"/>
          <w:szCs w:val="24"/>
        </w:rPr>
        <w:t xml:space="preserve">focused on communications, education, and outreach efforts to all stakeholders. The Media Bureau and Incentive Auction Task Force are </w:t>
      </w:r>
      <w:r w:rsidRPr="003A07DB">
        <w:rPr>
          <w:rFonts w:ascii="Times New Roman" w:hAnsi="Times New Roman"/>
          <w:sz w:val="24"/>
          <w:szCs w:val="24"/>
        </w:rPr>
        <w:t>developing training materials for broadcast stations, MVPDs, wireless mic</w:t>
      </w:r>
      <w:r>
        <w:rPr>
          <w:rFonts w:ascii="Times New Roman" w:hAnsi="Times New Roman"/>
          <w:sz w:val="24"/>
          <w:szCs w:val="24"/>
        </w:rPr>
        <w:t>rophone</w:t>
      </w:r>
      <w:r w:rsidRPr="003A07DB">
        <w:rPr>
          <w:rFonts w:ascii="Times New Roman" w:hAnsi="Times New Roman"/>
          <w:sz w:val="24"/>
          <w:szCs w:val="24"/>
        </w:rPr>
        <w:t xml:space="preserve"> operators, and unlicensed users affected by the transition. Additionally, the Consumer and Governmental Affairs Bureau is preparing an extensive consumer outreach effort geared toward reaching affected Americans where they live and work, including </w:t>
      </w:r>
      <w:r>
        <w:rPr>
          <w:rFonts w:ascii="Times New Roman" w:hAnsi="Times New Roman"/>
          <w:sz w:val="24"/>
          <w:szCs w:val="24"/>
        </w:rPr>
        <w:t>public service announcement</w:t>
      </w:r>
      <w:r w:rsidRPr="003A07DB">
        <w:rPr>
          <w:rFonts w:ascii="Times New Roman" w:hAnsi="Times New Roman"/>
          <w:sz w:val="24"/>
          <w:szCs w:val="24"/>
        </w:rPr>
        <w:t>-style videos, scripts</w:t>
      </w:r>
      <w:r>
        <w:rPr>
          <w:rFonts w:ascii="Times New Roman" w:hAnsi="Times New Roman"/>
          <w:sz w:val="24"/>
          <w:szCs w:val="24"/>
        </w:rPr>
        <w:t>,</w:t>
      </w:r>
      <w:r w:rsidRPr="003A07DB">
        <w:rPr>
          <w:rFonts w:ascii="Times New Roman" w:hAnsi="Times New Roman"/>
          <w:sz w:val="24"/>
          <w:szCs w:val="24"/>
        </w:rPr>
        <w:t xml:space="preserve"> and troubleshooting guides for our consumer call center staff</w:t>
      </w:r>
      <w:r>
        <w:rPr>
          <w:rFonts w:ascii="Times New Roman" w:hAnsi="Times New Roman"/>
          <w:sz w:val="24"/>
          <w:szCs w:val="24"/>
        </w:rPr>
        <w:t>;</w:t>
      </w:r>
      <w:r w:rsidRPr="003A07DB">
        <w:rPr>
          <w:rFonts w:ascii="Times New Roman" w:hAnsi="Times New Roman"/>
          <w:sz w:val="24"/>
          <w:szCs w:val="24"/>
        </w:rPr>
        <w:t xml:space="preserve"> an updated Consumer Q&amp;A</w:t>
      </w:r>
      <w:r>
        <w:rPr>
          <w:rFonts w:ascii="Times New Roman" w:hAnsi="Times New Roman"/>
          <w:sz w:val="24"/>
          <w:szCs w:val="24"/>
        </w:rPr>
        <w:t>;</w:t>
      </w:r>
      <w:r w:rsidRPr="003A07DB">
        <w:rPr>
          <w:rFonts w:ascii="Times New Roman" w:hAnsi="Times New Roman"/>
          <w:sz w:val="24"/>
          <w:szCs w:val="24"/>
        </w:rPr>
        <w:t xml:space="preserve"> and updated Consumer Guides. Wherever possible we want to make these materials available in multiple languages. </w:t>
      </w:r>
      <w:r>
        <w:rPr>
          <w:rFonts w:ascii="Times New Roman" w:hAnsi="Times New Roman"/>
          <w:sz w:val="24"/>
          <w:szCs w:val="24"/>
        </w:rPr>
        <w:t>The Commission is also developing, and will maintain and update throughout the transition, a comprehensive “Post-Auction Transition” website that will serve as a single point of reference for all transition information for stakeholders and consumers.</w:t>
      </w:r>
    </w:p>
    <w:p w:rsidR="00097660" w:rsidRPr="00BC229D" w:rsidRDefault="00097660" w:rsidP="00097660">
      <w:pPr>
        <w:spacing w:after="0" w:line="240" w:lineRule="auto"/>
        <w:jc w:val="both"/>
        <w:rPr>
          <w:rStyle w:val="normaltextrun"/>
          <w:rFonts w:ascii="Times New Roman" w:hAnsi="Times New Roman"/>
          <w:sz w:val="24"/>
          <w:szCs w:val="24"/>
        </w:rPr>
      </w:pPr>
    </w:p>
    <w:p w:rsidR="00097660" w:rsidRPr="00F7596D" w:rsidRDefault="00097660" w:rsidP="00097660">
      <w:pPr>
        <w:spacing w:line="240" w:lineRule="auto"/>
        <w:jc w:val="both"/>
        <w:rPr>
          <w:rFonts w:ascii="Times New Roman" w:hAnsi="Times New Roman"/>
          <w:sz w:val="24"/>
          <w:szCs w:val="24"/>
        </w:rPr>
      </w:pPr>
      <w:r w:rsidRPr="00747D24">
        <w:rPr>
          <w:rFonts w:ascii="Times New Roman" w:hAnsi="Times New Roman"/>
          <w:sz w:val="24"/>
          <w:szCs w:val="24"/>
        </w:rPr>
        <w:t>In addition, the Commission continues to plan for future auctions, including the re</w:t>
      </w:r>
      <w:r>
        <w:rPr>
          <w:rFonts w:ascii="Times New Roman" w:hAnsi="Times New Roman"/>
          <w:sz w:val="24"/>
          <w:szCs w:val="24"/>
        </w:rPr>
        <w:t>-</w:t>
      </w:r>
      <w:r w:rsidRPr="00747D24">
        <w:rPr>
          <w:rFonts w:ascii="Times New Roman" w:hAnsi="Times New Roman"/>
          <w:sz w:val="24"/>
          <w:szCs w:val="24"/>
        </w:rPr>
        <w:t>auction of certain AWS-3 licenses</w:t>
      </w:r>
      <w:r>
        <w:rPr>
          <w:rFonts w:ascii="Times New Roman" w:hAnsi="Times New Roman"/>
          <w:sz w:val="24"/>
          <w:szCs w:val="24"/>
        </w:rPr>
        <w:t>;</w:t>
      </w:r>
      <w:r w:rsidRPr="00747D24">
        <w:rPr>
          <w:rFonts w:ascii="Times New Roman" w:hAnsi="Times New Roman"/>
          <w:sz w:val="24"/>
          <w:szCs w:val="24"/>
        </w:rPr>
        <w:t xml:space="preserve"> the auction of a number of FM</w:t>
      </w:r>
      <w:r>
        <w:rPr>
          <w:rFonts w:ascii="Times New Roman" w:hAnsi="Times New Roman"/>
          <w:sz w:val="24"/>
          <w:szCs w:val="24"/>
        </w:rPr>
        <w:t xml:space="preserve"> translator</w:t>
      </w:r>
      <w:r w:rsidRPr="00747D24">
        <w:rPr>
          <w:rFonts w:ascii="Times New Roman" w:hAnsi="Times New Roman"/>
          <w:sz w:val="24"/>
          <w:szCs w:val="24"/>
        </w:rPr>
        <w:t xml:space="preserve"> allocations</w:t>
      </w:r>
      <w:r>
        <w:rPr>
          <w:rFonts w:ascii="Times New Roman" w:hAnsi="Times New Roman"/>
          <w:sz w:val="24"/>
          <w:szCs w:val="24"/>
        </w:rPr>
        <w:t xml:space="preserve"> that will be paired with full-power AM</w:t>
      </w:r>
      <w:r w:rsidR="00BC7CD4">
        <w:rPr>
          <w:rFonts w:ascii="Times New Roman" w:hAnsi="Times New Roman"/>
          <w:sz w:val="24"/>
          <w:szCs w:val="24"/>
        </w:rPr>
        <w:t xml:space="preserve"> stations</w:t>
      </w:r>
      <w:r>
        <w:rPr>
          <w:rFonts w:ascii="Times New Roman" w:hAnsi="Times New Roman"/>
          <w:sz w:val="24"/>
          <w:szCs w:val="24"/>
        </w:rPr>
        <w:t>, and possibly full-power FM stations; a potential auction of unsold 600 MHz licenses from the broadcast incentive auction;</w:t>
      </w:r>
      <w:r w:rsidRPr="00747D24">
        <w:rPr>
          <w:rFonts w:ascii="Times New Roman" w:hAnsi="Times New Roman"/>
          <w:sz w:val="24"/>
          <w:szCs w:val="24"/>
        </w:rPr>
        <w:t xml:space="preserve"> and the creation of a new auction for Citizens Broadband Radio Service (CBRS) licenses.  The CBRS auctions will involve over 500,000 licenses and will take place every three years, at a minimum.  The Commission is also working to update and modernize its overall auctions system to be prepared to quickly hold new auctions when additional </w:t>
      </w:r>
      <w:r w:rsidRPr="00F7596D">
        <w:rPr>
          <w:rFonts w:ascii="Times New Roman" w:hAnsi="Times New Roman"/>
          <w:sz w:val="24"/>
          <w:szCs w:val="24"/>
        </w:rPr>
        <w:t xml:space="preserve">spectrum that could be made available is identified.  </w:t>
      </w:r>
    </w:p>
    <w:p w:rsidR="00097660" w:rsidRDefault="00097660" w:rsidP="00097660">
      <w:pPr>
        <w:spacing w:line="240" w:lineRule="auto"/>
        <w:jc w:val="both"/>
        <w:rPr>
          <w:rFonts w:ascii="Times New Roman" w:hAnsi="Times New Roman"/>
          <w:sz w:val="24"/>
          <w:szCs w:val="24"/>
        </w:rPr>
      </w:pPr>
      <w:r w:rsidRPr="00EB7AC8">
        <w:rPr>
          <w:rFonts w:ascii="Times New Roman" w:hAnsi="Times New Roman"/>
          <w:sz w:val="24"/>
          <w:szCs w:val="24"/>
        </w:rPr>
        <w:t xml:space="preserve">The </w:t>
      </w:r>
      <w:r w:rsidR="004D79BC" w:rsidRPr="00EB7AC8">
        <w:rPr>
          <w:rFonts w:ascii="Times New Roman" w:hAnsi="Times New Roman"/>
          <w:sz w:val="24"/>
          <w:szCs w:val="24"/>
        </w:rPr>
        <w:t xml:space="preserve">actual and estimated </w:t>
      </w:r>
      <w:r w:rsidRPr="00EB7AC8">
        <w:rPr>
          <w:rFonts w:ascii="Times New Roman" w:hAnsi="Times New Roman"/>
          <w:sz w:val="24"/>
          <w:szCs w:val="24"/>
        </w:rPr>
        <w:t xml:space="preserve">FTE levels for the spectrum auctions program for FYs 2016 through 2018 are shown </w:t>
      </w:r>
      <w:r w:rsidR="00EB7AC8" w:rsidRPr="00EB7AC8">
        <w:rPr>
          <w:rFonts w:ascii="Times New Roman" w:hAnsi="Times New Roman"/>
          <w:sz w:val="24"/>
          <w:szCs w:val="24"/>
        </w:rPr>
        <w:t>below</w:t>
      </w:r>
      <w:r w:rsidRPr="00EB7AC8">
        <w:rPr>
          <w:rFonts w:ascii="Times New Roman" w:hAnsi="Times New Roman"/>
          <w:sz w:val="24"/>
          <w:szCs w:val="24"/>
        </w:rPr>
        <w:t xml:space="preserve">.  </w:t>
      </w:r>
    </w:p>
    <w:p w:rsidR="00A35C36" w:rsidRPr="00593490" w:rsidRDefault="00A35C36" w:rsidP="00087E50">
      <w:pPr>
        <w:spacing w:after="0"/>
        <w:jc w:val="center"/>
      </w:pPr>
      <w:bookmarkStart w:id="38" w:name="_Toc483207977"/>
      <w:r w:rsidRPr="00000C9E">
        <w:rPr>
          <w:rStyle w:val="Heading2Char"/>
          <w:rFonts w:eastAsia="Calibri"/>
          <w:sz w:val="28"/>
          <w:szCs w:val="28"/>
        </w:rPr>
        <w:t>FTEs by Resource Category</w:t>
      </w:r>
      <w:bookmarkEnd w:id="38"/>
    </w:p>
    <w:p w:rsidR="00A35C36" w:rsidRDefault="00A35C36" w:rsidP="00A35C36">
      <w:pPr>
        <w:spacing w:after="0" w:line="240" w:lineRule="auto"/>
        <w:ind w:left="90"/>
        <w:jc w:val="center"/>
        <w:rPr>
          <w:rFonts w:ascii="Times New Roman" w:eastAsia="Times New Roman" w:hAnsi="Times New Roman"/>
          <w:b/>
          <w:sz w:val="16"/>
          <w:szCs w:val="16"/>
        </w:rPr>
      </w:pPr>
    </w:p>
    <w:p w:rsidR="00A35C36" w:rsidRDefault="00A35C36" w:rsidP="00A35C36">
      <w:pPr>
        <w:spacing w:after="0" w:line="240" w:lineRule="auto"/>
        <w:ind w:left="90"/>
        <w:jc w:val="center"/>
        <w:rPr>
          <w:rFonts w:ascii="Times New Roman" w:eastAsia="Times New Roman" w:hAnsi="Times New Roman"/>
          <w:b/>
          <w:sz w:val="16"/>
          <w:szCs w:val="16"/>
        </w:rPr>
      </w:pPr>
      <w:r>
        <w:rPr>
          <w:rFonts w:ascii="Times New Roman" w:eastAsia="Times New Roman" w:hAnsi="Times New Roman"/>
          <w:b/>
          <w:noProof/>
          <w:sz w:val="16"/>
          <w:szCs w:val="16"/>
        </w:rPr>
        <w:drawing>
          <wp:inline distT="0" distB="0" distL="0" distR="0" wp14:anchorId="7CDF102A" wp14:editId="147C09A1">
            <wp:extent cx="3518333" cy="24511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8357" cy="2506850"/>
                    </a:xfrm>
                    <a:prstGeom prst="rect">
                      <a:avLst/>
                    </a:prstGeom>
                    <a:noFill/>
                  </pic:spPr>
                </pic:pic>
              </a:graphicData>
            </a:graphic>
          </wp:inline>
        </w:drawing>
      </w:r>
    </w:p>
    <w:p w:rsidR="00A67B12" w:rsidRDefault="00097660" w:rsidP="00097660">
      <w:pPr>
        <w:spacing w:line="240" w:lineRule="auto"/>
        <w:jc w:val="both"/>
        <w:rPr>
          <w:rFonts w:ascii="Times New Roman" w:hAnsi="Times New Roman"/>
          <w:sz w:val="24"/>
          <w:szCs w:val="24"/>
        </w:rPr>
      </w:pPr>
      <w:r>
        <w:rPr>
          <w:rFonts w:ascii="Times New Roman" w:hAnsi="Times New Roman"/>
          <w:sz w:val="24"/>
          <w:szCs w:val="24"/>
        </w:rPr>
        <w:t>The following two schedules provides some details of the spectrum auctions held since its inception in 1994.  These schedules also provide some perspective into how much money was collected for the U.S. Treasury or for broader government use and the total cost in running the Commission’s spectrum auctions program.</w:t>
      </w:r>
      <w:r w:rsidR="00EE09CB">
        <w:rPr>
          <w:rFonts w:ascii="Times New Roman" w:hAnsi="Times New Roman"/>
          <w:sz w:val="24"/>
          <w:szCs w:val="24"/>
        </w:rPr>
        <w:t xml:space="preserve">  </w:t>
      </w:r>
    </w:p>
    <w:p w:rsidR="00E1021A" w:rsidRPr="003B14ED" w:rsidRDefault="00EB694E" w:rsidP="00E1021A">
      <w:pPr>
        <w:pStyle w:val="Heading2"/>
        <w:rPr>
          <w:sz w:val="28"/>
          <w:szCs w:val="28"/>
        </w:rPr>
      </w:pPr>
      <w:bookmarkStart w:id="39" w:name="_Toc483207978"/>
      <w:r w:rsidRPr="003B14ED">
        <w:rPr>
          <w:sz w:val="28"/>
          <w:szCs w:val="28"/>
        </w:rPr>
        <w:t xml:space="preserve">Spectrum </w:t>
      </w:r>
      <w:r w:rsidR="00E1021A" w:rsidRPr="003B14ED">
        <w:rPr>
          <w:sz w:val="28"/>
          <w:szCs w:val="28"/>
        </w:rPr>
        <w:t>Auctions and Collections</w:t>
      </w:r>
      <w:bookmarkEnd w:id="39"/>
    </w:p>
    <w:p w:rsidR="00E1021A" w:rsidRPr="00E17DEB" w:rsidRDefault="00B37C29" w:rsidP="00E1021A">
      <w:pPr>
        <w:spacing w:after="0" w:line="240" w:lineRule="auto"/>
        <w:jc w:val="center"/>
        <w:rPr>
          <w:rFonts w:ascii="Times New Roman" w:hAnsi="Times New Roman"/>
          <w:noProof/>
          <w:sz w:val="24"/>
          <w:szCs w:val="24"/>
        </w:rPr>
      </w:pPr>
      <w:r w:rsidRPr="00067E45">
        <w:rPr>
          <w:rFonts w:ascii="Times New Roman" w:hAnsi="Times New Roman"/>
          <w:noProof/>
          <w:sz w:val="24"/>
          <w:szCs w:val="24"/>
        </w:rPr>
        <w:t xml:space="preserve">Fiscal Years 1994 </w:t>
      </w:r>
      <w:r w:rsidRPr="00281B79">
        <w:rPr>
          <w:rFonts w:ascii="Times New Roman" w:hAnsi="Times New Roman"/>
          <w:noProof/>
          <w:sz w:val="24"/>
          <w:szCs w:val="24"/>
        </w:rPr>
        <w:t xml:space="preserve">through </w:t>
      </w:r>
      <w:r w:rsidR="00AF1923" w:rsidRPr="00E17DEB">
        <w:rPr>
          <w:rFonts w:ascii="Times New Roman" w:hAnsi="Times New Roman"/>
          <w:noProof/>
          <w:sz w:val="24"/>
          <w:szCs w:val="24"/>
        </w:rPr>
        <w:t xml:space="preserve">Aprill 24, </w:t>
      </w:r>
      <w:r w:rsidRPr="00E17DEB">
        <w:rPr>
          <w:rFonts w:ascii="Times New Roman" w:hAnsi="Times New Roman"/>
          <w:noProof/>
          <w:sz w:val="24"/>
          <w:szCs w:val="24"/>
        </w:rPr>
        <w:t>201</w:t>
      </w:r>
      <w:r w:rsidR="00E969A5" w:rsidRPr="00E17DEB">
        <w:rPr>
          <w:rFonts w:ascii="Times New Roman" w:hAnsi="Times New Roman"/>
          <w:noProof/>
          <w:sz w:val="24"/>
          <w:szCs w:val="24"/>
        </w:rPr>
        <w:t>7</w:t>
      </w:r>
    </w:p>
    <w:p w:rsidR="00B37C29" w:rsidRDefault="00B37C29" w:rsidP="00E1021A">
      <w:pPr>
        <w:spacing w:after="0" w:line="240" w:lineRule="auto"/>
        <w:jc w:val="center"/>
        <w:rPr>
          <w:rFonts w:ascii="Times New Roman" w:eastAsia="Times New Roman" w:hAnsi="Times New Roman"/>
          <w:spacing w:val="-2"/>
          <w:sz w:val="16"/>
          <w:szCs w:val="16"/>
        </w:rPr>
      </w:pPr>
      <w:r w:rsidRPr="00E17DEB">
        <w:rPr>
          <w:rFonts w:ascii="Times New Roman" w:eastAsia="Times New Roman" w:hAnsi="Times New Roman"/>
          <w:spacing w:val="-2"/>
          <w:sz w:val="20"/>
          <w:szCs w:val="20"/>
        </w:rPr>
        <w:t xml:space="preserve">As of </w:t>
      </w:r>
      <w:r w:rsidR="00E969A5" w:rsidRPr="00E17DEB">
        <w:rPr>
          <w:rFonts w:ascii="Times New Roman" w:eastAsia="Times New Roman" w:hAnsi="Times New Roman"/>
          <w:spacing w:val="-2"/>
          <w:sz w:val="20"/>
          <w:szCs w:val="20"/>
        </w:rPr>
        <w:t xml:space="preserve">April 24, </w:t>
      </w:r>
      <w:r w:rsidRPr="00E17DEB">
        <w:rPr>
          <w:rFonts w:ascii="Times New Roman" w:eastAsia="Times New Roman" w:hAnsi="Times New Roman"/>
          <w:spacing w:val="-2"/>
          <w:sz w:val="20"/>
          <w:szCs w:val="20"/>
        </w:rPr>
        <w:t>201</w:t>
      </w:r>
      <w:r w:rsidR="00E969A5" w:rsidRPr="00E17DEB">
        <w:rPr>
          <w:rFonts w:ascii="Times New Roman" w:eastAsia="Times New Roman" w:hAnsi="Times New Roman"/>
          <w:spacing w:val="-2"/>
          <w:sz w:val="20"/>
          <w:szCs w:val="20"/>
        </w:rPr>
        <w:t>7</w:t>
      </w:r>
    </w:p>
    <w:p w:rsidR="001E5894" w:rsidRPr="002C20EF" w:rsidRDefault="001E5894" w:rsidP="00E1021A">
      <w:pPr>
        <w:spacing w:after="0" w:line="240" w:lineRule="auto"/>
        <w:jc w:val="center"/>
        <w:rPr>
          <w:rFonts w:ascii="Times New Roman" w:eastAsia="Times New Roman" w:hAnsi="Times New Roman"/>
          <w:spacing w:val="-2"/>
          <w:sz w:val="6"/>
          <w:szCs w:val="6"/>
        </w:rPr>
      </w:pPr>
    </w:p>
    <w:p w:rsidR="00C60322" w:rsidRPr="002C20EF" w:rsidRDefault="00E33E68" w:rsidP="00E1021A">
      <w:pPr>
        <w:spacing w:after="0" w:line="240" w:lineRule="auto"/>
        <w:jc w:val="center"/>
        <w:rPr>
          <w:rFonts w:ascii="Times New Roman" w:eastAsia="Times New Roman" w:hAnsi="Times New Roman"/>
          <w:spacing w:val="-2"/>
          <w:sz w:val="24"/>
          <w:szCs w:val="24"/>
        </w:rPr>
      </w:pPr>
      <w:r w:rsidRPr="00E33E68">
        <w:rPr>
          <w:noProof/>
        </w:rPr>
        <w:drawing>
          <wp:inline distT="0" distB="0" distL="0" distR="0" wp14:anchorId="6EC3E82B" wp14:editId="6CAEA3A4">
            <wp:extent cx="3905250" cy="418562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11309" cy="4192118"/>
                    </a:xfrm>
                    <a:prstGeom prst="rect">
                      <a:avLst/>
                    </a:prstGeom>
                    <a:noFill/>
                    <a:ln>
                      <a:noFill/>
                    </a:ln>
                  </pic:spPr>
                </pic:pic>
              </a:graphicData>
            </a:graphic>
          </wp:inline>
        </w:drawing>
      </w:r>
    </w:p>
    <w:p w:rsidR="00747D24" w:rsidRPr="0048250E" w:rsidRDefault="00747D24" w:rsidP="00E1021A">
      <w:pPr>
        <w:spacing w:after="0" w:line="240" w:lineRule="auto"/>
        <w:jc w:val="center"/>
        <w:rPr>
          <w:rFonts w:ascii="Times New Roman" w:eastAsia="Times New Roman" w:hAnsi="Times New Roman"/>
          <w:spacing w:val="-2"/>
          <w:sz w:val="16"/>
          <w:szCs w:val="16"/>
        </w:rPr>
      </w:pPr>
    </w:p>
    <w:p w:rsidR="006E08A9" w:rsidRPr="003B14ED" w:rsidRDefault="00244B3D" w:rsidP="004973A6">
      <w:pPr>
        <w:pStyle w:val="Heading2"/>
        <w:rPr>
          <w:sz w:val="28"/>
          <w:szCs w:val="28"/>
        </w:rPr>
      </w:pPr>
      <w:bookmarkStart w:id="40" w:name="_Toc483207979"/>
      <w:r w:rsidRPr="003B14ED">
        <w:rPr>
          <w:sz w:val="28"/>
          <w:szCs w:val="28"/>
        </w:rPr>
        <w:t xml:space="preserve">Spectrum Auctions </w:t>
      </w:r>
      <w:r w:rsidR="001E5894" w:rsidRPr="003B14ED">
        <w:rPr>
          <w:sz w:val="28"/>
          <w:szCs w:val="28"/>
        </w:rPr>
        <w:t xml:space="preserve">Program </w:t>
      </w:r>
      <w:r w:rsidRPr="003B14ED">
        <w:rPr>
          <w:sz w:val="28"/>
          <w:szCs w:val="28"/>
        </w:rPr>
        <w:t>– Collect</w:t>
      </w:r>
      <w:r w:rsidR="004973A6" w:rsidRPr="003B14ED">
        <w:rPr>
          <w:sz w:val="28"/>
          <w:szCs w:val="28"/>
        </w:rPr>
        <w:t>ions</w:t>
      </w:r>
      <w:r w:rsidRPr="003B14ED">
        <w:rPr>
          <w:sz w:val="28"/>
          <w:szCs w:val="28"/>
        </w:rPr>
        <w:t xml:space="preserve"> vs. Expenditures</w:t>
      </w:r>
      <w:bookmarkEnd w:id="40"/>
    </w:p>
    <w:p w:rsidR="00244B3D" w:rsidRPr="00B27F9E" w:rsidRDefault="00244B3D" w:rsidP="00E1021A">
      <w:pPr>
        <w:spacing w:after="0" w:line="240" w:lineRule="auto"/>
        <w:jc w:val="center"/>
        <w:rPr>
          <w:rFonts w:ascii="Times New Roman" w:hAnsi="Times New Roman"/>
          <w:sz w:val="24"/>
          <w:szCs w:val="24"/>
        </w:rPr>
      </w:pPr>
      <w:r w:rsidRPr="00067E45">
        <w:rPr>
          <w:rFonts w:ascii="Times New Roman" w:hAnsi="Times New Roman"/>
          <w:sz w:val="24"/>
          <w:szCs w:val="24"/>
        </w:rPr>
        <w:t xml:space="preserve">Fiscal Years 1994 </w:t>
      </w:r>
      <w:r w:rsidR="00935C9E" w:rsidRPr="00E17DEB">
        <w:rPr>
          <w:rFonts w:ascii="Times New Roman" w:hAnsi="Times New Roman"/>
          <w:sz w:val="24"/>
          <w:szCs w:val="24"/>
        </w:rPr>
        <w:t xml:space="preserve">through </w:t>
      </w:r>
      <w:r w:rsidR="00AF1923" w:rsidRPr="00E17DEB">
        <w:rPr>
          <w:rFonts w:ascii="Times New Roman" w:hAnsi="Times New Roman"/>
          <w:sz w:val="24"/>
          <w:szCs w:val="24"/>
        </w:rPr>
        <w:t xml:space="preserve">April 24, </w:t>
      </w:r>
      <w:r w:rsidRPr="00E17DEB">
        <w:rPr>
          <w:rFonts w:ascii="Times New Roman" w:hAnsi="Times New Roman"/>
          <w:sz w:val="24"/>
          <w:szCs w:val="24"/>
        </w:rPr>
        <w:t>201</w:t>
      </w:r>
      <w:r w:rsidR="00AF1923" w:rsidRPr="00E17DEB">
        <w:rPr>
          <w:rFonts w:ascii="Times New Roman" w:hAnsi="Times New Roman"/>
          <w:sz w:val="24"/>
          <w:szCs w:val="24"/>
        </w:rPr>
        <w:t>7</w:t>
      </w:r>
    </w:p>
    <w:p w:rsidR="00244B3D" w:rsidRPr="00244B3D" w:rsidRDefault="00244B3D" w:rsidP="00E1021A">
      <w:pPr>
        <w:spacing w:after="0" w:line="240" w:lineRule="auto"/>
        <w:jc w:val="center"/>
        <w:rPr>
          <w:rFonts w:ascii="Times New Roman" w:eastAsia="Times New Roman" w:hAnsi="Times New Roman"/>
          <w:spacing w:val="-2"/>
          <w:sz w:val="16"/>
          <w:szCs w:val="16"/>
        </w:rPr>
      </w:pPr>
      <w:r>
        <w:rPr>
          <w:rFonts w:ascii="Times New Roman" w:hAnsi="Times New Roman"/>
          <w:sz w:val="16"/>
          <w:szCs w:val="16"/>
        </w:rPr>
        <w:t>(Dollars in Millions)</w:t>
      </w:r>
    </w:p>
    <w:p w:rsidR="0046584D" w:rsidRDefault="00E33E68" w:rsidP="0048250E">
      <w:pPr>
        <w:spacing w:after="0" w:line="240" w:lineRule="auto"/>
        <w:jc w:val="center"/>
      </w:pPr>
      <w:r w:rsidRPr="00E33E68">
        <w:rPr>
          <w:noProof/>
        </w:rPr>
        <w:drawing>
          <wp:inline distT="0" distB="0" distL="0" distR="0" wp14:anchorId="02C8CBAF" wp14:editId="6C3AAAD9">
            <wp:extent cx="4396113" cy="2235200"/>
            <wp:effectExtent l="0" t="0" r="4445"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07638" cy="2241060"/>
                    </a:xfrm>
                    <a:prstGeom prst="rect">
                      <a:avLst/>
                    </a:prstGeom>
                    <a:noFill/>
                    <a:ln>
                      <a:noFill/>
                    </a:ln>
                  </pic:spPr>
                </pic:pic>
              </a:graphicData>
            </a:graphic>
          </wp:inline>
        </w:drawing>
      </w:r>
    </w:p>
    <w:sectPr w:rsidR="0046584D" w:rsidSect="00A35C36">
      <w:pgSz w:w="12240" w:h="15840" w:code="1"/>
      <w:pgMar w:top="990" w:right="1350" w:bottom="1152"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6ED" w:rsidRDefault="00AE16ED" w:rsidP="00DE0CE1">
      <w:pPr>
        <w:spacing w:after="0" w:line="240" w:lineRule="auto"/>
      </w:pPr>
      <w:r>
        <w:separator/>
      </w:r>
    </w:p>
  </w:endnote>
  <w:endnote w:type="continuationSeparator" w:id="0">
    <w:p w:rsidR="00AE16ED" w:rsidRDefault="00AE16ED" w:rsidP="00DE0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AC0" w:rsidRDefault="00751A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7083683"/>
      <w:docPartObj>
        <w:docPartGallery w:val="Page Numbers (Bottom of Page)"/>
        <w:docPartUnique/>
      </w:docPartObj>
    </w:sdtPr>
    <w:sdtEndPr>
      <w:rPr>
        <w:noProof/>
      </w:rPr>
    </w:sdtEndPr>
    <w:sdtContent>
      <w:p w:rsidR="00DC5B39" w:rsidRDefault="00DC5B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E16ED" w:rsidRDefault="00AE16ED" w:rsidP="00E334BD">
    <w:pPr>
      <w:tabs>
        <w:tab w:val="left" w:pos="5935"/>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893815789"/>
      <w:docPartObj>
        <w:docPartGallery w:val="Page Numbers (Bottom of Page)"/>
        <w:docPartUnique/>
      </w:docPartObj>
    </w:sdtPr>
    <w:sdtEndPr>
      <w:rPr>
        <w:noProof/>
      </w:rPr>
    </w:sdtEndPr>
    <w:sdtContent>
      <w:p w:rsidR="00AE16ED" w:rsidRPr="00F17237" w:rsidRDefault="00AE16ED">
        <w:pPr>
          <w:pStyle w:val="Footer"/>
          <w:jc w:val="center"/>
          <w:rPr>
            <w:rFonts w:ascii="Times New Roman" w:hAnsi="Times New Roman"/>
          </w:rPr>
        </w:pPr>
        <w:r w:rsidRPr="00F17237">
          <w:rPr>
            <w:rFonts w:ascii="Times New Roman" w:hAnsi="Times New Roman"/>
          </w:rPr>
          <w:fldChar w:fldCharType="begin"/>
        </w:r>
        <w:r w:rsidRPr="00F17237">
          <w:rPr>
            <w:rFonts w:ascii="Times New Roman" w:hAnsi="Times New Roman"/>
          </w:rPr>
          <w:instrText xml:space="preserve"> PAGE   \* MERGEFORMAT </w:instrText>
        </w:r>
        <w:r w:rsidRPr="00F17237">
          <w:rPr>
            <w:rFonts w:ascii="Times New Roman" w:hAnsi="Times New Roman"/>
          </w:rPr>
          <w:fldChar w:fldCharType="separate"/>
        </w:r>
        <w:r w:rsidR="0074313C">
          <w:rPr>
            <w:rFonts w:ascii="Times New Roman" w:hAnsi="Times New Roman"/>
            <w:noProof/>
          </w:rPr>
          <w:t xml:space="preserve"> </w:t>
        </w:r>
        <w:r w:rsidRPr="00F17237">
          <w:rPr>
            <w:rFonts w:ascii="Times New Roman" w:hAnsi="Times New Roman"/>
            <w:noProof/>
          </w:rPr>
          <w:fldChar w:fldCharType="end"/>
        </w:r>
      </w:p>
    </w:sdtContent>
  </w:sdt>
  <w:p w:rsidR="00AE16ED" w:rsidRDefault="00AE16E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2410805"/>
      <w:docPartObj>
        <w:docPartGallery w:val="Page Numbers (Bottom of Page)"/>
        <w:docPartUnique/>
      </w:docPartObj>
    </w:sdtPr>
    <w:sdtEndPr>
      <w:rPr>
        <w:noProof/>
      </w:rPr>
    </w:sdtEndPr>
    <w:sdtContent>
      <w:p w:rsidR="00DC5B39" w:rsidRDefault="00DC5B39">
        <w:pPr>
          <w:pStyle w:val="Footer"/>
          <w:jc w:val="center"/>
        </w:pPr>
        <w:r w:rsidRPr="00DC5B39">
          <w:rPr>
            <w:rFonts w:ascii="Times New Roman" w:hAnsi="Times New Roman"/>
            <w:sz w:val="20"/>
            <w:szCs w:val="20"/>
          </w:rPr>
          <w:fldChar w:fldCharType="begin"/>
        </w:r>
        <w:r w:rsidRPr="00DC5B39">
          <w:rPr>
            <w:rFonts w:ascii="Times New Roman" w:hAnsi="Times New Roman"/>
            <w:sz w:val="20"/>
            <w:szCs w:val="20"/>
          </w:rPr>
          <w:instrText xml:space="preserve"> PAGE   \* MERGEFORMAT </w:instrText>
        </w:r>
        <w:r w:rsidRPr="00DC5B39">
          <w:rPr>
            <w:rFonts w:ascii="Times New Roman" w:hAnsi="Times New Roman"/>
            <w:sz w:val="20"/>
            <w:szCs w:val="20"/>
          </w:rPr>
          <w:fldChar w:fldCharType="separate"/>
        </w:r>
        <w:r w:rsidR="0074313C">
          <w:rPr>
            <w:rFonts w:ascii="Times New Roman" w:hAnsi="Times New Roman"/>
            <w:noProof/>
            <w:sz w:val="20"/>
            <w:szCs w:val="20"/>
          </w:rPr>
          <w:t>1</w:t>
        </w:r>
        <w:r w:rsidRPr="00DC5B39">
          <w:rPr>
            <w:rFonts w:ascii="Times New Roman" w:hAnsi="Times New Roman"/>
            <w:noProof/>
            <w:sz w:val="20"/>
            <w:szCs w:val="20"/>
          </w:rPr>
          <w:fldChar w:fldCharType="end"/>
        </w:r>
      </w:p>
    </w:sdtContent>
  </w:sdt>
  <w:p w:rsidR="00DC5B39" w:rsidRDefault="00DC5B39" w:rsidP="00E334BD">
    <w:pPr>
      <w:tabs>
        <w:tab w:val="left" w:pos="5935"/>
      </w:tabs>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6ED" w:rsidRDefault="00AE16ED" w:rsidP="0083019A">
    <w:pPr>
      <w:pStyle w:val="Footer"/>
      <w:framePr w:wrap="around" w:vAnchor="text" w:hAnchor="margin" w:xAlign="right" w:y="1"/>
    </w:pPr>
  </w:p>
  <w:p w:rsidR="00AE16ED" w:rsidRPr="005F6ED0" w:rsidRDefault="00AE16ED" w:rsidP="00C43095">
    <w:pPr>
      <w:pStyle w:val="Footer"/>
      <w:tabs>
        <w:tab w:val="center" w:pos="4788"/>
        <w:tab w:val="left" w:pos="5485"/>
      </w:tabs>
      <w:ind w:right="360"/>
      <w:jc w:val="center"/>
      <w:rPr>
        <w:rFonts w:ascii="Times New Roman" w:hAnsi="Times New Roman"/>
        <w:sz w:val="20"/>
        <w:szCs w:val="20"/>
      </w:rPr>
    </w:pPr>
    <w:r w:rsidRPr="005F6ED0">
      <w:rPr>
        <w:rStyle w:val="PageNumber"/>
        <w:rFonts w:ascii="Times New Roman" w:hAnsi="Times New Roman"/>
        <w:sz w:val="20"/>
        <w:szCs w:val="20"/>
      </w:rPr>
      <w:fldChar w:fldCharType="begin"/>
    </w:r>
    <w:r w:rsidRPr="005F6ED0">
      <w:rPr>
        <w:rStyle w:val="PageNumber"/>
        <w:rFonts w:ascii="Times New Roman" w:hAnsi="Times New Roman"/>
        <w:sz w:val="20"/>
        <w:szCs w:val="20"/>
      </w:rPr>
      <w:instrText xml:space="preserve"> PAGE </w:instrText>
    </w:r>
    <w:r w:rsidRPr="005F6ED0">
      <w:rPr>
        <w:rStyle w:val="PageNumber"/>
        <w:rFonts w:ascii="Times New Roman" w:hAnsi="Times New Roman"/>
        <w:sz w:val="20"/>
        <w:szCs w:val="20"/>
      </w:rPr>
      <w:fldChar w:fldCharType="separate"/>
    </w:r>
    <w:r w:rsidR="00C86672">
      <w:rPr>
        <w:rStyle w:val="PageNumber"/>
        <w:rFonts w:ascii="Times New Roman" w:hAnsi="Times New Roman"/>
        <w:noProof/>
        <w:sz w:val="20"/>
        <w:szCs w:val="20"/>
      </w:rPr>
      <w:t>28</w:t>
    </w:r>
    <w:r w:rsidRPr="005F6ED0">
      <w:rPr>
        <w:rStyle w:val="PageNumber"/>
        <w:rFonts w:ascii="Times New Roman" w:hAnsi="Times New Roman"/>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6ED" w:rsidRDefault="00AE16ED" w:rsidP="00DE0CE1">
      <w:pPr>
        <w:spacing w:after="0" w:line="240" w:lineRule="auto"/>
      </w:pPr>
      <w:r>
        <w:separator/>
      </w:r>
    </w:p>
  </w:footnote>
  <w:footnote w:type="continuationSeparator" w:id="0">
    <w:p w:rsidR="00AE16ED" w:rsidRDefault="00AE16ED" w:rsidP="00DE0CE1">
      <w:pPr>
        <w:spacing w:after="0" w:line="240" w:lineRule="auto"/>
      </w:pPr>
      <w:r>
        <w:continuationSeparator/>
      </w:r>
    </w:p>
  </w:footnote>
  <w:footnote w:id="1">
    <w:p w:rsidR="00AE16ED" w:rsidRDefault="00AE16ED" w:rsidP="00961875">
      <w:pPr>
        <w:pStyle w:val="FootnoteText"/>
      </w:pPr>
      <w:r>
        <w:rPr>
          <w:rStyle w:val="FootnoteReference"/>
        </w:rPr>
        <w:footnoteRef/>
      </w:r>
      <w:r>
        <w:t xml:space="preserve"> 47 U.S.C. § 151.</w:t>
      </w:r>
    </w:p>
  </w:footnote>
  <w:footnote w:id="2">
    <w:p w:rsidR="00AE16ED" w:rsidRDefault="00AE16ED" w:rsidP="00961875">
      <w:pPr>
        <w:pStyle w:val="FootnoteText"/>
      </w:pPr>
      <w:r>
        <w:rPr>
          <w:rStyle w:val="FootnoteReference"/>
        </w:rPr>
        <w:footnoteRef/>
      </w:r>
      <w:r>
        <w:t xml:space="preserve"> </w:t>
      </w:r>
      <w:r>
        <w:rPr>
          <w:i/>
        </w:rPr>
        <w:t>Id.</w:t>
      </w:r>
    </w:p>
  </w:footnote>
  <w:footnote w:id="3">
    <w:p w:rsidR="00AE16ED" w:rsidRDefault="00AE16ED">
      <w:pPr>
        <w:pStyle w:val="FootnoteText"/>
      </w:pPr>
      <w:r w:rsidRPr="0034336E">
        <w:rPr>
          <w:rStyle w:val="FootnoteReference"/>
        </w:rPr>
        <w:footnoteRef/>
      </w:r>
      <w:r w:rsidRPr="0034336E">
        <w:t xml:space="preserve"> Refer to a chart </w:t>
      </w:r>
      <w:r w:rsidRPr="00281B79">
        <w:t xml:space="preserve">on page </w:t>
      </w:r>
      <w:r w:rsidR="00122C0C">
        <w:t>27</w:t>
      </w:r>
      <w:r w:rsidRPr="00281B79">
        <w:t xml:space="preserve"> for a</w:t>
      </w:r>
      <w:r w:rsidRPr="0034336E">
        <w:t xml:space="preserve"> breakdown of FTEs between non-auctions (Regulatory Fees) and auctions.</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6ED" w:rsidRDefault="0074313C">
    <w:pPr>
      <w:pStyle w:val="Header"/>
    </w:pPr>
    <w:r>
      <w:rPr>
        <w:noProof/>
      </w:rPr>
      <w:pict w14:anchorId="42116C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5589" o:spid="_x0000_s2092" type="#_x0000_t75" style="position:absolute;margin-left:0;margin-top:0;width:900pt;height:600pt;z-index:-251657216;mso-position-horizontal:center;mso-position-horizontal-relative:margin;mso-position-vertical:center;mso-position-vertical-relative:margin" o:allowincell="f">
          <v:imagedata r:id="rId1" o:title="FCC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AC0" w:rsidRDefault="00751A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AC0" w:rsidRDefault="00751AC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4BD" w:rsidRDefault="00E334B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6ED" w:rsidRDefault="0074313C">
    <w:pPr>
      <w:pStyle w:val="Header"/>
    </w:pPr>
    <w:r>
      <w:rPr>
        <w:noProof/>
      </w:rPr>
      <w:pict w14:anchorId="63BB4E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5595" o:spid="_x0000_s2098" type="#_x0000_t75" style="position:absolute;margin-left:0;margin-top:0;width:900pt;height:600pt;z-index:-251651072;mso-position-horizontal:center;mso-position-horizontal-relative:margin;mso-position-vertical:center;mso-position-vertical-relative:margin" o:allowincell="f">
          <v:imagedata r:id="rId1" o:title="FCClogo"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6ED" w:rsidRDefault="00AE16E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6ED" w:rsidRDefault="0074313C">
    <w:pPr>
      <w:pStyle w:val="Header"/>
    </w:pPr>
    <w:r>
      <w:rPr>
        <w:noProof/>
      </w:rPr>
      <w:pict w14:anchorId="23C238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5594" o:spid="_x0000_s2097" type="#_x0000_t75" style="position:absolute;margin-left:0;margin-top:0;width:900pt;height:600pt;z-index:-251652096;mso-position-horizontal:center;mso-position-horizontal-relative:margin;mso-position-vertical:center;mso-position-vertical-relative:margin" o:allowincell="f">
          <v:imagedata r:id="rId1" o:title="FCC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C25F4"/>
    <w:multiLevelType w:val="hybridMultilevel"/>
    <w:tmpl w:val="2C565A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00032"/>
    <w:multiLevelType w:val="hybridMultilevel"/>
    <w:tmpl w:val="DCFAE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434C9A"/>
    <w:multiLevelType w:val="hybridMultilevel"/>
    <w:tmpl w:val="CD40CBC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7F19EE"/>
    <w:multiLevelType w:val="multilevel"/>
    <w:tmpl w:val="3872CDE8"/>
    <w:lvl w:ilvl="0">
      <w:start w:val="1"/>
      <w:numFmt w:val="decimal"/>
      <w:lvlText w:val="%1."/>
      <w:lvlJc w:val="left"/>
      <w:pPr>
        <w:ind w:left="720" w:hanging="360"/>
      </w:pPr>
    </w:lvl>
    <w:lvl w:ilvl="1">
      <w:start w:val="1"/>
      <w:numFmt w:val="decimal"/>
      <w:isLgl/>
      <w:lvlText w:val="%1.%2"/>
      <w:lvlJc w:val="left"/>
      <w:pPr>
        <w:ind w:left="1092" w:hanging="732"/>
      </w:pPr>
      <w:rPr>
        <w:rFonts w:hint="default"/>
      </w:rPr>
    </w:lvl>
    <w:lvl w:ilvl="2">
      <w:start w:val="3"/>
      <w:numFmt w:val="decimal"/>
      <w:isLgl/>
      <w:lvlText w:val="%1.%2.%3"/>
      <w:lvlJc w:val="left"/>
      <w:pPr>
        <w:ind w:left="1092" w:hanging="732"/>
      </w:pPr>
      <w:rPr>
        <w:rFonts w:hint="default"/>
      </w:rPr>
    </w:lvl>
    <w:lvl w:ilvl="3">
      <w:start w:val="1"/>
      <w:numFmt w:val="decimal"/>
      <w:isLgl/>
      <w:lvlText w:val="%1.%2.%3.%4"/>
      <w:lvlJc w:val="left"/>
      <w:pPr>
        <w:ind w:left="1092" w:hanging="732"/>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72F573C"/>
    <w:multiLevelType w:val="hybridMultilevel"/>
    <w:tmpl w:val="3B0CB5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DA4408"/>
    <w:multiLevelType w:val="hybridMultilevel"/>
    <w:tmpl w:val="32123E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4B053B"/>
    <w:multiLevelType w:val="hybridMultilevel"/>
    <w:tmpl w:val="9AB835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nsid w:val="14A82BEE"/>
    <w:multiLevelType w:val="hybridMultilevel"/>
    <w:tmpl w:val="0D9A4E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B15BDF"/>
    <w:multiLevelType w:val="hybridMultilevel"/>
    <w:tmpl w:val="77ECF972"/>
    <w:lvl w:ilvl="0" w:tplc="35BE30DA">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B0E1EF1"/>
    <w:multiLevelType w:val="hybridMultilevel"/>
    <w:tmpl w:val="DC02C5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5E23A2"/>
    <w:multiLevelType w:val="hybridMultilevel"/>
    <w:tmpl w:val="7CA6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A8497C"/>
    <w:multiLevelType w:val="hybridMultilevel"/>
    <w:tmpl w:val="FB2A2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4E25FF"/>
    <w:multiLevelType w:val="hybridMultilevel"/>
    <w:tmpl w:val="DDE4375A"/>
    <w:lvl w:ilvl="0" w:tplc="04090005">
      <w:start w:val="1"/>
      <w:numFmt w:val="bullet"/>
      <w:lvlText w:val=""/>
      <w:lvlJc w:val="left"/>
      <w:pPr>
        <w:tabs>
          <w:tab w:val="num" w:pos="720"/>
        </w:tabs>
        <w:ind w:left="720" w:hanging="360"/>
      </w:pPr>
      <w:rPr>
        <w:rFonts w:ascii="Wingdings" w:hAnsi="Wingdings" w:hint="default"/>
        <w:b w:val="0"/>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9650D9D"/>
    <w:multiLevelType w:val="multilevel"/>
    <w:tmpl w:val="D07A835A"/>
    <w:lvl w:ilvl="0">
      <w:start w:val="1"/>
      <w:numFmt w:val="bullet"/>
      <w:lvlText w:val=""/>
      <w:lvlJc w:val="left"/>
      <w:pPr>
        <w:tabs>
          <w:tab w:val="num" w:pos="720"/>
        </w:tabs>
        <w:ind w:left="720" w:hanging="360"/>
      </w:pPr>
      <w:rPr>
        <w:rFonts w:ascii="Wingdings" w:hAnsi="Wingdings"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4">
    <w:nsid w:val="483320A1"/>
    <w:multiLevelType w:val="hybridMultilevel"/>
    <w:tmpl w:val="067AB5A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8B16A58"/>
    <w:multiLevelType w:val="hybridMultilevel"/>
    <w:tmpl w:val="96D2A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EC0E14"/>
    <w:multiLevelType w:val="hybridMultilevel"/>
    <w:tmpl w:val="8AB24A6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E8E6940"/>
    <w:multiLevelType w:val="hybridMultilevel"/>
    <w:tmpl w:val="2FB0D4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D703F5"/>
    <w:multiLevelType w:val="hybridMultilevel"/>
    <w:tmpl w:val="2124E9E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5904265"/>
    <w:multiLevelType w:val="hybridMultilevel"/>
    <w:tmpl w:val="5F06C6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452AE3"/>
    <w:multiLevelType w:val="hybridMultilevel"/>
    <w:tmpl w:val="5B9E1CF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A2E56DA"/>
    <w:multiLevelType w:val="hybridMultilevel"/>
    <w:tmpl w:val="0E5AF27E"/>
    <w:lvl w:ilvl="0" w:tplc="6D68AE3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0061542"/>
    <w:multiLevelType w:val="hybridMultilevel"/>
    <w:tmpl w:val="58AC5342"/>
    <w:lvl w:ilvl="0" w:tplc="04090005">
      <w:start w:val="1"/>
      <w:numFmt w:val="bullet"/>
      <w:lvlText w:val=""/>
      <w:lvlJc w:val="left"/>
      <w:pPr>
        <w:ind w:left="630" w:hanging="360"/>
      </w:pPr>
      <w:rPr>
        <w:rFonts w:ascii="Wingdings" w:hAnsi="Wingdings"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nsid w:val="608E719C"/>
    <w:multiLevelType w:val="hybridMultilevel"/>
    <w:tmpl w:val="77545182"/>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61067049"/>
    <w:multiLevelType w:val="hybridMultilevel"/>
    <w:tmpl w:val="595A40D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5B8231F"/>
    <w:multiLevelType w:val="multilevel"/>
    <w:tmpl w:val="2BD62A18"/>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6">
    <w:nsid w:val="65D8539D"/>
    <w:multiLevelType w:val="hybridMultilevel"/>
    <w:tmpl w:val="DBC0101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6297DC9"/>
    <w:multiLevelType w:val="multilevel"/>
    <w:tmpl w:val="AFBA19AC"/>
    <w:lvl w:ilvl="0">
      <w:start w:val="1"/>
      <w:numFmt w:val="bullet"/>
      <w:lvlText w:val=""/>
      <w:lvlJc w:val="left"/>
      <w:pPr>
        <w:tabs>
          <w:tab w:val="num" w:pos="720"/>
        </w:tabs>
        <w:ind w:left="720" w:hanging="360"/>
      </w:pPr>
      <w:rPr>
        <w:rFonts w:ascii="Wingdings" w:hAnsi="Wingdings"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8">
    <w:nsid w:val="6AC72430"/>
    <w:multiLevelType w:val="hybridMultilevel"/>
    <w:tmpl w:val="5C8E3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D10FDE"/>
    <w:multiLevelType w:val="hybridMultilevel"/>
    <w:tmpl w:val="46F0D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C444B2"/>
    <w:multiLevelType w:val="hybridMultilevel"/>
    <w:tmpl w:val="3C44760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B0D6A9B"/>
    <w:multiLevelType w:val="hybridMultilevel"/>
    <w:tmpl w:val="FA7E7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E536BA"/>
    <w:multiLevelType w:val="multilevel"/>
    <w:tmpl w:val="90F46B14"/>
    <w:lvl w:ilvl="0">
      <w:start w:val="1"/>
      <w:numFmt w:val="bullet"/>
      <w:lvlText w:val=""/>
      <w:lvlJc w:val="left"/>
      <w:pPr>
        <w:tabs>
          <w:tab w:val="num" w:pos="720"/>
        </w:tabs>
        <w:ind w:left="720" w:hanging="360"/>
      </w:pPr>
      <w:rPr>
        <w:rFonts w:ascii="Wingdings" w:hAnsi="Wingdings"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num w:numId="1">
    <w:abstractNumId w:val="23"/>
  </w:num>
  <w:num w:numId="2">
    <w:abstractNumId w:val="2"/>
  </w:num>
  <w:num w:numId="3">
    <w:abstractNumId w:val="32"/>
  </w:num>
  <w:num w:numId="4">
    <w:abstractNumId w:val="26"/>
  </w:num>
  <w:num w:numId="5">
    <w:abstractNumId w:val="25"/>
  </w:num>
  <w:num w:numId="6">
    <w:abstractNumId w:val="16"/>
  </w:num>
  <w:num w:numId="7">
    <w:abstractNumId w:val="27"/>
  </w:num>
  <w:num w:numId="8">
    <w:abstractNumId w:val="30"/>
  </w:num>
  <w:num w:numId="9">
    <w:abstractNumId w:val="12"/>
  </w:num>
  <w:num w:numId="10">
    <w:abstractNumId w:val="9"/>
  </w:num>
  <w:num w:numId="11">
    <w:abstractNumId w:val="22"/>
  </w:num>
  <w:num w:numId="12">
    <w:abstractNumId w:val="0"/>
  </w:num>
  <w:num w:numId="1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7"/>
  </w:num>
  <w:num w:numId="16">
    <w:abstractNumId w:val="17"/>
  </w:num>
  <w:num w:numId="17">
    <w:abstractNumId w:val="4"/>
  </w:num>
  <w:num w:numId="18">
    <w:abstractNumId w:val="24"/>
  </w:num>
  <w:num w:numId="19">
    <w:abstractNumId w:val="18"/>
  </w:num>
  <w:num w:numId="20">
    <w:abstractNumId w:val="11"/>
  </w:num>
  <w:num w:numId="21">
    <w:abstractNumId w:val="29"/>
  </w:num>
  <w:num w:numId="22">
    <w:abstractNumId w:val="14"/>
  </w:num>
  <w:num w:numId="23">
    <w:abstractNumId w:val="28"/>
  </w:num>
  <w:num w:numId="24">
    <w:abstractNumId w:val="5"/>
  </w:num>
  <w:num w:numId="25">
    <w:abstractNumId w:val="21"/>
  </w:num>
  <w:num w:numId="26">
    <w:abstractNumId w:val="19"/>
  </w:num>
  <w:num w:numId="27">
    <w:abstractNumId w:val="1"/>
  </w:num>
  <w:num w:numId="28">
    <w:abstractNumId w:val="15"/>
  </w:num>
  <w:num w:numId="29">
    <w:abstractNumId w:val="10"/>
  </w:num>
  <w:num w:numId="30">
    <w:abstractNumId w:val="31"/>
  </w:num>
  <w:num w:numId="31">
    <w:abstractNumId w:val="8"/>
  </w:num>
  <w:num w:numId="32">
    <w:abstractNumId w:val="3"/>
  </w:num>
  <w:num w:numId="33">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characterSpacingControl w:val="doNotCompress"/>
  <w:hdrShapeDefaults>
    <o:shapedefaults v:ext="edit" spidmax="209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662"/>
    <w:rsid w:val="00000799"/>
    <w:rsid w:val="00000C9E"/>
    <w:rsid w:val="000016AC"/>
    <w:rsid w:val="00002AE7"/>
    <w:rsid w:val="0000328F"/>
    <w:rsid w:val="00004ED5"/>
    <w:rsid w:val="00010C74"/>
    <w:rsid w:val="000118B1"/>
    <w:rsid w:val="000119A0"/>
    <w:rsid w:val="00011C18"/>
    <w:rsid w:val="00014AF3"/>
    <w:rsid w:val="00015C62"/>
    <w:rsid w:val="00016108"/>
    <w:rsid w:val="00016630"/>
    <w:rsid w:val="00017827"/>
    <w:rsid w:val="00020B56"/>
    <w:rsid w:val="0002219D"/>
    <w:rsid w:val="00022A3F"/>
    <w:rsid w:val="000238FF"/>
    <w:rsid w:val="00024181"/>
    <w:rsid w:val="00024880"/>
    <w:rsid w:val="00025416"/>
    <w:rsid w:val="00025FE8"/>
    <w:rsid w:val="00026160"/>
    <w:rsid w:val="0002629D"/>
    <w:rsid w:val="000268C1"/>
    <w:rsid w:val="00026AF1"/>
    <w:rsid w:val="00027139"/>
    <w:rsid w:val="000273EB"/>
    <w:rsid w:val="00027FD5"/>
    <w:rsid w:val="0003077B"/>
    <w:rsid w:val="0003086A"/>
    <w:rsid w:val="000308E1"/>
    <w:rsid w:val="00030E34"/>
    <w:rsid w:val="00031159"/>
    <w:rsid w:val="0003247D"/>
    <w:rsid w:val="00032B0F"/>
    <w:rsid w:val="0003315D"/>
    <w:rsid w:val="000338BB"/>
    <w:rsid w:val="00033AAD"/>
    <w:rsid w:val="000355F3"/>
    <w:rsid w:val="000363B1"/>
    <w:rsid w:val="000369E4"/>
    <w:rsid w:val="000379EE"/>
    <w:rsid w:val="00040817"/>
    <w:rsid w:val="000412DA"/>
    <w:rsid w:val="000419FC"/>
    <w:rsid w:val="00041D24"/>
    <w:rsid w:val="00043F78"/>
    <w:rsid w:val="0004433C"/>
    <w:rsid w:val="00045666"/>
    <w:rsid w:val="000460C2"/>
    <w:rsid w:val="0004769E"/>
    <w:rsid w:val="000504F8"/>
    <w:rsid w:val="00051936"/>
    <w:rsid w:val="00052E62"/>
    <w:rsid w:val="00053E0F"/>
    <w:rsid w:val="00056D97"/>
    <w:rsid w:val="00057EDB"/>
    <w:rsid w:val="00060841"/>
    <w:rsid w:val="00061A35"/>
    <w:rsid w:val="00062BC4"/>
    <w:rsid w:val="00063033"/>
    <w:rsid w:val="00063126"/>
    <w:rsid w:val="00063C7F"/>
    <w:rsid w:val="000657C2"/>
    <w:rsid w:val="000666A8"/>
    <w:rsid w:val="00066E1C"/>
    <w:rsid w:val="0006703C"/>
    <w:rsid w:val="000670ED"/>
    <w:rsid w:val="00067E45"/>
    <w:rsid w:val="0007166A"/>
    <w:rsid w:val="000720FC"/>
    <w:rsid w:val="0007633B"/>
    <w:rsid w:val="00077030"/>
    <w:rsid w:val="000770D6"/>
    <w:rsid w:val="000811C5"/>
    <w:rsid w:val="0008194D"/>
    <w:rsid w:val="00081EF1"/>
    <w:rsid w:val="00082142"/>
    <w:rsid w:val="00082167"/>
    <w:rsid w:val="0008268D"/>
    <w:rsid w:val="00083047"/>
    <w:rsid w:val="000838C1"/>
    <w:rsid w:val="00083BD6"/>
    <w:rsid w:val="00083CE4"/>
    <w:rsid w:val="00085A43"/>
    <w:rsid w:val="0008681E"/>
    <w:rsid w:val="00086EFE"/>
    <w:rsid w:val="00086FD2"/>
    <w:rsid w:val="00087086"/>
    <w:rsid w:val="00087E50"/>
    <w:rsid w:val="00094DF8"/>
    <w:rsid w:val="00096472"/>
    <w:rsid w:val="00097033"/>
    <w:rsid w:val="00097660"/>
    <w:rsid w:val="000A0B73"/>
    <w:rsid w:val="000A227C"/>
    <w:rsid w:val="000A3A7C"/>
    <w:rsid w:val="000A480F"/>
    <w:rsid w:val="000A4D81"/>
    <w:rsid w:val="000A52F0"/>
    <w:rsid w:val="000A5454"/>
    <w:rsid w:val="000A6426"/>
    <w:rsid w:val="000A6820"/>
    <w:rsid w:val="000A6AF0"/>
    <w:rsid w:val="000A72D6"/>
    <w:rsid w:val="000A7D69"/>
    <w:rsid w:val="000B01B1"/>
    <w:rsid w:val="000B0EDE"/>
    <w:rsid w:val="000B40BD"/>
    <w:rsid w:val="000B4E95"/>
    <w:rsid w:val="000B5229"/>
    <w:rsid w:val="000B7622"/>
    <w:rsid w:val="000B7F4F"/>
    <w:rsid w:val="000C0D18"/>
    <w:rsid w:val="000C2183"/>
    <w:rsid w:val="000C259D"/>
    <w:rsid w:val="000C2D68"/>
    <w:rsid w:val="000C32E9"/>
    <w:rsid w:val="000C3C1C"/>
    <w:rsid w:val="000C5A57"/>
    <w:rsid w:val="000C6442"/>
    <w:rsid w:val="000C7C8E"/>
    <w:rsid w:val="000D0CDE"/>
    <w:rsid w:val="000D1E9B"/>
    <w:rsid w:val="000D22D1"/>
    <w:rsid w:val="000D33A7"/>
    <w:rsid w:val="000D3FDE"/>
    <w:rsid w:val="000D482D"/>
    <w:rsid w:val="000D4BCC"/>
    <w:rsid w:val="000D7797"/>
    <w:rsid w:val="000D7B11"/>
    <w:rsid w:val="000E466B"/>
    <w:rsid w:val="000E48F9"/>
    <w:rsid w:val="000E6650"/>
    <w:rsid w:val="000E6AEC"/>
    <w:rsid w:val="000E6B2C"/>
    <w:rsid w:val="000E71C1"/>
    <w:rsid w:val="000E7814"/>
    <w:rsid w:val="000E7C58"/>
    <w:rsid w:val="000F0ADE"/>
    <w:rsid w:val="000F0E73"/>
    <w:rsid w:val="000F185D"/>
    <w:rsid w:val="000F3A1E"/>
    <w:rsid w:val="000F3AF9"/>
    <w:rsid w:val="000F3E99"/>
    <w:rsid w:val="000F431C"/>
    <w:rsid w:val="000F586D"/>
    <w:rsid w:val="000F6BAA"/>
    <w:rsid w:val="000F7323"/>
    <w:rsid w:val="000F7B60"/>
    <w:rsid w:val="0010034F"/>
    <w:rsid w:val="0010037D"/>
    <w:rsid w:val="001003F1"/>
    <w:rsid w:val="00101472"/>
    <w:rsid w:val="00101C48"/>
    <w:rsid w:val="0010305C"/>
    <w:rsid w:val="0010625F"/>
    <w:rsid w:val="0010673E"/>
    <w:rsid w:val="0011088C"/>
    <w:rsid w:val="001120FC"/>
    <w:rsid w:val="0011301F"/>
    <w:rsid w:val="0011308C"/>
    <w:rsid w:val="001133AA"/>
    <w:rsid w:val="00113B68"/>
    <w:rsid w:val="00116237"/>
    <w:rsid w:val="00117472"/>
    <w:rsid w:val="00117F72"/>
    <w:rsid w:val="00120CAF"/>
    <w:rsid w:val="00122BD8"/>
    <w:rsid w:val="00122C0C"/>
    <w:rsid w:val="001230D1"/>
    <w:rsid w:val="00124C92"/>
    <w:rsid w:val="00126234"/>
    <w:rsid w:val="00127BCB"/>
    <w:rsid w:val="001319DF"/>
    <w:rsid w:val="00132CD4"/>
    <w:rsid w:val="0013374B"/>
    <w:rsid w:val="00133E14"/>
    <w:rsid w:val="00134EC9"/>
    <w:rsid w:val="001359D4"/>
    <w:rsid w:val="001367DB"/>
    <w:rsid w:val="001372FE"/>
    <w:rsid w:val="001407A5"/>
    <w:rsid w:val="001412A2"/>
    <w:rsid w:val="001441E6"/>
    <w:rsid w:val="001457DF"/>
    <w:rsid w:val="00145CC1"/>
    <w:rsid w:val="00146231"/>
    <w:rsid w:val="00147456"/>
    <w:rsid w:val="00153CFC"/>
    <w:rsid w:val="0015430B"/>
    <w:rsid w:val="0015449F"/>
    <w:rsid w:val="0015478F"/>
    <w:rsid w:val="00154991"/>
    <w:rsid w:val="00156925"/>
    <w:rsid w:val="001577E2"/>
    <w:rsid w:val="001619D1"/>
    <w:rsid w:val="0016235E"/>
    <w:rsid w:val="0016374C"/>
    <w:rsid w:val="00163C48"/>
    <w:rsid w:val="0016520F"/>
    <w:rsid w:val="001666AE"/>
    <w:rsid w:val="00166789"/>
    <w:rsid w:val="001677DC"/>
    <w:rsid w:val="00167AB2"/>
    <w:rsid w:val="001704BB"/>
    <w:rsid w:val="001705DC"/>
    <w:rsid w:val="00170A97"/>
    <w:rsid w:val="00170AD0"/>
    <w:rsid w:val="00173322"/>
    <w:rsid w:val="001733F1"/>
    <w:rsid w:val="00173CCE"/>
    <w:rsid w:val="00173DD4"/>
    <w:rsid w:val="00175A78"/>
    <w:rsid w:val="0017785E"/>
    <w:rsid w:val="00183D33"/>
    <w:rsid w:val="00184B0D"/>
    <w:rsid w:val="0018783A"/>
    <w:rsid w:val="0019157E"/>
    <w:rsid w:val="00191AE9"/>
    <w:rsid w:val="00191FC2"/>
    <w:rsid w:val="00191FD7"/>
    <w:rsid w:val="0019254B"/>
    <w:rsid w:val="00194A9D"/>
    <w:rsid w:val="001972FC"/>
    <w:rsid w:val="00197689"/>
    <w:rsid w:val="00197E07"/>
    <w:rsid w:val="001A239D"/>
    <w:rsid w:val="001A2413"/>
    <w:rsid w:val="001A312A"/>
    <w:rsid w:val="001A4B68"/>
    <w:rsid w:val="001A4BBE"/>
    <w:rsid w:val="001A5749"/>
    <w:rsid w:val="001A63B2"/>
    <w:rsid w:val="001A7570"/>
    <w:rsid w:val="001B0383"/>
    <w:rsid w:val="001B0701"/>
    <w:rsid w:val="001B1FA1"/>
    <w:rsid w:val="001B3017"/>
    <w:rsid w:val="001B4E9B"/>
    <w:rsid w:val="001B563D"/>
    <w:rsid w:val="001B5CFE"/>
    <w:rsid w:val="001B5D83"/>
    <w:rsid w:val="001B6C74"/>
    <w:rsid w:val="001B740C"/>
    <w:rsid w:val="001B75DB"/>
    <w:rsid w:val="001C3ECE"/>
    <w:rsid w:val="001C53FB"/>
    <w:rsid w:val="001C56D4"/>
    <w:rsid w:val="001C59CA"/>
    <w:rsid w:val="001C6565"/>
    <w:rsid w:val="001C686B"/>
    <w:rsid w:val="001C71E0"/>
    <w:rsid w:val="001C7799"/>
    <w:rsid w:val="001C7C15"/>
    <w:rsid w:val="001D021E"/>
    <w:rsid w:val="001D122F"/>
    <w:rsid w:val="001D2ABD"/>
    <w:rsid w:val="001D342E"/>
    <w:rsid w:val="001D38F5"/>
    <w:rsid w:val="001D4244"/>
    <w:rsid w:val="001D566C"/>
    <w:rsid w:val="001D746A"/>
    <w:rsid w:val="001D78E4"/>
    <w:rsid w:val="001E123E"/>
    <w:rsid w:val="001E1467"/>
    <w:rsid w:val="001E350B"/>
    <w:rsid w:val="001E43F0"/>
    <w:rsid w:val="001E5894"/>
    <w:rsid w:val="001E6860"/>
    <w:rsid w:val="001E6882"/>
    <w:rsid w:val="001F1849"/>
    <w:rsid w:val="001F39C7"/>
    <w:rsid w:val="001F42C8"/>
    <w:rsid w:val="001F446E"/>
    <w:rsid w:val="001F6422"/>
    <w:rsid w:val="001F6661"/>
    <w:rsid w:val="001F7274"/>
    <w:rsid w:val="00201339"/>
    <w:rsid w:val="00201B73"/>
    <w:rsid w:val="00202A4C"/>
    <w:rsid w:val="00202F6C"/>
    <w:rsid w:val="002035D4"/>
    <w:rsid w:val="00203DEB"/>
    <w:rsid w:val="00203EB5"/>
    <w:rsid w:val="00204917"/>
    <w:rsid w:val="00204C1C"/>
    <w:rsid w:val="00205EB3"/>
    <w:rsid w:val="00206967"/>
    <w:rsid w:val="0020782B"/>
    <w:rsid w:val="00211AAB"/>
    <w:rsid w:val="00211CAD"/>
    <w:rsid w:val="00211D44"/>
    <w:rsid w:val="00211E02"/>
    <w:rsid w:val="00214672"/>
    <w:rsid w:val="002146EB"/>
    <w:rsid w:val="00215455"/>
    <w:rsid w:val="00216228"/>
    <w:rsid w:val="00216F41"/>
    <w:rsid w:val="00217BE6"/>
    <w:rsid w:val="00220146"/>
    <w:rsid w:val="002201D1"/>
    <w:rsid w:val="0022150B"/>
    <w:rsid w:val="00221CEC"/>
    <w:rsid w:val="00222956"/>
    <w:rsid w:val="00223073"/>
    <w:rsid w:val="00223E0C"/>
    <w:rsid w:val="002241D1"/>
    <w:rsid w:val="00227258"/>
    <w:rsid w:val="00227D1C"/>
    <w:rsid w:val="002304CF"/>
    <w:rsid w:val="002306BA"/>
    <w:rsid w:val="00231A3A"/>
    <w:rsid w:val="002323E7"/>
    <w:rsid w:val="00232F4B"/>
    <w:rsid w:val="002334EA"/>
    <w:rsid w:val="0023476F"/>
    <w:rsid w:val="00234939"/>
    <w:rsid w:val="00234E09"/>
    <w:rsid w:val="00235DDB"/>
    <w:rsid w:val="002363CE"/>
    <w:rsid w:val="00240ED3"/>
    <w:rsid w:val="0024133E"/>
    <w:rsid w:val="002420F2"/>
    <w:rsid w:val="0024226E"/>
    <w:rsid w:val="002424B7"/>
    <w:rsid w:val="002429AD"/>
    <w:rsid w:val="00244B3D"/>
    <w:rsid w:val="00245625"/>
    <w:rsid w:val="00245D04"/>
    <w:rsid w:val="00247887"/>
    <w:rsid w:val="00247CD9"/>
    <w:rsid w:val="00251680"/>
    <w:rsid w:val="00251992"/>
    <w:rsid w:val="002539EC"/>
    <w:rsid w:val="0025411C"/>
    <w:rsid w:val="002545D0"/>
    <w:rsid w:val="00254D05"/>
    <w:rsid w:val="0025694F"/>
    <w:rsid w:val="00260312"/>
    <w:rsid w:val="002605A2"/>
    <w:rsid w:val="00260B38"/>
    <w:rsid w:val="0026193A"/>
    <w:rsid w:val="00261AAD"/>
    <w:rsid w:val="00261DD5"/>
    <w:rsid w:val="00262700"/>
    <w:rsid w:val="00262B3B"/>
    <w:rsid w:val="00263333"/>
    <w:rsid w:val="002636D0"/>
    <w:rsid w:val="00263951"/>
    <w:rsid w:val="002656FD"/>
    <w:rsid w:val="00265F33"/>
    <w:rsid w:val="002667F0"/>
    <w:rsid w:val="00266FF0"/>
    <w:rsid w:val="00270B60"/>
    <w:rsid w:val="0027158E"/>
    <w:rsid w:val="002733B4"/>
    <w:rsid w:val="00273999"/>
    <w:rsid w:val="00274003"/>
    <w:rsid w:val="002748CA"/>
    <w:rsid w:val="00275459"/>
    <w:rsid w:val="00275F5F"/>
    <w:rsid w:val="00277378"/>
    <w:rsid w:val="00280306"/>
    <w:rsid w:val="00281B79"/>
    <w:rsid w:val="00281FA1"/>
    <w:rsid w:val="0028240B"/>
    <w:rsid w:val="00282545"/>
    <w:rsid w:val="00287D83"/>
    <w:rsid w:val="00290B73"/>
    <w:rsid w:val="00291B11"/>
    <w:rsid w:val="00291B4A"/>
    <w:rsid w:val="00292B7D"/>
    <w:rsid w:val="00293738"/>
    <w:rsid w:val="00293B69"/>
    <w:rsid w:val="002942EF"/>
    <w:rsid w:val="00294C68"/>
    <w:rsid w:val="00294D2B"/>
    <w:rsid w:val="00296193"/>
    <w:rsid w:val="002961E6"/>
    <w:rsid w:val="002962A7"/>
    <w:rsid w:val="002965F2"/>
    <w:rsid w:val="002A2211"/>
    <w:rsid w:val="002A391B"/>
    <w:rsid w:val="002A3B76"/>
    <w:rsid w:val="002A43CF"/>
    <w:rsid w:val="002A60F9"/>
    <w:rsid w:val="002B013D"/>
    <w:rsid w:val="002B0ADA"/>
    <w:rsid w:val="002B1491"/>
    <w:rsid w:val="002B1878"/>
    <w:rsid w:val="002B237F"/>
    <w:rsid w:val="002B4913"/>
    <w:rsid w:val="002B7A34"/>
    <w:rsid w:val="002C042A"/>
    <w:rsid w:val="002C1A37"/>
    <w:rsid w:val="002C20EF"/>
    <w:rsid w:val="002C3BF0"/>
    <w:rsid w:val="002C5483"/>
    <w:rsid w:val="002C5EC8"/>
    <w:rsid w:val="002C5FC5"/>
    <w:rsid w:val="002D0DAD"/>
    <w:rsid w:val="002D1257"/>
    <w:rsid w:val="002D16FF"/>
    <w:rsid w:val="002D1B97"/>
    <w:rsid w:val="002D1EC7"/>
    <w:rsid w:val="002D4A58"/>
    <w:rsid w:val="002D4D37"/>
    <w:rsid w:val="002D4D8B"/>
    <w:rsid w:val="002D6CC0"/>
    <w:rsid w:val="002D7AC5"/>
    <w:rsid w:val="002E0774"/>
    <w:rsid w:val="002E1D90"/>
    <w:rsid w:val="002E22C4"/>
    <w:rsid w:val="002E320D"/>
    <w:rsid w:val="002E3619"/>
    <w:rsid w:val="002E5E95"/>
    <w:rsid w:val="002E7766"/>
    <w:rsid w:val="002E7AFC"/>
    <w:rsid w:val="002E7B73"/>
    <w:rsid w:val="002F0255"/>
    <w:rsid w:val="002F02DE"/>
    <w:rsid w:val="002F4F20"/>
    <w:rsid w:val="002F5011"/>
    <w:rsid w:val="002F5251"/>
    <w:rsid w:val="002F567B"/>
    <w:rsid w:val="002F6D1D"/>
    <w:rsid w:val="002F6DDD"/>
    <w:rsid w:val="002F6EFD"/>
    <w:rsid w:val="003000EB"/>
    <w:rsid w:val="00301C03"/>
    <w:rsid w:val="003020A7"/>
    <w:rsid w:val="0030268E"/>
    <w:rsid w:val="00303048"/>
    <w:rsid w:val="00303556"/>
    <w:rsid w:val="00303A31"/>
    <w:rsid w:val="00303DE2"/>
    <w:rsid w:val="003057DC"/>
    <w:rsid w:val="00306831"/>
    <w:rsid w:val="00306E77"/>
    <w:rsid w:val="00307C4F"/>
    <w:rsid w:val="00312625"/>
    <w:rsid w:val="0031295A"/>
    <w:rsid w:val="00312C88"/>
    <w:rsid w:val="0031331B"/>
    <w:rsid w:val="003149B7"/>
    <w:rsid w:val="00314BC0"/>
    <w:rsid w:val="0031544D"/>
    <w:rsid w:val="0031559F"/>
    <w:rsid w:val="00316FA0"/>
    <w:rsid w:val="00320B03"/>
    <w:rsid w:val="0032162E"/>
    <w:rsid w:val="00321736"/>
    <w:rsid w:val="00325210"/>
    <w:rsid w:val="0032680B"/>
    <w:rsid w:val="00326D9A"/>
    <w:rsid w:val="00327452"/>
    <w:rsid w:val="0032746F"/>
    <w:rsid w:val="00327D35"/>
    <w:rsid w:val="00330049"/>
    <w:rsid w:val="00330DEC"/>
    <w:rsid w:val="0033228D"/>
    <w:rsid w:val="00332705"/>
    <w:rsid w:val="0033368A"/>
    <w:rsid w:val="00333826"/>
    <w:rsid w:val="00334FF2"/>
    <w:rsid w:val="00335065"/>
    <w:rsid w:val="00336561"/>
    <w:rsid w:val="00337231"/>
    <w:rsid w:val="00340284"/>
    <w:rsid w:val="00340316"/>
    <w:rsid w:val="00341BD9"/>
    <w:rsid w:val="00342406"/>
    <w:rsid w:val="00342716"/>
    <w:rsid w:val="003428C9"/>
    <w:rsid w:val="003430A1"/>
    <w:rsid w:val="0034336E"/>
    <w:rsid w:val="00344F35"/>
    <w:rsid w:val="00344F62"/>
    <w:rsid w:val="00344F7B"/>
    <w:rsid w:val="00345626"/>
    <w:rsid w:val="00350F23"/>
    <w:rsid w:val="00352003"/>
    <w:rsid w:val="00352776"/>
    <w:rsid w:val="00354B04"/>
    <w:rsid w:val="00354D00"/>
    <w:rsid w:val="00354E14"/>
    <w:rsid w:val="00354F74"/>
    <w:rsid w:val="0035522C"/>
    <w:rsid w:val="0035605B"/>
    <w:rsid w:val="00357A32"/>
    <w:rsid w:val="00360615"/>
    <w:rsid w:val="0036122F"/>
    <w:rsid w:val="003618A8"/>
    <w:rsid w:val="00362204"/>
    <w:rsid w:val="0036562C"/>
    <w:rsid w:val="00367219"/>
    <w:rsid w:val="003678BE"/>
    <w:rsid w:val="00370BDB"/>
    <w:rsid w:val="003719CE"/>
    <w:rsid w:val="00372925"/>
    <w:rsid w:val="003734AF"/>
    <w:rsid w:val="00380B6A"/>
    <w:rsid w:val="00381A38"/>
    <w:rsid w:val="00383ECF"/>
    <w:rsid w:val="003855FC"/>
    <w:rsid w:val="0038591D"/>
    <w:rsid w:val="003872B0"/>
    <w:rsid w:val="00387707"/>
    <w:rsid w:val="00391AF8"/>
    <w:rsid w:val="00391F43"/>
    <w:rsid w:val="00392A1E"/>
    <w:rsid w:val="00392CB1"/>
    <w:rsid w:val="00392DBA"/>
    <w:rsid w:val="00397080"/>
    <w:rsid w:val="003A118E"/>
    <w:rsid w:val="003A1BC0"/>
    <w:rsid w:val="003A2D0D"/>
    <w:rsid w:val="003A319A"/>
    <w:rsid w:val="003A3519"/>
    <w:rsid w:val="003A42B2"/>
    <w:rsid w:val="003A5598"/>
    <w:rsid w:val="003A5DBE"/>
    <w:rsid w:val="003A6121"/>
    <w:rsid w:val="003A7E57"/>
    <w:rsid w:val="003B02B3"/>
    <w:rsid w:val="003B14ED"/>
    <w:rsid w:val="003B1A42"/>
    <w:rsid w:val="003B2166"/>
    <w:rsid w:val="003B23B5"/>
    <w:rsid w:val="003B2D85"/>
    <w:rsid w:val="003B3119"/>
    <w:rsid w:val="003B404C"/>
    <w:rsid w:val="003B432C"/>
    <w:rsid w:val="003B479E"/>
    <w:rsid w:val="003B5AAD"/>
    <w:rsid w:val="003B5AD1"/>
    <w:rsid w:val="003B62C2"/>
    <w:rsid w:val="003B7837"/>
    <w:rsid w:val="003B79BC"/>
    <w:rsid w:val="003C0643"/>
    <w:rsid w:val="003C0B60"/>
    <w:rsid w:val="003C1E2D"/>
    <w:rsid w:val="003C30EE"/>
    <w:rsid w:val="003C3EDC"/>
    <w:rsid w:val="003C443F"/>
    <w:rsid w:val="003C5103"/>
    <w:rsid w:val="003C7B40"/>
    <w:rsid w:val="003C7FC8"/>
    <w:rsid w:val="003D0033"/>
    <w:rsid w:val="003D06FE"/>
    <w:rsid w:val="003D0AFE"/>
    <w:rsid w:val="003D125D"/>
    <w:rsid w:val="003D1315"/>
    <w:rsid w:val="003D146F"/>
    <w:rsid w:val="003D14FF"/>
    <w:rsid w:val="003D1A71"/>
    <w:rsid w:val="003D2C99"/>
    <w:rsid w:val="003D3730"/>
    <w:rsid w:val="003D43DF"/>
    <w:rsid w:val="003D5469"/>
    <w:rsid w:val="003D5604"/>
    <w:rsid w:val="003D636D"/>
    <w:rsid w:val="003D651A"/>
    <w:rsid w:val="003D6ADE"/>
    <w:rsid w:val="003E04FB"/>
    <w:rsid w:val="003E105F"/>
    <w:rsid w:val="003E11DD"/>
    <w:rsid w:val="003E24CE"/>
    <w:rsid w:val="003E58FF"/>
    <w:rsid w:val="003E7FB5"/>
    <w:rsid w:val="003F071B"/>
    <w:rsid w:val="003F0D89"/>
    <w:rsid w:val="003F311E"/>
    <w:rsid w:val="003F58B0"/>
    <w:rsid w:val="0040063C"/>
    <w:rsid w:val="00403727"/>
    <w:rsid w:val="0040451C"/>
    <w:rsid w:val="00406B38"/>
    <w:rsid w:val="0040798A"/>
    <w:rsid w:val="00407AD6"/>
    <w:rsid w:val="00411601"/>
    <w:rsid w:val="004116D4"/>
    <w:rsid w:val="00412537"/>
    <w:rsid w:val="00412B33"/>
    <w:rsid w:val="00412DE6"/>
    <w:rsid w:val="0041377B"/>
    <w:rsid w:val="00415A0D"/>
    <w:rsid w:val="00415F6F"/>
    <w:rsid w:val="004164D0"/>
    <w:rsid w:val="004166C9"/>
    <w:rsid w:val="00420041"/>
    <w:rsid w:val="00424F8B"/>
    <w:rsid w:val="00425006"/>
    <w:rsid w:val="00427E5F"/>
    <w:rsid w:val="004318CA"/>
    <w:rsid w:val="00432177"/>
    <w:rsid w:val="00434134"/>
    <w:rsid w:val="0043668F"/>
    <w:rsid w:val="00436DED"/>
    <w:rsid w:val="004374CB"/>
    <w:rsid w:val="00437A34"/>
    <w:rsid w:val="00440118"/>
    <w:rsid w:val="00441790"/>
    <w:rsid w:val="00441F72"/>
    <w:rsid w:val="00442B1F"/>
    <w:rsid w:val="00442B9C"/>
    <w:rsid w:val="00442BD8"/>
    <w:rsid w:val="0044320C"/>
    <w:rsid w:val="004436B6"/>
    <w:rsid w:val="00443766"/>
    <w:rsid w:val="00443E53"/>
    <w:rsid w:val="00444046"/>
    <w:rsid w:val="0044443E"/>
    <w:rsid w:val="00445B82"/>
    <w:rsid w:val="00445D17"/>
    <w:rsid w:val="00445F00"/>
    <w:rsid w:val="00446008"/>
    <w:rsid w:val="0044648E"/>
    <w:rsid w:val="00447FEA"/>
    <w:rsid w:val="00450B1F"/>
    <w:rsid w:val="00451C47"/>
    <w:rsid w:val="00451F4D"/>
    <w:rsid w:val="004546DB"/>
    <w:rsid w:val="004552D1"/>
    <w:rsid w:val="0045771C"/>
    <w:rsid w:val="004603CB"/>
    <w:rsid w:val="004611A3"/>
    <w:rsid w:val="00461298"/>
    <w:rsid w:val="00463081"/>
    <w:rsid w:val="00463E4C"/>
    <w:rsid w:val="004645A8"/>
    <w:rsid w:val="00464B75"/>
    <w:rsid w:val="0046584D"/>
    <w:rsid w:val="00465BB1"/>
    <w:rsid w:val="00465F97"/>
    <w:rsid w:val="00466AA4"/>
    <w:rsid w:val="004710BE"/>
    <w:rsid w:val="0047157D"/>
    <w:rsid w:val="00471611"/>
    <w:rsid w:val="00472983"/>
    <w:rsid w:val="004750F0"/>
    <w:rsid w:val="004773BD"/>
    <w:rsid w:val="0048054E"/>
    <w:rsid w:val="004821B7"/>
    <w:rsid w:val="0048250E"/>
    <w:rsid w:val="004841AD"/>
    <w:rsid w:val="004846EB"/>
    <w:rsid w:val="004853CD"/>
    <w:rsid w:val="004853ED"/>
    <w:rsid w:val="004855B4"/>
    <w:rsid w:val="00485E38"/>
    <w:rsid w:val="004860A3"/>
    <w:rsid w:val="004872BD"/>
    <w:rsid w:val="004875DD"/>
    <w:rsid w:val="00492CBD"/>
    <w:rsid w:val="00494CB5"/>
    <w:rsid w:val="004957A0"/>
    <w:rsid w:val="004971AA"/>
    <w:rsid w:val="004973A6"/>
    <w:rsid w:val="00497EA0"/>
    <w:rsid w:val="00497F39"/>
    <w:rsid w:val="004A0C7A"/>
    <w:rsid w:val="004A1A93"/>
    <w:rsid w:val="004A1BD7"/>
    <w:rsid w:val="004A1FC9"/>
    <w:rsid w:val="004A40AC"/>
    <w:rsid w:val="004A4F7F"/>
    <w:rsid w:val="004A59CE"/>
    <w:rsid w:val="004A7075"/>
    <w:rsid w:val="004A774E"/>
    <w:rsid w:val="004B07A2"/>
    <w:rsid w:val="004B08CC"/>
    <w:rsid w:val="004B09CA"/>
    <w:rsid w:val="004B5316"/>
    <w:rsid w:val="004B7C5B"/>
    <w:rsid w:val="004B7CB9"/>
    <w:rsid w:val="004C09BD"/>
    <w:rsid w:val="004C2EE5"/>
    <w:rsid w:val="004C328E"/>
    <w:rsid w:val="004C4860"/>
    <w:rsid w:val="004C53B8"/>
    <w:rsid w:val="004C56D6"/>
    <w:rsid w:val="004C64F3"/>
    <w:rsid w:val="004C68EE"/>
    <w:rsid w:val="004C6E2E"/>
    <w:rsid w:val="004C73F6"/>
    <w:rsid w:val="004D01DE"/>
    <w:rsid w:val="004D06E6"/>
    <w:rsid w:val="004D12F9"/>
    <w:rsid w:val="004D1CB6"/>
    <w:rsid w:val="004D40EB"/>
    <w:rsid w:val="004D41E1"/>
    <w:rsid w:val="004D448C"/>
    <w:rsid w:val="004D4731"/>
    <w:rsid w:val="004D64DC"/>
    <w:rsid w:val="004D75CF"/>
    <w:rsid w:val="004D7872"/>
    <w:rsid w:val="004D79BC"/>
    <w:rsid w:val="004E058A"/>
    <w:rsid w:val="004E264E"/>
    <w:rsid w:val="004E26D6"/>
    <w:rsid w:val="004E5EAF"/>
    <w:rsid w:val="004E6558"/>
    <w:rsid w:val="004E69D2"/>
    <w:rsid w:val="004E7DC7"/>
    <w:rsid w:val="004F18E7"/>
    <w:rsid w:val="004F1B52"/>
    <w:rsid w:val="004F416E"/>
    <w:rsid w:val="004F790F"/>
    <w:rsid w:val="005002F4"/>
    <w:rsid w:val="005018E4"/>
    <w:rsid w:val="0050197D"/>
    <w:rsid w:val="00503DD0"/>
    <w:rsid w:val="00504FCB"/>
    <w:rsid w:val="0050549B"/>
    <w:rsid w:val="00505CE8"/>
    <w:rsid w:val="005061E9"/>
    <w:rsid w:val="00507A81"/>
    <w:rsid w:val="0051288C"/>
    <w:rsid w:val="00515426"/>
    <w:rsid w:val="00515B51"/>
    <w:rsid w:val="00517F82"/>
    <w:rsid w:val="00520721"/>
    <w:rsid w:val="00520764"/>
    <w:rsid w:val="00520EFD"/>
    <w:rsid w:val="00520F4C"/>
    <w:rsid w:val="00521BF2"/>
    <w:rsid w:val="005222C9"/>
    <w:rsid w:val="00522A38"/>
    <w:rsid w:val="00522F89"/>
    <w:rsid w:val="005237CC"/>
    <w:rsid w:val="00523BEC"/>
    <w:rsid w:val="00526005"/>
    <w:rsid w:val="0052683D"/>
    <w:rsid w:val="00526E25"/>
    <w:rsid w:val="0052740E"/>
    <w:rsid w:val="005300D1"/>
    <w:rsid w:val="00530767"/>
    <w:rsid w:val="005309FC"/>
    <w:rsid w:val="00531841"/>
    <w:rsid w:val="00532719"/>
    <w:rsid w:val="00534E25"/>
    <w:rsid w:val="005402AA"/>
    <w:rsid w:val="00540B0B"/>
    <w:rsid w:val="00541AAD"/>
    <w:rsid w:val="0054225B"/>
    <w:rsid w:val="0054408B"/>
    <w:rsid w:val="005463E1"/>
    <w:rsid w:val="00546D51"/>
    <w:rsid w:val="00547920"/>
    <w:rsid w:val="0055050C"/>
    <w:rsid w:val="005509E0"/>
    <w:rsid w:val="0055380B"/>
    <w:rsid w:val="00555292"/>
    <w:rsid w:val="0055626A"/>
    <w:rsid w:val="00556491"/>
    <w:rsid w:val="00560932"/>
    <w:rsid w:val="00560A56"/>
    <w:rsid w:val="00560C57"/>
    <w:rsid w:val="0056209C"/>
    <w:rsid w:val="00563770"/>
    <w:rsid w:val="00563ADC"/>
    <w:rsid w:val="00566410"/>
    <w:rsid w:val="00566DCA"/>
    <w:rsid w:val="00567D3A"/>
    <w:rsid w:val="005705DD"/>
    <w:rsid w:val="00571997"/>
    <w:rsid w:val="00572940"/>
    <w:rsid w:val="00572CB8"/>
    <w:rsid w:val="00573B65"/>
    <w:rsid w:val="0057402D"/>
    <w:rsid w:val="00575FAB"/>
    <w:rsid w:val="00577B40"/>
    <w:rsid w:val="00577B47"/>
    <w:rsid w:val="00577DC5"/>
    <w:rsid w:val="00583080"/>
    <w:rsid w:val="00585455"/>
    <w:rsid w:val="00585611"/>
    <w:rsid w:val="00585A0C"/>
    <w:rsid w:val="0058647D"/>
    <w:rsid w:val="00593490"/>
    <w:rsid w:val="00593EA2"/>
    <w:rsid w:val="005943A7"/>
    <w:rsid w:val="00594598"/>
    <w:rsid w:val="0059588B"/>
    <w:rsid w:val="0059745D"/>
    <w:rsid w:val="0059772E"/>
    <w:rsid w:val="005A09C3"/>
    <w:rsid w:val="005A1183"/>
    <w:rsid w:val="005A129C"/>
    <w:rsid w:val="005A1D4E"/>
    <w:rsid w:val="005A3006"/>
    <w:rsid w:val="005A5F1B"/>
    <w:rsid w:val="005A709D"/>
    <w:rsid w:val="005A73D4"/>
    <w:rsid w:val="005B0802"/>
    <w:rsid w:val="005B209F"/>
    <w:rsid w:val="005B4EDF"/>
    <w:rsid w:val="005B7526"/>
    <w:rsid w:val="005C4E9D"/>
    <w:rsid w:val="005C5B08"/>
    <w:rsid w:val="005C5D8F"/>
    <w:rsid w:val="005C693E"/>
    <w:rsid w:val="005D07B7"/>
    <w:rsid w:val="005D10E8"/>
    <w:rsid w:val="005D1E00"/>
    <w:rsid w:val="005D208D"/>
    <w:rsid w:val="005D3D46"/>
    <w:rsid w:val="005D43AB"/>
    <w:rsid w:val="005D709B"/>
    <w:rsid w:val="005D7D18"/>
    <w:rsid w:val="005E1008"/>
    <w:rsid w:val="005E19E7"/>
    <w:rsid w:val="005E2D9F"/>
    <w:rsid w:val="005E2F4B"/>
    <w:rsid w:val="005E300B"/>
    <w:rsid w:val="005E32C7"/>
    <w:rsid w:val="005E337A"/>
    <w:rsid w:val="005E3C16"/>
    <w:rsid w:val="005E4BAB"/>
    <w:rsid w:val="005E53F0"/>
    <w:rsid w:val="005E58FC"/>
    <w:rsid w:val="005E5985"/>
    <w:rsid w:val="005E5C41"/>
    <w:rsid w:val="005E7021"/>
    <w:rsid w:val="005F050D"/>
    <w:rsid w:val="005F0AF8"/>
    <w:rsid w:val="005F3047"/>
    <w:rsid w:val="005F41AB"/>
    <w:rsid w:val="005F4E2F"/>
    <w:rsid w:val="005F5BD3"/>
    <w:rsid w:val="005F6ED0"/>
    <w:rsid w:val="005F70F9"/>
    <w:rsid w:val="00600907"/>
    <w:rsid w:val="00602892"/>
    <w:rsid w:val="00602D60"/>
    <w:rsid w:val="00604DFA"/>
    <w:rsid w:val="00605108"/>
    <w:rsid w:val="00605773"/>
    <w:rsid w:val="0060594D"/>
    <w:rsid w:val="00610DFC"/>
    <w:rsid w:val="006120EB"/>
    <w:rsid w:val="006124E7"/>
    <w:rsid w:val="00613166"/>
    <w:rsid w:val="006144F4"/>
    <w:rsid w:val="00614DF9"/>
    <w:rsid w:val="00615E95"/>
    <w:rsid w:val="00616BDB"/>
    <w:rsid w:val="00616DBD"/>
    <w:rsid w:val="00620110"/>
    <w:rsid w:val="00622BF6"/>
    <w:rsid w:val="00623679"/>
    <w:rsid w:val="00623F8B"/>
    <w:rsid w:val="006241C7"/>
    <w:rsid w:val="00624DB2"/>
    <w:rsid w:val="00624FFA"/>
    <w:rsid w:val="0062574A"/>
    <w:rsid w:val="00625E3A"/>
    <w:rsid w:val="00625E52"/>
    <w:rsid w:val="006264D4"/>
    <w:rsid w:val="00626C96"/>
    <w:rsid w:val="00627803"/>
    <w:rsid w:val="00630A06"/>
    <w:rsid w:val="00633144"/>
    <w:rsid w:val="00633716"/>
    <w:rsid w:val="0063733E"/>
    <w:rsid w:val="0064134E"/>
    <w:rsid w:val="00641478"/>
    <w:rsid w:val="00641720"/>
    <w:rsid w:val="00641A83"/>
    <w:rsid w:val="00642125"/>
    <w:rsid w:val="00643319"/>
    <w:rsid w:val="0064417D"/>
    <w:rsid w:val="00644661"/>
    <w:rsid w:val="00645207"/>
    <w:rsid w:val="0064618A"/>
    <w:rsid w:val="00651902"/>
    <w:rsid w:val="00653834"/>
    <w:rsid w:val="00655D6F"/>
    <w:rsid w:val="00656536"/>
    <w:rsid w:val="00656FCE"/>
    <w:rsid w:val="00657F3D"/>
    <w:rsid w:val="006602B8"/>
    <w:rsid w:val="00660E5A"/>
    <w:rsid w:val="00663044"/>
    <w:rsid w:val="00663E43"/>
    <w:rsid w:val="00665123"/>
    <w:rsid w:val="006672A2"/>
    <w:rsid w:val="0067062D"/>
    <w:rsid w:val="00670EEF"/>
    <w:rsid w:val="00671EA2"/>
    <w:rsid w:val="0067281F"/>
    <w:rsid w:val="0067332A"/>
    <w:rsid w:val="00673828"/>
    <w:rsid w:val="0067437F"/>
    <w:rsid w:val="00675447"/>
    <w:rsid w:val="00675A59"/>
    <w:rsid w:val="006761DD"/>
    <w:rsid w:val="006802EB"/>
    <w:rsid w:val="00680CE7"/>
    <w:rsid w:val="00684AB9"/>
    <w:rsid w:val="0068502F"/>
    <w:rsid w:val="006857F7"/>
    <w:rsid w:val="00686A2A"/>
    <w:rsid w:val="00690C98"/>
    <w:rsid w:val="00691DEC"/>
    <w:rsid w:val="00692A5A"/>
    <w:rsid w:val="0069335A"/>
    <w:rsid w:val="0069420F"/>
    <w:rsid w:val="006946BA"/>
    <w:rsid w:val="00696792"/>
    <w:rsid w:val="006972DE"/>
    <w:rsid w:val="00697F1B"/>
    <w:rsid w:val="006A34BA"/>
    <w:rsid w:val="006A4FD3"/>
    <w:rsid w:val="006A57AF"/>
    <w:rsid w:val="006A57DA"/>
    <w:rsid w:val="006A5BFC"/>
    <w:rsid w:val="006A6729"/>
    <w:rsid w:val="006A6E99"/>
    <w:rsid w:val="006A6FEE"/>
    <w:rsid w:val="006B0990"/>
    <w:rsid w:val="006B0CC7"/>
    <w:rsid w:val="006B12B0"/>
    <w:rsid w:val="006B2B5F"/>
    <w:rsid w:val="006B3309"/>
    <w:rsid w:val="006B39B1"/>
    <w:rsid w:val="006B6FE8"/>
    <w:rsid w:val="006B7557"/>
    <w:rsid w:val="006C0EF5"/>
    <w:rsid w:val="006C199F"/>
    <w:rsid w:val="006C4D77"/>
    <w:rsid w:val="006C50AE"/>
    <w:rsid w:val="006C5341"/>
    <w:rsid w:val="006C6DB1"/>
    <w:rsid w:val="006C7177"/>
    <w:rsid w:val="006C7448"/>
    <w:rsid w:val="006D1178"/>
    <w:rsid w:val="006D1ADA"/>
    <w:rsid w:val="006D34C2"/>
    <w:rsid w:val="006D3BFE"/>
    <w:rsid w:val="006D3CA8"/>
    <w:rsid w:val="006D4FF4"/>
    <w:rsid w:val="006D5496"/>
    <w:rsid w:val="006D5B9D"/>
    <w:rsid w:val="006D68FA"/>
    <w:rsid w:val="006E0447"/>
    <w:rsid w:val="006E07C1"/>
    <w:rsid w:val="006E08A9"/>
    <w:rsid w:val="006E0956"/>
    <w:rsid w:val="006E0FD9"/>
    <w:rsid w:val="006E1EB4"/>
    <w:rsid w:val="006E354C"/>
    <w:rsid w:val="006E5792"/>
    <w:rsid w:val="006E6CAE"/>
    <w:rsid w:val="006E701C"/>
    <w:rsid w:val="006E746E"/>
    <w:rsid w:val="006E79D0"/>
    <w:rsid w:val="006F0EB7"/>
    <w:rsid w:val="006F2C09"/>
    <w:rsid w:val="006F317A"/>
    <w:rsid w:val="006F34E7"/>
    <w:rsid w:val="006F4FC1"/>
    <w:rsid w:val="00700AB8"/>
    <w:rsid w:val="00700E15"/>
    <w:rsid w:val="00703A0E"/>
    <w:rsid w:val="00703A27"/>
    <w:rsid w:val="00704E14"/>
    <w:rsid w:val="0070564C"/>
    <w:rsid w:val="00707CEA"/>
    <w:rsid w:val="007126B7"/>
    <w:rsid w:val="00712A74"/>
    <w:rsid w:val="00713C13"/>
    <w:rsid w:val="00713F3D"/>
    <w:rsid w:val="007142FA"/>
    <w:rsid w:val="00715046"/>
    <w:rsid w:val="007157C3"/>
    <w:rsid w:val="00715B43"/>
    <w:rsid w:val="00716561"/>
    <w:rsid w:val="00716F07"/>
    <w:rsid w:val="007178DE"/>
    <w:rsid w:val="00720434"/>
    <w:rsid w:val="00720466"/>
    <w:rsid w:val="00720BF2"/>
    <w:rsid w:val="007225C9"/>
    <w:rsid w:val="00722C8F"/>
    <w:rsid w:val="007239BA"/>
    <w:rsid w:val="00723AD8"/>
    <w:rsid w:val="007248BC"/>
    <w:rsid w:val="00724E41"/>
    <w:rsid w:val="0072500F"/>
    <w:rsid w:val="007254D7"/>
    <w:rsid w:val="00726956"/>
    <w:rsid w:val="00726E11"/>
    <w:rsid w:val="00727AEE"/>
    <w:rsid w:val="0073084F"/>
    <w:rsid w:val="00731177"/>
    <w:rsid w:val="00732303"/>
    <w:rsid w:val="00733305"/>
    <w:rsid w:val="00733EF4"/>
    <w:rsid w:val="00736449"/>
    <w:rsid w:val="00736521"/>
    <w:rsid w:val="00736A16"/>
    <w:rsid w:val="00740E66"/>
    <w:rsid w:val="0074117E"/>
    <w:rsid w:val="0074313C"/>
    <w:rsid w:val="0074329E"/>
    <w:rsid w:val="00746474"/>
    <w:rsid w:val="007471FF"/>
    <w:rsid w:val="00747D24"/>
    <w:rsid w:val="00750467"/>
    <w:rsid w:val="00751692"/>
    <w:rsid w:val="00751AC0"/>
    <w:rsid w:val="007522E8"/>
    <w:rsid w:val="007525D5"/>
    <w:rsid w:val="00753B61"/>
    <w:rsid w:val="00753D6A"/>
    <w:rsid w:val="00754EE6"/>
    <w:rsid w:val="00755E27"/>
    <w:rsid w:val="007600FC"/>
    <w:rsid w:val="00761201"/>
    <w:rsid w:val="007614E8"/>
    <w:rsid w:val="0076327F"/>
    <w:rsid w:val="0076476D"/>
    <w:rsid w:val="00765309"/>
    <w:rsid w:val="00767998"/>
    <w:rsid w:val="00767A85"/>
    <w:rsid w:val="0077124C"/>
    <w:rsid w:val="007729CD"/>
    <w:rsid w:val="00772AA9"/>
    <w:rsid w:val="007738E7"/>
    <w:rsid w:val="00773A14"/>
    <w:rsid w:val="007754C5"/>
    <w:rsid w:val="00775950"/>
    <w:rsid w:val="00775D6E"/>
    <w:rsid w:val="00776B3C"/>
    <w:rsid w:val="007776CA"/>
    <w:rsid w:val="00781179"/>
    <w:rsid w:val="00781BB9"/>
    <w:rsid w:val="0078250F"/>
    <w:rsid w:val="007849AF"/>
    <w:rsid w:val="00784CFA"/>
    <w:rsid w:val="0078592D"/>
    <w:rsid w:val="007863B7"/>
    <w:rsid w:val="00786BD3"/>
    <w:rsid w:val="00790490"/>
    <w:rsid w:val="00792495"/>
    <w:rsid w:val="00793A97"/>
    <w:rsid w:val="00793BEF"/>
    <w:rsid w:val="00794854"/>
    <w:rsid w:val="007976A3"/>
    <w:rsid w:val="00797BD1"/>
    <w:rsid w:val="007A0158"/>
    <w:rsid w:val="007A0863"/>
    <w:rsid w:val="007A0D5F"/>
    <w:rsid w:val="007A2246"/>
    <w:rsid w:val="007A25DF"/>
    <w:rsid w:val="007A2A18"/>
    <w:rsid w:val="007A372A"/>
    <w:rsid w:val="007A3ABC"/>
    <w:rsid w:val="007A479E"/>
    <w:rsid w:val="007A4DAA"/>
    <w:rsid w:val="007A5AE1"/>
    <w:rsid w:val="007A5FF5"/>
    <w:rsid w:val="007A63B9"/>
    <w:rsid w:val="007A6886"/>
    <w:rsid w:val="007A6C34"/>
    <w:rsid w:val="007B15D4"/>
    <w:rsid w:val="007B1750"/>
    <w:rsid w:val="007B28D8"/>
    <w:rsid w:val="007B3574"/>
    <w:rsid w:val="007B3C73"/>
    <w:rsid w:val="007B3E5E"/>
    <w:rsid w:val="007B6FB2"/>
    <w:rsid w:val="007B79D5"/>
    <w:rsid w:val="007C094C"/>
    <w:rsid w:val="007C1643"/>
    <w:rsid w:val="007C1DE8"/>
    <w:rsid w:val="007C1FC6"/>
    <w:rsid w:val="007C24DC"/>
    <w:rsid w:val="007C2B9D"/>
    <w:rsid w:val="007C3946"/>
    <w:rsid w:val="007C3BA9"/>
    <w:rsid w:val="007C5181"/>
    <w:rsid w:val="007C5ACF"/>
    <w:rsid w:val="007C6751"/>
    <w:rsid w:val="007C7DA8"/>
    <w:rsid w:val="007D1B75"/>
    <w:rsid w:val="007D1FCA"/>
    <w:rsid w:val="007D2B74"/>
    <w:rsid w:val="007D42F6"/>
    <w:rsid w:val="007D4790"/>
    <w:rsid w:val="007D48F4"/>
    <w:rsid w:val="007D58CB"/>
    <w:rsid w:val="007D5EB6"/>
    <w:rsid w:val="007D682C"/>
    <w:rsid w:val="007D78A7"/>
    <w:rsid w:val="007E168E"/>
    <w:rsid w:val="007E1E95"/>
    <w:rsid w:val="007E312F"/>
    <w:rsid w:val="007E3840"/>
    <w:rsid w:val="007E395F"/>
    <w:rsid w:val="007E3992"/>
    <w:rsid w:val="007E5114"/>
    <w:rsid w:val="007E685B"/>
    <w:rsid w:val="007F018F"/>
    <w:rsid w:val="007F0616"/>
    <w:rsid w:val="007F1612"/>
    <w:rsid w:val="007F2D66"/>
    <w:rsid w:val="007F2E11"/>
    <w:rsid w:val="007F41B6"/>
    <w:rsid w:val="007F4FF9"/>
    <w:rsid w:val="007F5702"/>
    <w:rsid w:val="007F7325"/>
    <w:rsid w:val="007F75C7"/>
    <w:rsid w:val="007F79C1"/>
    <w:rsid w:val="007F7B6A"/>
    <w:rsid w:val="00801A7D"/>
    <w:rsid w:val="008020FC"/>
    <w:rsid w:val="0080267D"/>
    <w:rsid w:val="00803745"/>
    <w:rsid w:val="00805274"/>
    <w:rsid w:val="00805804"/>
    <w:rsid w:val="008065B1"/>
    <w:rsid w:val="00810913"/>
    <w:rsid w:val="00811115"/>
    <w:rsid w:val="00812E11"/>
    <w:rsid w:val="00813C19"/>
    <w:rsid w:val="008141BB"/>
    <w:rsid w:val="00814BCD"/>
    <w:rsid w:val="00815F4B"/>
    <w:rsid w:val="008208ED"/>
    <w:rsid w:val="008210FF"/>
    <w:rsid w:val="008222C5"/>
    <w:rsid w:val="0082361B"/>
    <w:rsid w:val="00823899"/>
    <w:rsid w:val="008246CE"/>
    <w:rsid w:val="0083019A"/>
    <w:rsid w:val="008307E3"/>
    <w:rsid w:val="00830A30"/>
    <w:rsid w:val="00831104"/>
    <w:rsid w:val="008348E6"/>
    <w:rsid w:val="00837101"/>
    <w:rsid w:val="0084043E"/>
    <w:rsid w:val="0084053B"/>
    <w:rsid w:val="0084254D"/>
    <w:rsid w:val="00843B35"/>
    <w:rsid w:val="00844A04"/>
    <w:rsid w:val="0084514A"/>
    <w:rsid w:val="00845423"/>
    <w:rsid w:val="00846AFA"/>
    <w:rsid w:val="00846F13"/>
    <w:rsid w:val="008476A8"/>
    <w:rsid w:val="0085007C"/>
    <w:rsid w:val="00850304"/>
    <w:rsid w:val="00854211"/>
    <w:rsid w:val="00855817"/>
    <w:rsid w:val="00856E64"/>
    <w:rsid w:val="0085736B"/>
    <w:rsid w:val="00857C27"/>
    <w:rsid w:val="00860C3A"/>
    <w:rsid w:val="00862636"/>
    <w:rsid w:val="00863363"/>
    <w:rsid w:val="00866495"/>
    <w:rsid w:val="0086654C"/>
    <w:rsid w:val="00866BEE"/>
    <w:rsid w:val="00866F37"/>
    <w:rsid w:val="00867C5F"/>
    <w:rsid w:val="00870CE0"/>
    <w:rsid w:val="00870E28"/>
    <w:rsid w:val="00871B15"/>
    <w:rsid w:val="008745C7"/>
    <w:rsid w:val="008807F0"/>
    <w:rsid w:val="00882CFC"/>
    <w:rsid w:val="008831F1"/>
    <w:rsid w:val="00883A1D"/>
    <w:rsid w:val="008857F3"/>
    <w:rsid w:val="008867A3"/>
    <w:rsid w:val="008876D9"/>
    <w:rsid w:val="008900C1"/>
    <w:rsid w:val="0089178A"/>
    <w:rsid w:val="00892E8F"/>
    <w:rsid w:val="00893AF7"/>
    <w:rsid w:val="008955F8"/>
    <w:rsid w:val="00895D80"/>
    <w:rsid w:val="00895F83"/>
    <w:rsid w:val="0089669E"/>
    <w:rsid w:val="00897BB8"/>
    <w:rsid w:val="008A0122"/>
    <w:rsid w:val="008A0251"/>
    <w:rsid w:val="008A1FE7"/>
    <w:rsid w:val="008A266F"/>
    <w:rsid w:val="008A66B6"/>
    <w:rsid w:val="008A68C2"/>
    <w:rsid w:val="008A6F08"/>
    <w:rsid w:val="008A7900"/>
    <w:rsid w:val="008B0CEF"/>
    <w:rsid w:val="008B1058"/>
    <w:rsid w:val="008B1086"/>
    <w:rsid w:val="008B2C3E"/>
    <w:rsid w:val="008B4C3C"/>
    <w:rsid w:val="008B671A"/>
    <w:rsid w:val="008B6FB6"/>
    <w:rsid w:val="008B7C70"/>
    <w:rsid w:val="008C01A9"/>
    <w:rsid w:val="008C2271"/>
    <w:rsid w:val="008C3A7E"/>
    <w:rsid w:val="008C3D46"/>
    <w:rsid w:val="008C5117"/>
    <w:rsid w:val="008C604E"/>
    <w:rsid w:val="008C6BA7"/>
    <w:rsid w:val="008C6CCD"/>
    <w:rsid w:val="008D0E28"/>
    <w:rsid w:val="008D3AB5"/>
    <w:rsid w:val="008D574D"/>
    <w:rsid w:val="008E0A2A"/>
    <w:rsid w:val="008E0C1C"/>
    <w:rsid w:val="008E1D8B"/>
    <w:rsid w:val="008E204F"/>
    <w:rsid w:val="008E2CED"/>
    <w:rsid w:val="008E38A6"/>
    <w:rsid w:val="008E5C59"/>
    <w:rsid w:val="008E5E9C"/>
    <w:rsid w:val="008E7719"/>
    <w:rsid w:val="008F12EC"/>
    <w:rsid w:val="008F4E05"/>
    <w:rsid w:val="008F51B2"/>
    <w:rsid w:val="008F6A67"/>
    <w:rsid w:val="00901067"/>
    <w:rsid w:val="009017B1"/>
    <w:rsid w:val="00902659"/>
    <w:rsid w:val="009052DF"/>
    <w:rsid w:val="00905419"/>
    <w:rsid w:val="009056BE"/>
    <w:rsid w:val="00906431"/>
    <w:rsid w:val="009065DA"/>
    <w:rsid w:val="0091150E"/>
    <w:rsid w:val="00912851"/>
    <w:rsid w:val="009130D3"/>
    <w:rsid w:val="00915DC2"/>
    <w:rsid w:val="009160B8"/>
    <w:rsid w:val="00916344"/>
    <w:rsid w:val="00916591"/>
    <w:rsid w:val="00916D07"/>
    <w:rsid w:val="00916DEE"/>
    <w:rsid w:val="00921539"/>
    <w:rsid w:val="00921A8F"/>
    <w:rsid w:val="009225F9"/>
    <w:rsid w:val="00922DC4"/>
    <w:rsid w:val="00923813"/>
    <w:rsid w:val="00923FBF"/>
    <w:rsid w:val="009258A0"/>
    <w:rsid w:val="00926093"/>
    <w:rsid w:val="009327B5"/>
    <w:rsid w:val="0093346A"/>
    <w:rsid w:val="009342E7"/>
    <w:rsid w:val="00934F18"/>
    <w:rsid w:val="00935C9E"/>
    <w:rsid w:val="0093630A"/>
    <w:rsid w:val="00936764"/>
    <w:rsid w:val="00936D2F"/>
    <w:rsid w:val="00937F5A"/>
    <w:rsid w:val="00940A6D"/>
    <w:rsid w:val="00940CD2"/>
    <w:rsid w:val="0094503A"/>
    <w:rsid w:val="009451BB"/>
    <w:rsid w:val="009453CB"/>
    <w:rsid w:val="00945C2B"/>
    <w:rsid w:val="00946A95"/>
    <w:rsid w:val="009477E8"/>
    <w:rsid w:val="00947840"/>
    <w:rsid w:val="00947CCF"/>
    <w:rsid w:val="009501AC"/>
    <w:rsid w:val="009527E6"/>
    <w:rsid w:val="00952BC0"/>
    <w:rsid w:val="00953297"/>
    <w:rsid w:val="00954652"/>
    <w:rsid w:val="00954AEF"/>
    <w:rsid w:val="0095568E"/>
    <w:rsid w:val="009563B0"/>
    <w:rsid w:val="00957732"/>
    <w:rsid w:val="00960841"/>
    <w:rsid w:val="00960B4A"/>
    <w:rsid w:val="00961875"/>
    <w:rsid w:val="00962E46"/>
    <w:rsid w:val="00963123"/>
    <w:rsid w:val="009634E4"/>
    <w:rsid w:val="00963FD4"/>
    <w:rsid w:val="0096418A"/>
    <w:rsid w:val="00966BA5"/>
    <w:rsid w:val="0096791E"/>
    <w:rsid w:val="00967F1A"/>
    <w:rsid w:val="00971746"/>
    <w:rsid w:val="009759BC"/>
    <w:rsid w:val="009802FB"/>
    <w:rsid w:val="009811A2"/>
    <w:rsid w:val="00982591"/>
    <w:rsid w:val="00982A63"/>
    <w:rsid w:val="00984FD1"/>
    <w:rsid w:val="00985771"/>
    <w:rsid w:val="009860B4"/>
    <w:rsid w:val="00986868"/>
    <w:rsid w:val="009870AD"/>
    <w:rsid w:val="0098732C"/>
    <w:rsid w:val="00991D07"/>
    <w:rsid w:val="00993FD7"/>
    <w:rsid w:val="00994755"/>
    <w:rsid w:val="00994902"/>
    <w:rsid w:val="00996C93"/>
    <w:rsid w:val="00996E45"/>
    <w:rsid w:val="009A0B00"/>
    <w:rsid w:val="009A172A"/>
    <w:rsid w:val="009A1789"/>
    <w:rsid w:val="009A2B35"/>
    <w:rsid w:val="009A2EEF"/>
    <w:rsid w:val="009A382E"/>
    <w:rsid w:val="009A428E"/>
    <w:rsid w:val="009A5094"/>
    <w:rsid w:val="009A559A"/>
    <w:rsid w:val="009A7390"/>
    <w:rsid w:val="009A7B1B"/>
    <w:rsid w:val="009B1FE4"/>
    <w:rsid w:val="009B2C38"/>
    <w:rsid w:val="009B5F73"/>
    <w:rsid w:val="009B66E7"/>
    <w:rsid w:val="009C0547"/>
    <w:rsid w:val="009C170A"/>
    <w:rsid w:val="009C43A1"/>
    <w:rsid w:val="009C73B6"/>
    <w:rsid w:val="009D1EBF"/>
    <w:rsid w:val="009D3864"/>
    <w:rsid w:val="009D4181"/>
    <w:rsid w:val="009D51F1"/>
    <w:rsid w:val="009D78DF"/>
    <w:rsid w:val="009D7D1D"/>
    <w:rsid w:val="009E3017"/>
    <w:rsid w:val="009E3255"/>
    <w:rsid w:val="009E3B43"/>
    <w:rsid w:val="009E4E64"/>
    <w:rsid w:val="009E51D2"/>
    <w:rsid w:val="009E5450"/>
    <w:rsid w:val="009E597B"/>
    <w:rsid w:val="009E61BB"/>
    <w:rsid w:val="009E6DC0"/>
    <w:rsid w:val="009F0F5E"/>
    <w:rsid w:val="009F2DD3"/>
    <w:rsid w:val="009F2E08"/>
    <w:rsid w:val="009F4C39"/>
    <w:rsid w:val="009F525D"/>
    <w:rsid w:val="009F59AE"/>
    <w:rsid w:val="009F617E"/>
    <w:rsid w:val="009F645F"/>
    <w:rsid w:val="009F7EFB"/>
    <w:rsid w:val="00A00FDA"/>
    <w:rsid w:val="00A01202"/>
    <w:rsid w:val="00A017A8"/>
    <w:rsid w:val="00A020A3"/>
    <w:rsid w:val="00A031E7"/>
    <w:rsid w:val="00A0499C"/>
    <w:rsid w:val="00A05DC3"/>
    <w:rsid w:val="00A10609"/>
    <w:rsid w:val="00A10BA7"/>
    <w:rsid w:val="00A10BEC"/>
    <w:rsid w:val="00A11208"/>
    <w:rsid w:val="00A11684"/>
    <w:rsid w:val="00A128A9"/>
    <w:rsid w:val="00A131AB"/>
    <w:rsid w:val="00A15BBB"/>
    <w:rsid w:val="00A16197"/>
    <w:rsid w:val="00A16603"/>
    <w:rsid w:val="00A16D8D"/>
    <w:rsid w:val="00A17473"/>
    <w:rsid w:val="00A218DE"/>
    <w:rsid w:val="00A2268F"/>
    <w:rsid w:val="00A22BA8"/>
    <w:rsid w:val="00A22BE6"/>
    <w:rsid w:val="00A22E2B"/>
    <w:rsid w:val="00A2482B"/>
    <w:rsid w:val="00A25193"/>
    <w:rsid w:val="00A302F5"/>
    <w:rsid w:val="00A33251"/>
    <w:rsid w:val="00A33F6F"/>
    <w:rsid w:val="00A357A5"/>
    <w:rsid w:val="00A35C36"/>
    <w:rsid w:val="00A37577"/>
    <w:rsid w:val="00A3795F"/>
    <w:rsid w:val="00A40005"/>
    <w:rsid w:val="00A40887"/>
    <w:rsid w:val="00A41002"/>
    <w:rsid w:val="00A41B27"/>
    <w:rsid w:val="00A46746"/>
    <w:rsid w:val="00A53404"/>
    <w:rsid w:val="00A53AAF"/>
    <w:rsid w:val="00A55005"/>
    <w:rsid w:val="00A56179"/>
    <w:rsid w:val="00A564C6"/>
    <w:rsid w:val="00A57170"/>
    <w:rsid w:val="00A57854"/>
    <w:rsid w:val="00A664EC"/>
    <w:rsid w:val="00A67B12"/>
    <w:rsid w:val="00A7111F"/>
    <w:rsid w:val="00A73996"/>
    <w:rsid w:val="00A74634"/>
    <w:rsid w:val="00A75BB4"/>
    <w:rsid w:val="00A8080A"/>
    <w:rsid w:val="00A8220B"/>
    <w:rsid w:val="00A83D32"/>
    <w:rsid w:val="00A85872"/>
    <w:rsid w:val="00A85FD3"/>
    <w:rsid w:val="00A91028"/>
    <w:rsid w:val="00A91B4E"/>
    <w:rsid w:val="00A92425"/>
    <w:rsid w:val="00A9348D"/>
    <w:rsid w:val="00A94448"/>
    <w:rsid w:val="00A94CC2"/>
    <w:rsid w:val="00AA0609"/>
    <w:rsid w:val="00AA2CB5"/>
    <w:rsid w:val="00AA4227"/>
    <w:rsid w:val="00AA4E55"/>
    <w:rsid w:val="00AA5AD8"/>
    <w:rsid w:val="00AA5C57"/>
    <w:rsid w:val="00AA6A1D"/>
    <w:rsid w:val="00AB1507"/>
    <w:rsid w:val="00AB293F"/>
    <w:rsid w:val="00AB335F"/>
    <w:rsid w:val="00AB68B5"/>
    <w:rsid w:val="00AB79DB"/>
    <w:rsid w:val="00AC032B"/>
    <w:rsid w:val="00AC0477"/>
    <w:rsid w:val="00AC082E"/>
    <w:rsid w:val="00AC18FF"/>
    <w:rsid w:val="00AC361C"/>
    <w:rsid w:val="00AC4276"/>
    <w:rsid w:val="00AC7A23"/>
    <w:rsid w:val="00AD0554"/>
    <w:rsid w:val="00AD074C"/>
    <w:rsid w:val="00AD16CA"/>
    <w:rsid w:val="00AD21CB"/>
    <w:rsid w:val="00AD2B53"/>
    <w:rsid w:val="00AD2B73"/>
    <w:rsid w:val="00AD3C2A"/>
    <w:rsid w:val="00AD3C2B"/>
    <w:rsid w:val="00AD3DA4"/>
    <w:rsid w:val="00AD4D8B"/>
    <w:rsid w:val="00AD52DA"/>
    <w:rsid w:val="00AD7F2B"/>
    <w:rsid w:val="00AE148E"/>
    <w:rsid w:val="00AE16ED"/>
    <w:rsid w:val="00AE2442"/>
    <w:rsid w:val="00AE2A17"/>
    <w:rsid w:val="00AE44F0"/>
    <w:rsid w:val="00AE5628"/>
    <w:rsid w:val="00AE5916"/>
    <w:rsid w:val="00AE5961"/>
    <w:rsid w:val="00AE6406"/>
    <w:rsid w:val="00AE67A0"/>
    <w:rsid w:val="00AE6CBD"/>
    <w:rsid w:val="00AE777A"/>
    <w:rsid w:val="00AF1923"/>
    <w:rsid w:val="00AF4B0B"/>
    <w:rsid w:val="00AF63B6"/>
    <w:rsid w:val="00AF7BEA"/>
    <w:rsid w:val="00B005DF"/>
    <w:rsid w:val="00B00801"/>
    <w:rsid w:val="00B013BB"/>
    <w:rsid w:val="00B02715"/>
    <w:rsid w:val="00B0339F"/>
    <w:rsid w:val="00B063D5"/>
    <w:rsid w:val="00B06D3B"/>
    <w:rsid w:val="00B06EBE"/>
    <w:rsid w:val="00B06FC6"/>
    <w:rsid w:val="00B13758"/>
    <w:rsid w:val="00B13886"/>
    <w:rsid w:val="00B13DB2"/>
    <w:rsid w:val="00B1587E"/>
    <w:rsid w:val="00B16741"/>
    <w:rsid w:val="00B16FCF"/>
    <w:rsid w:val="00B17F39"/>
    <w:rsid w:val="00B23067"/>
    <w:rsid w:val="00B24388"/>
    <w:rsid w:val="00B2473E"/>
    <w:rsid w:val="00B24F59"/>
    <w:rsid w:val="00B253A2"/>
    <w:rsid w:val="00B26813"/>
    <w:rsid w:val="00B27F9E"/>
    <w:rsid w:val="00B3243F"/>
    <w:rsid w:val="00B32F45"/>
    <w:rsid w:val="00B3503A"/>
    <w:rsid w:val="00B35CE5"/>
    <w:rsid w:val="00B37608"/>
    <w:rsid w:val="00B37899"/>
    <w:rsid w:val="00B37C29"/>
    <w:rsid w:val="00B4542C"/>
    <w:rsid w:val="00B45CEC"/>
    <w:rsid w:val="00B466B1"/>
    <w:rsid w:val="00B466F8"/>
    <w:rsid w:val="00B46898"/>
    <w:rsid w:val="00B52286"/>
    <w:rsid w:val="00B52A26"/>
    <w:rsid w:val="00B52D16"/>
    <w:rsid w:val="00B53867"/>
    <w:rsid w:val="00B539D4"/>
    <w:rsid w:val="00B54448"/>
    <w:rsid w:val="00B54D85"/>
    <w:rsid w:val="00B56908"/>
    <w:rsid w:val="00B573D6"/>
    <w:rsid w:val="00B61713"/>
    <w:rsid w:val="00B61FAF"/>
    <w:rsid w:val="00B62364"/>
    <w:rsid w:val="00B62EBC"/>
    <w:rsid w:val="00B64897"/>
    <w:rsid w:val="00B652E2"/>
    <w:rsid w:val="00B65B0D"/>
    <w:rsid w:val="00B65C3E"/>
    <w:rsid w:val="00B664D5"/>
    <w:rsid w:val="00B66AE8"/>
    <w:rsid w:val="00B66F4A"/>
    <w:rsid w:val="00B70141"/>
    <w:rsid w:val="00B70794"/>
    <w:rsid w:val="00B70F75"/>
    <w:rsid w:val="00B718CB"/>
    <w:rsid w:val="00B72DAF"/>
    <w:rsid w:val="00B733A1"/>
    <w:rsid w:val="00B743F2"/>
    <w:rsid w:val="00B7503E"/>
    <w:rsid w:val="00B76770"/>
    <w:rsid w:val="00B80206"/>
    <w:rsid w:val="00B80311"/>
    <w:rsid w:val="00B80A0C"/>
    <w:rsid w:val="00B80E33"/>
    <w:rsid w:val="00B81789"/>
    <w:rsid w:val="00B82177"/>
    <w:rsid w:val="00B82E06"/>
    <w:rsid w:val="00B84B98"/>
    <w:rsid w:val="00B84F6A"/>
    <w:rsid w:val="00B85782"/>
    <w:rsid w:val="00B86430"/>
    <w:rsid w:val="00B86F16"/>
    <w:rsid w:val="00B86F4A"/>
    <w:rsid w:val="00B873BA"/>
    <w:rsid w:val="00B912A3"/>
    <w:rsid w:val="00B93C6D"/>
    <w:rsid w:val="00B93F93"/>
    <w:rsid w:val="00B94262"/>
    <w:rsid w:val="00B9448F"/>
    <w:rsid w:val="00B94D04"/>
    <w:rsid w:val="00B95322"/>
    <w:rsid w:val="00B959E7"/>
    <w:rsid w:val="00B9725B"/>
    <w:rsid w:val="00B974CF"/>
    <w:rsid w:val="00BA002F"/>
    <w:rsid w:val="00BA331C"/>
    <w:rsid w:val="00BA4DF8"/>
    <w:rsid w:val="00BA4E10"/>
    <w:rsid w:val="00BA5A50"/>
    <w:rsid w:val="00BA69D0"/>
    <w:rsid w:val="00BA6FDA"/>
    <w:rsid w:val="00BB09D9"/>
    <w:rsid w:val="00BB12BC"/>
    <w:rsid w:val="00BB1A0C"/>
    <w:rsid w:val="00BB3105"/>
    <w:rsid w:val="00BB3299"/>
    <w:rsid w:val="00BB407F"/>
    <w:rsid w:val="00BB5899"/>
    <w:rsid w:val="00BB7943"/>
    <w:rsid w:val="00BC0B57"/>
    <w:rsid w:val="00BC19AF"/>
    <w:rsid w:val="00BC229D"/>
    <w:rsid w:val="00BC2426"/>
    <w:rsid w:val="00BC4FFD"/>
    <w:rsid w:val="00BC5AEE"/>
    <w:rsid w:val="00BC681C"/>
    <w:rsid w:val="00BC68F0"/>
    <w:rsid w:val="00BC6CF4"/>
    <w:rsid w:val="00BC76A1"/>
    <w:rsid w:val="00BC7964"/>
    <w:rsid w:val="00BC7CD4"/>
    <w:rsid w:val="00BD00ED"/>
    <w:rsid w:val="00BD0E1E"/>
    <w:rsid w:val="00BD27B2"/>
    <w:rsid w:val="00BD407F"/>
    <w:rsid w:val="00BD4D9B"/>
    <w:rsid w:val="00BD50C0"/>
    <w:rsid w:val="00BD5C29"/>
    <w:rsid w:val="00BD6CD9"/>
    <w:rsid w:val="00BD6E41"/>
    <w:rsid w:val="00BD7407"/>
    <w:rsid w:val="00BD79DC"/>
    <w:rsid w:val="00BE101D"/>
    <w:rsid w:val="00BE1634"/>
    <w:rsid w:val="00BE2446"/>
    <w:rsid w:val="00BE43F5"/>
    <w:rsid w:val="00BE474B"/>
    <w:rsid w:val="00BE4815"/>
    <w:rsid w:val="00BE4E00"/>
    <w:rsid w:val="00BE58BD"/>
    <w:rsid w:val="00BE6252"/>
    <w:rsid w:val="00BE7F43"/>
    <w:rsid w:val="00BF12F9"/>
    <w:rsid w:val="00BF2212"/>
    <w:rsid w:val="00BF2765"/>
    <w:rsid w:val="00BF33F7"/>
    <w:rsid w:val="00BF386B"/>
    <w:rsid w:val="00BF3B65"/>
    <w:rsid w:val="00BF48B6"/>
    <w:rsid w:val="00BF51FB"/>
    <w:rsid w:val="00BF783B"/>
    <w:rsid w:val="00C01AAD"/>
    <w:rsid w:val="00C01FC0"/>
    <w:rsid w:val="00C0286A"/>
    <w:rsid w:val="00C02917"/>
    <w:rsid w:val="00C0419B"/>
    <w:rsid w:val="00C04B46"/>
    <w:rsid w:val="00C07667"/>
    <w:rsid w:val="00C1001A"/>
    <w:rsid w:val="00C110A8"/>
    <w:rsid w:val="00C12BBA"/>
    <w:rsid w:val="00C1454A"/>
    <w:rsid w:val="00C14C48"/>
    <w:rsid w:val="00C1559E"/>
    <w:rsid w:val="00C15C38"/>
    <w:rsid w:val="00C204EB"/>
    <w:rsid w:val="00C21542"/>
    <w:rsid w:val="00C24250"/>
    <w:rsid w:val="00C24912"/>
    <w:rsid w:val="00C2507A"/>
    <w:rsid w:val="00C25202"/>
    <w:rsid w:val="00C25832"/>
    <w:rsid w:val="00C26825"/>
    <w:rsid w:val="00C27E11"/>
    <w:rsid w:val="00C322B6"/>
    <w:rsid w:val="00C35383"/>
    <w:rsid w:val="00C35A7D"/>
    <w:rsid w:val="00C36042"/>
    <w:rsid w:val="00C3630D"/>
    <w:rsid w:val="00C36A13"/>
    <w:rsid w:val="00C400EB"/>
    <w:rsid w:val="00C4070B"/>
    <w:rsid w:val="00C41182"/>
    <w:rsid w:val="00C43095"/>
    <w:rsid w:val="00C44552"/>
    <w:rsid w:val="00C53DAD"/>
    <w:rsid w:val="00C55D64"/>
    <w:rsid w:val="00C5671F"/>
    <w:rsid w:val="00C56B59"/>
    <w:rsid w:val="00C60322"/>
    <w:rsid w:val="00C62154"/>
    <w:rsid w:val="00C635C3"/>
    <w:rsid w:val="00C63807"/>
    <w:rsid w:val="00C63AE1"/>
    <w:rsid w:val="00C65E67"/>
    <w:rsid w:val="00C65ED1"/>
    <w:rsid w:val="00C701CA"/>
    <w:rsid w:val="00C712FF"/>
    <w:rsid w:val="00C71801"/>
    <w:rsid w:val="00C73F3B"/>
    <w:rsid w:val="00C74FB2"/>
    <w:rsid w:val="00C76041"/>
    <w:rsid w:val="00C76386"/>
    <w:rsid w:val="00C83638"/>
    <w:rsid w:val="00C84AAC"/>
    <w:rsid w:val="00C84BCE"/>
    <w:rsid w:val="00C86672"/>
    <w:rsid w:val="00C9110F"/>
    <w:rsid w:val="00C9162A"/>
    <w:rsid w:val="00C93237"/>
    <w:rsid w:val="00C94330"/>
    <w:rsid w:val="00C964C3"/>
    <w:rsid w:val="00C96697"/>
    <w:rsid w:val="00C96FC9"/>
    <w:rsid w:val="00C97103"/>
    <w:rsid w:val="00CA0BDE"/>
    <w:rsid w:val="00CA2A74"/>
    <w:rsid w:val="00CA4E54"/>
    <w:rsid w:val="00CA6633"/>
    <w:rsid w:val="00CB02F0"/>
    <w:rsid w:val="00CB1EB9"/>
    <w:rsid w:val="00CB2ACB"/>
    <w:rsid w:val="00CB3911"/>
    <w:rsid w:val="00CB4C58"/>
    <w:rsid w:val="00CB5BFB"/>
    <w:rsid w:val="00CB6273"/>
    <w:rsid w:val="00CB799D"/>
    <w:rsid w:val="00CC0006"/>
    <w:rsid w:val="00CC1904"/>
    <w:rsid w:val="00CC2852"/>
    <w:rsid w:val="00CC3423"/>
    <w:rsid w:val="00CC5ED7"/>
    <w:rsid w:val="00CD1632"/>
    <w:rsid w:val="00CD3305"/>
    <w:rsid w:val="00CD40F1"/>
    <w:rsid w:val="00CD458F"/>
    <w:rsid w:val="00CD576A"/>
    <w:rsid w:val="00CD5D37"/>
    <w:rsid w:val="00CD5F03"/>
    <w:rsid w:val="00CD6159"/>
    <w:rsid w:val="00CD6A07"/>
    <w:rsid w:val="00CD6F1A"/>
    <w:rsid w:val="00CD72C6"/>
    <w:rsid w:val="00CD7596"/>
    <w:rsid w:val="00CE0C82"/>
    <w:rsid w:val="00CE15EB"/>
    <w:rsid w:val="00CE203D"/>
    <w:rsid w:val="00CE2202"/>
    <w:rsid w:val="00CE2EB3"/>
    <w:rsid w:val="00CE2F55"/>
    <w:rsid w:val="00CE3C0E"/>
    <w:rsid w:val="00CE4F76"/>
    <w:rsid w:val="00CE5D85"/>
    <w:rsid w:val="00CE7C40"/>
    <w:rsid w:val="00CE7F5F"/>
    <w:rsid w:val="00CF0787"/>
    <w:rsid w:val="00CF1632"/>
    <w:rsid w:val="00CF26C7"/>
    <w:rsid w:val="00CF2DAE"/>
    <w:rsid w:val="00CF42B1"/>
    <w:rsid w:val="00CF51CE"/>
    <w:rsid w:val="00CF5A6C"/>
    <w:rsid w:val="00CF6CFB"/>
    <w:rsid w:val="00CF7F39"/>
    <w:rsid w:val="00D018AB"/>
    <w:rsid w:val="00D01C59"/>
    <w:rsid w:val="00D0266D"/>
    <w:rsid w:val="00D038A2"/>
    <w:rsid w:val="00D03D49"/>
    <w:rsid w:val="00D041DD"/>
    <w:rsid w:val="00D0488D"/>
    <w:rsid w:val="00D04D8C"/>
    <w:rsid w:val="00D05167"/>
    <w:rsid w:val="00D05BB2"/>
    <w:rsid w:val="00D10218"/>
    <w:rsid w:val="00D10853"/>
    <w:rsid w:val="00D1258A"/>
    <w:rsid w:val="00D132F7"/>
    <w:rsid w:val="00D143DD"/>
    <w:rsid w:val="00D17526"/>
    <w:rsid w:val="00D1782A"/>
    <w:rsid w:val="00D224BE"/>
    <w:rsid w:val="00D3006C"/>
    <w:rsid w:val="00D303D9"/>
    <w:rsid w:val="00D312A6"/>
    <w:rsid w:val="00D330BE"/>
    <w:rsid w:val="00D33798"/>
    <w:rsid w:val="00D344A2"/>
    <w:rsid w:val="00D3473A"/>
    <w:rsid w:val="00D36415"/>
    <w:rsid w:val="00D37237"/>
    <w:rsid w:val="00D378D9"/>
    <w:rsid w:val="00D4133A"/>
    <w:rsid w:val="00D422B3"/>
    <w:rsid w:val="00D42E9D"/>
    <w:rsid w:val="00D452C7"/>
    <w:rsid w:val="00D472C7"/>
    <w:rsid w:val="00D50F27"/>
    <w:rsid w:val="00D50F87"/>
    <w:rsid w:val="00D511D0"/>
    <w:rsid w:val="00D52683"/>
    <w:rsid w:val="00D53944"/>
    <w:rsid w:val="00D53FFC"/>
    <w:rsid w:val="00D566B1"/>
    <w:rsid w:val="00D604B5"/>
    <w:rsid w:val="00D61162"/>
    <w:rsid w:val="00D6129A"/>
    <w:rsid w:val="00D6152D"/>
    <w:rsid w:val="00D639AC"/>
    <w:rsid w:val="00D647D4"/>
    <w:rsid w:val="00D659DB"/>
    <w:rsid w:val="00D70EFC"/>
    <w:rsid w:val="00D7185A"/>
    <w:rsid w:val="00D71A53"/>
    <w:rsid w:val="00D71C4C"/>
    <w:rsid w:val="00D72F0C"/>
    <w:rsid w:val="00D730A7"/>
    <w:rsid w:val="00D76899"/>
    <w:rsid w:val="00D76D7A"/>
    <w:rsid w:val="00D772F9"/>
    <w:rsid w:val="00D77DB9"/>
    <w:rsid w:val="00D81DFA"/>
    <w:rsid w:val="00D82DD9"/>
    <w:rsid w:val="00D836A8"/>
    <w:rsid w:val="00D8436C"/>
    <w:rsid w:val="00D857A1"/>
    <w:rsid w:val="00D86181"/>
    <w:rsid w:val="00D8712E"/>
    <w:rsid w:val="00D92537"/>
    <w:rsid w:val="00D92999"/>
    <w:rsid w:val="00D92E14"/>
    <w:rsid w:val="00D941D5"/>
    <w:rsid w:val="00D950AB"/>
    <w:rsid w:val="00D96C7E"/>
    <w:rsid w:val="00D96DC6"/>
    <w:rsid w:val="00D97B0C"/>
    <w:rsid w:val="00DA0925"/>
    <w:rsid w:val="00DA10C2"/>
    <w:rsid w:val="00DA1449"/>
    <w:rsid w:val="00DA1856"/>
    <w:rsid w:val="00DA3527"/>
    <w:rsid w:val="00DA4F8A"/>
    <w:rsid w:val="00DA5AB8"/>
    <w:rsid w:val="00DA5F71"/>
    <w:rsid w:val="00DA624D"/>
    <w:rsid w:val="00DA796B"/>
    <w:rsid w:val="00DA7B32"/>
    <w:rsid w:val="00DA7E1C"/>
    <w:rsid w:val="00DB002D"/>
    <w:rsid w:val="00DB009A"/>
    <w:rsid w:val="00DB014F"/>
    <w:rsid w:val="00DB0290"/>
    <w:rsid w:val="00DB036F"/>
    <w:rsid w:val="00DB0489"/>
    <w:rsid w:val="00DB1178"/>
    <w:rsid w:val="00DB16F7"/>
    <w:rsid w:val="00DB1ADD"/>
    <w:rsid w:val="00DB7CDF"/>
    <w:rsid w:val="00DC14A4"/>
    <w:rsid w:val="00DC2156"/>
    <w:rsid w:val="00DC2733"/>
    <w:rsid w:val="00DC2F7A"/>
    <w:rsid w:val="00DC41B2"/>
    <w:rsid w:val="00DC41D0"/>
    <w:rsid w:val="00DC4D82"/>
    <w:rsid w:val="00DC5B39"/>
    <w:rsid w:val="00DC605C"/>
    <w:rsid w:val="00DC66B5"/>
    <w:rsid w:val="00DC6F6A"/>
    <w:rsid w:val="00DD0E76"/>
    <w:rsid w:val="00DD1271"/>
    <w:rsid w:val="00DD4469"/>
    <w:rsid w:val="00DD6877"/>
    <w:rsid w:val="00DD70A8"/>
    <w:rsid w:val="00DD7FC5"/>
    <w:rsid w:val="00DE0C1F"/>
    <w:rsid w:val="00DE0CE1"/>
    <w:rsid w:val="00DE0CFC"/>
    <w:rsid w:val="00DE254E"/>
    <w:rsid w:val="00DE2AF8"/>
    <w:rsid w:val="00DE30BD"/>
    <w:rsid w:val="00DE477C"/>
    <w:rsid w:val="00DE48D4"/>
    <w:rsid w:val="00DE5515"/>
    <w:rsid w:val="00DE55C6"/>
    <w:rsid w:val="00DE5725"/>
    <w:rsid w:val="00DE5960"/>
    <w:rsid w:val="00DE645B"/>
    <w:rsid w:val="00DE712A"/>
    <w:rsid w:val="00DF180B"/>
    <w:rsid w:val="00DF18D7"/>
    <w:rsid w:val="00DF257C"/>
    <w:rsid w:val="00DF30CB"/>
    <w:rsid w:val="00DF35E9"/>
    <w:rsid w:val="00DF3778"/>
    <w:rsid w:val="00DF39B4"/>
    <w:rsid w:val="00DF3E3F"/>
    <w:rsid w:val="00DF557B"/>
    <w:rsid w:val="00E00144"/>
    <w:rsid w:val="00E01900"/>
    <w:rsid w:val="00E02565"/>
    <w:rsid w:val="00E032D6"/>
    <w:rsid w:val="00E03966"/>
    <w:rsid w:val="00E03B06"/>
    <w:rsid w:val="00E0514F"/>
    <w:rsid w:val="00E065B3"/>
    <w:rsid w:val="00E06A94"/>
    <w:rsid w:val="00E0736A"/>
    <w:rsid w:val="00E1021A"/>
    <w:rsid w:val="00E16152"/>
    <w:rsid w:val="00E1693A"/>
    <w:rsid w:val="00E172F6"/>
    <w:rsid w:val="00E1758F"/>
    <w:rsid w:val="00E17DEB"/>
    <w:rsid w:val="00E200CD"/>
    <w:rsid w:val="00E2117C"/>
    <w:rsid w:val="00E22DD1"/>
    <w:rsid w:val="00E245BD"/>
    <w:rsid w:val="00E251B7"/>
    <w:rsid w:val="00E262EA"/>
    <w:rsid w:val="00E27BF7"/>
    <w:rsid w:val="00E307DB"/>
    <w:rsid w:val="00E30BB4"/>
    <w:rsid w:val="00E30FA3"/>
    <w:rsid w:val="00E31B5E"/>
    <w:rsid w:val="00E334BD"/>
    <w:rsid w:val="00E33E68"/>
    <w:rsid w:val="00E34131"/>
    <w:rsid w:val="00E3428F"/>
    <w:rsid w:val="00E35861"/>
    <w:rsid w:val="00E36131"/>
    <w:rsid w:val="00E36B0F"/>
    <w:rsid w:val="00E37858"/>
    <w:rsid w:val="00E40474"/>
    <w:rsid w:val="00E40FF1"/>
    <w:rsid w:val="00E41224"/>
    <w:rsid w:val="00E4160B"/>
    <w:rsid w:val="00E4190F"/>
    <w:rsid w:val="00E41AE7"/>
    <w:rsid w:val="00E432C2"/>
    <w:rsid w:val="00E45751"/>
    <w:rsid w:val="00E45D86"/>
    <w:rsid w:val="00E47F95"/>
    <w:rsid w:val="00E535F5"/>
    <w:rsid w:val="00E54E4E"/>
    <w:rsid w:val="00E555B9"/>
    <w:rsid w:val="00E56927"/>
    <w:rsid w:val="00E56C13"/>
    <w:rsid w:val="00E570F1"/>
    <w:rsid w:val="00E6031B"/>
    <w:rsid w:val="00E6073B"/>
    <w:rsid w:val="00E61322"/>
    <w:rsid w:val="00E626AF"/>
    <w:rsid w:val="00E642AE"/>
    <w:rsid w:val="00E64CA8"/>
    <w:rsid w:val="00E64DB9"/>
    <w:rsid w:val="00E666AF"/>
    <w:rsid w:val="00E66A38"/>
    <w:rsid w:val="00E7015D"/>
    <w:rsid w:val="00E72297"/>
    <w:rsid w:val="00E728BB"/>
    <w:rsid w:val="00E72EC8"/>
    <w:rsid w:val="00E72EE1"/>
    <w:rsid w:val="00E73025"/>
    <w:rsid w:val="00E735F1"/>
    <w:rsid w:val="00E73B53"/>
    <w:rsid w:val="00E74BBE"/>
    <w:rsid w:val="00E7560D"/>
    <w:rsid w:val="00E75983"/>
    <w:rsid w:val="00E760CC"/>
    <w:rsid w:val="00E76375"/>
    <w:rsid w:val="00E76664"/>
    <w:rsid w:val="00E76E2E"/>
    <w:rsid w:val="00E80577"/>
    <w:rsid w:val="00E83790"/>
    <w:rsid w:val="00E83F39"/>
    <w:rsid w:val="00E8464D"/>
    <w:rsid w:val="00E91662"/>
    <w:rsid w:val="00E92060"/>
    <w:rsid w:val="00E92395"/>
    <w:rsid w:val="00E94B40"/>
    <w:rsid w:val="00E95966"/>
    <w:rsid w:val="00E969A5"/>
    <w:rsid w:val="00E9752E"/>
    <w:rsid w:val="00E97932"/>
    <w:rsid w:val="00EA0358"/>
    <w:rsid w:val="00EA064F"/>
    <w:rsid w:val="00EA0C33"/>
    <w:rsid w:val="00EA18CA"/>
    <w:rsid w:val="00EA1B1F"/>
    <w:rsid w:val="00EA32BA"/>
    <w:rsid w:val="00EA36CF"/>
    <w:rsid w:val="00EA386F"/>
    <w:rsid w:val="00EA38C5"/>
    <w:rsid w:val="00EA3DA1"/>
    <w:rsid w:val="00EA41BD"/>
    <w:rsid w:val="00EA4993"/>
    <w:rsid w:val="00EA5419"/>
    <w:rsid w:val="00EA6128"/>
    <w:rsid w:val="00EA61CE"/>
    <w:rsid w:val="00EA7646"/>
    <w:rsid w:val="00EA7DC7"/>
    <w:rsid w:val="00EB112C"/>
    <w:rsid w:val="00EB21A4"/>
    <w:rsid w:val="00EB694E"/>
    <w:rsid w:val="00EB6A96"/>
    <w:rsid w:val="00EB7AC8"/>
    <w:rsid w:val="00EC00DC"/>
    <w:rsid w:val="00EC046D"/>
    <w:rsid w:val="00EC064F"/>
    <w:rsid w:val="00EC1715"/>
    <w:rsid w:val="00EC2D75"/>
    <w:rsid w:val="00EC3CEB"/>
    <w:rsid w:val="00EC418E"/>
    <w:rsid w:val="00EC6606"/>
    <w:rsid w:val="00ED340D"/>
    <w:rsid w:val="00ED35ED"/>
    <w:rsid w:val="00ED419B"/>
    <w:rsid w:val="00ED4836"/>
    <w:rsid w:val="00ED4AFD"/>
    <w:rsid w:val="00ED5736"/>
    <w:rsid w:val="00ED66DE"/>
    <w:rsid w:val="00ED742D"/>
    <w:rsid w:val="00ED79A8"/>
    <w:rsid w:val="00EE09CB"/>
    <w:rsid w:val="00EE1CDD"/>
    <w:rsid w:val="00EE1D0A"/>
    <w:rsid w:val="00EE31B4"/>
    <w:rsid w:val="00EE362E"/>
    <w:rsid w:val="00EE393B"/>
    <w:rsid w:val="00EE42C3"/>
    <w:rsid w:val="00EE4508"/>
    <w:rsid w:val="00EE4FF1"/>
    <w:rsid w:val="00EE7508"/>
    <w:rsid w:val="00EF03F7"/>
    <w:rsid w:val="00EF061B"/>
    <w:rsid w:val="00EF10C2"/>
    <w:rsid w:val="00EF2F1C"/>
    <w:rsid w:val="00EF472A"/>
    <w:rsid w:val="00EF4B18"/>
    <w:rsid w:val="00EF4C5E"/>
    <w:rsid w:val="00EF4D0D"/>
    <w:rsid w:val="00EF4E80"/>
    <w:rsid w:val="00EF5665"/>
    <w:rsid w:val="00EF5937"/>
    <w:rsid w:val="00EF6458"/>
    <w:rsid w:val="00F003A3"/>
    <w:rsid w:val="00F0053A"/>
    <w:rsid w:val="00F00E31"/>
    <w:rsid w:val="00F00F09"/>
    <w:rsid w:val="00F01064"/>
    <w:rsid w:val="00F03424"/>
    <w:rsid w:val="00F03C7C"/>
    <w:rsid w:val="00F04826"/>
    <w:rsid w:val="00F064FC"/>
    <w:rsid w:val="00F06B03"/>
    <w:rsid w:val="00F12B0E"/>
    <w:rsid w:val="00F14490"/>
    <w:rsid w:val="00F1500C"/>
    <w:rsid w:val="00F15215"/>
    <w:rsid w:val="00F154D4"/>
    <w:rsid w:val="00F15FAB"/>
    <w:rsid w:val="00F1694A"/>
    <w:rsid w:val="00F16E30"/>
    <w:rsid w:val="00F17237"/>
    <w:rsid w:val="00F17950"/>
    <w:rsid w:val="00F202C2"/>
    <w:rsid w:val="00F20C9B"/>
    <w:rsid w:val="00F21AEE"/>
    <w:rsid w:val="00F24E41"/>
    <w:rsid w:val="00F263B6"/>
    <w:rsid w:val="00F26E43"/>
    <w:rsid w:val="00F27040"/>
    <w:rsid w:val="00F3089A"/>
    <w:rsid w:val="00F30BC9"/>
    <w:rsid w:val="00F319CC"/>
    <w:rsid w:val="00F3202B"/>
    <w:rsid w:val="00F32245"/>
    <w:rsid w:val="00F330BC"/>
    <w:rsid w:val="00F34C1C"/>
    <w:rsid w:val="00F359E9"/>
    <w:rsid w:val="00F35F66"/>
    <w:rsid w:val="00F364A7"/>
    <w:rsid w:val="00F378A3"/>
    <w:rsid w:val="00F40A9F"/>
    <w:rsid w:val="00F412E8"/>
    <w:rsid w:val="00F42ACA"/>
    <w:rsid w:val="00F42EA8"/>
    <w:rsid w:val="00F46D1F"/>
    <w:rsid w:val="00F47DF1"/>
    <w:rsid w:val="00F5101F"/>
    <w:rsid w:val="00F526D0"/>
    <w:rsid w:val="00F57203"/>
    <w:rsid w:val="00F601A7"/>
    <w:rsid w:val="00F602BA"/>
    <w:rsid w:val="00F6033F"/>
    <w:rsid w:val="00F60FBF"/>
    <w:rsid w:val="00F616F2"/>
    <w:rsid w:val="00F6211D"/>
    <w:rsid w:val="00F63B45"/>
    <w:rsid w:val="00F702C3"/>
    <w:rsid w:val="00F72924"/>
    <w:rsid w:val="00F7363F"/>
    <w:rsid w:val="00F74123"/>
    <w:rsid w:val="00F74B00"/>
    <w:rsid w:val="00F75223"/>
    <w:rsid w:val="00F768D6"/>
    <w:rsid w:val="00F77C78"/>
    <w:rsid w:val="00F8052D"/>
    <w:rsid w:val="00F806ED"/>
    <w:rsid w:val="00F814A0"/>
    <w:rsid w:val="00F83359"/>
    <w:rsid w:val="00F83E36"/>
    <w:rsid w:val="00F87704"/>
    <w:rsid w:val="00F8784D"/>
    <w:rsid w:val="00F9048B"/>
    <w:rsid w:val="00F905C5"/>
    <w:rsid w:val="00F91DBB"/>
    <w:rsid w:val="00F92149"/>
    <w:rsid w:val="00F92C8D"/>
    <w:rsid w:val="00F92F3E"/>
    <w:rsid w:val="00F93A9E"/>
    <w:rsid w:val="00F93F45"/>
    <w:rsid w:val="00F95479"/>
    <w:rsid w:val="00F95CDC"/>
    <w:rsid w:val="00F96F2A"/>
    <w:rsid w:val="00F97125"/>
    <w:rsid w:val="00F977F7"/>
    <w:rsid w:val="00FA0828"/>
    <w:rsid w:val="00FA1085"/>
    <w:rsid w:val="00FA1F40"/>
    <w:rsid w:val="00FA2762"/>
    <w:rsid w:val="00FA33D4"/>
    <w:rsid w:val="00FA49AC"/>
    <w:rsid w:val="00FA52D7"/>
    <w:rsid w:val="00FA5371"/>
    <w:rsid w:val="00FA74B8"/>
    <w:rsid w:val="00FB01E1"/>
    <w:rsid w:val="00FB0842"/>
    <w:rsid w:val="00FB35A2"/>
    <w:rsid w:val="00FB38F8"/>
    <w:rsid w:val="00FB3DDE"/>
    <w:rsid w:val="00FB5442"/>
    <w:rsid w:val="00FB5733"/>
    <w:rsid w:val="00FB59C8"/>
    <w:rsid w:val="00FB5F6F"/>
    <w:rsid w:val="00FB6B5A"/>
    <w:rsid w:val="00FB736D"/>
    <w:rsid w:val="00FB7AE7"/>
    <w:rsid w:val="00FC085E"/>
    <w:rsid w:val="00FC2A62"/>
    <w:rsid w:val="00FC42D2"/>
    <w:rsid w:val="00FC4394"/>
    <w:rsid w:val="00FC5896"/>
    <w:rsid w:val="00FD09C3"/>
    <w:rsid w:val="00FD0BA5"/>
    <w:rsid w:val="00FD3906"/>
    <w:rsid w:val="00FD3C61"/>
    <w:rsid w:val="00FD4264"/>
    <w:rsid w:val="00FD42F5"/>
    <w:rsid w:val="00FD59E8"/>
    <w:rsid w:val="00FD6101"/>
    <w:rsid w:val="00FD72F2"/>
    <w:rsid w:val="00FD78C8"/>
    <w:rsid w:val="00FE0AFD"/>
    <w:rsid w:val="00FE1273"/>
    <w:rsid w:val="00FE13EF"/>
    <w:rsid w:val="00FE16F7"/>
    <w:rsid w:val="00FE1D11"/>
    <w:rsid w:val="00FE4ECE"/>
    <w:rsid w:val="00FE5599"/>
    <w:rsid w:val="00FE60A8"/>
    <w:rsid w:val="00FF073D"/>
    <w:rsid w:val="00FF0BB0"/>
    <w:rsid w:val="00FF2A33"/>
    <w:rsid w:val="00FF534B"/>
    <w:rsid w:val="00FF59EB"/>
    <w:rsid w:val="00FF6077"/>
    <w:rsid w:val="00FF6079"/>
    <w:rsid w:val="00FF67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HTML Preformatted" w:uiPriority="0"/>
    <w:lsdException w:name="annotation subject" w:uiPriority="0"/>
    <w:lsdException w:name="Table Grid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DE0CE1"/>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DE0CE1"/>
    <w:pPr>
      <w:keepNext/>
      <w:spacing w:after="0" w:line="240" w:lineRule="auto"/>
      <w:jc w:val="center"/>
      <w:outlineLvl w:val="1"/>
    </w:pPr>
    <w:rPr>
      <w:rFonts w:ascii="Times New Roman" w:eastAsia="Times New Roman" w:hAnsi="Times New Roman"/>
      <w:b/>
      <w:spacing w:val="-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E0CE1"/>
    <w:pPr>
      <w:tabs>
        <w:tab w:val="center" w:pos="4680"/>
        <w:tab w:val="right" w:pos="9360"/>
      </w:tabs>
    </w:pPr>
  </w:style>
  <w:style w:type="character" w:customStyle="1" w:styleId="FooterChar">
    <w:name w:val="Footer Char"/>
    <w:link w:val="Footer"/>
    <w:uiPriority w:val="99"/>
    <w:rsid w:val="00DE0CE1"/>
    <w:rPr>
      <w:sz w:val="22"/>
      <w:szCs w:val="22"/>
    </w:rPr>
  </w:style>
  <w:style w:type="paragraph" w:styleId="Header">
    <w:name w:val="header"/>
    <w:basedOn w:val="Normal"/>
    <w:link w:val="HeaderChar"/>
    <w:uiPriority w:val="99"/>
    <w:unhideWhenUsed/>
    <w:rsid w:val="00DE0CE1"/>
    <w:pPr>
      <w:tabs>
        <w:tab w:val="center" w:pos="4680"/>
        <w:tab w:val="right" w:pos="9360"/>
      </w:tabs>
    </w:pPr>
  </w:style>
  <w:style w:type="character" w:customStyle="1" w:styleId="HeaderChar">
    <w:name w:val="Header Char"/>
    <w:link w:val="Header"/>
    <w:uiPriority w:val="99"/>
    <w:rsid w:val="00DE0CE1"/>
    <w:rPr>
      <w:sz w:val="22"/>
      <w:szCs w:val="22"/>
    </w:rPr>
  </w:style>
  <w:style w:type="character" w:styleId="PageNumber">
    <w:name w:val="page number"/>
    <w:rsid w:val="00DE0CE1"/>
    <w:rPr>
      <w:rFonts w:cs="Times New Roman"/>
    </w:rPr>
  </w:style>
  <w:style w:type="character" w:styleId="CommentReference">
    <w:name w:val="annotation reference"/>
    <w:uiPriority w:val="99"/>
    <w:semiHidden/>
    <w:rsid w:val="00DE0CE1"/>
    <w:rPr>
      <w:rFonts w:cs="Times New Roman"/>
      <w:sz w:val="16"/>
      <w:szCs w:val="16"/>
    </w:rPr>
  </w:style>
  <w:style w:type="paragraph" w:styleId="CommentText">
    <w:name w:val="annotation text"/>
    <w:basedOn w:val="Normal"/>
    <w:link w:val="CommentTextChar"/>
    <w:uiPriority w:val="99"/>
    <w:semiHidden/>
    <w:rsid w:val="00DE0CE1"/>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uiPriority w:val="99"/>
    <w:semiHidden/>
    <w:rsid w:val="00DE0CE1"/>
    <w:rPr>
      <w:rFonts w:ascii="Times New Roman" w:eastAsia="Times New Roman" w:hAnsi="Times New Roman"/>
    </w:rPr>
  </w:style>
  <w:style w:type="paragraph" w:styleId="BalloonText">
    <w:name w:val="Balloon Text"/>
    <w:basedOn w:val="Normal"/>
    <w:link w:val="BalloonTextChar"/>
    <w:semiHidden/>
    <w:unhideWhenUsed/>
    <w:rsid w:val="00DE0CE1"/>
    <w:pPr>
      <w:spacing w:after="0" w:line="240" w:lineRule="auto"/>
    </w:pPr>
    <w:rPr>
      <w:rFonts w:ascii="Tahoma" w:hAnsi="Tahoma" w:cs="Tahoma"/>
      <w:sz w:val="16"/>
      <w:szCs w:val="16"/>
    </w:rPr>
  </w:style>
  <w:style w:type="character" w:customStyle="1" w:styleId="BalloonTextChar">
    <w:name w:val="Balloon Text Char"/>
    <w:link w:val="BalloonText"/>
    <w:semiHidden/>
    <w:rsid w:val="00DE0CE1"/>
    <w:rPr>
      <w:rFonts w:ascii="Tahoma" w:hAnsi="Tahoma" w:cs="Tahoma"/>
      <w:sz w:val="16"/>
      <w:szCs w:val="16"/>
    </w:rPr>
  </w:style>
  <w:style w:type="character" w:customStyle="1" w:styleId="Heading1Char">
    <w:name w:val="Heading 1 Char"/>
    <w:link w:val="Heading1"/>
    <w:rsid w:val="00DE0CE1"/>
    <w:rPr>
      <w:rFonts w:ascii="Arial" w:eastAsia="Times New Roman" w:hAnsi="Arial" w:cs="Arial"/>
      <w:b/>
      <w:bCs/>
      <w:kern w:val="32"/>
      <w:sz w:val="32"/>
      <w:szCs w:val="32"/>
    </w:rPr>
  </w:style>
  <w:style w:type="character" w:customStyle="1" w:styleId="Heading2Char">
    <w:name w:val="Heading 2 Char"/>
    <w:link w:val="Heading2"/>
    <w:rsid w:val="00DE0CE1"/>
    <w:rPr>
      <w:rFonts w:ascii="Times New Roman" w:eastAsia="Times New Roman" w:hAnsi="Times New Roman"/>
      <w:b/>
      <w:spacing w:val="-2"/>
      <w:sz w:val="22"/>
    </w:rPr>
  </w:style>
  <w:style w:type="numbering" w:customStyle="1" w:styleId="NoList1">
    <w:name w:val="No List1"/>
    <w:next w:val="NoList"/>
    <w:uiPriority w:val="99"/>
    <w:semiHidden/>
    <w:unhideWhenUsed/>
    <w:rsid w:val="00DE0CE1"/>
  </w:style>
  <w:style w:type="paragraph" w:styleId="Subtitle">
    <w:name w:val="Subtitle"/>
    <w:basedOn w:val="Normal"/>
    <w:link w:val="SubtitleChar"/>
    <w:qFormat/>
    <w:rsid w:val="00DE0CE1"/>
    <w:pPr>
      <w:spacing w:after="0" w:line="240" w:lineRule="auto"/>
    </w:pPr>
    <w:rPr>
      <w:rFonts w:ascii="Times New Roman" w:eastAsia="Times New Roman" w:hAnsi="Times New Roman"/>
      <w:b/>
      <w:spacing w:val="-3"/>
      <w:sz w:val="26"/>
      <w:szCs w:val="20"/>
    </w:rPr>
  </w:style>
  <w:style w:type="character" w:customStyle="1" w:styleId="SubtitleChar">
    <w:name w:val="Subtitle Char"/>
    <w:link w:val="Subtitle"/>
    <w:rsid w:val="00DE0CE1"/>
    <w:rPr>
      <w:rFonts w:ascii="Times New Roman" w:eastAsia="Times New Roman" w:hAnsi="Times New Roman"/>
      <w:b/>
      <w:spacing w:val="-3"/>
      <w:sz w:val="26"/>
    </w:rPr>
  </w:style>
  <w:style w:type="paragraph" w:styleId="BodyText2">
    <w:name w:val="Body Text 2"/>
    <w:basedOn w:val="Normal"/>
    <w:link w:val="BodyText2Char"/>
    <w:rsid w:val="00DE0CE1"/>
    <w:pPr>
      <w:tabs>
        <w:tab w:val="left" w:pos="0"/>
        <w:tab w:val="left" w:pos="456"/>
        <w:tab w:val="left" w:pos="720"/>
      </w:tabs>
      <w:suppressAutoHyphens/>
      <w:spacing w:after="0" w:line="240" w:lineRule="auto"/>
      <w:jc w:val="both"/>
    </w:pPr>
    <w:rPr>
      <w:rFonts w:ascii="Times New Roman" w:eastAsia="Times New Roman" w:hAnsi="Times New Roman"/>
      <w:spacing w:val="-2"/>
      <w:szCs w:val="20"/>
    </w:rPr>
  </w:style>
  <w:style w:type="character" w:customStyle="1" w:styleId="BodyText2Char">
    <w:name w:val="Body Text 2 Char"/>
    <w:link w:val="BodyText2"/>
    <w:rsid w:val="00DE0CE1"/>
    <w:rPr>
      <w:rFonts w:ascii="Times New Roman" w:eastAsia="Times New Roman" w:hAnsi="Times New Roman"/>
      <w:spacing w:val="-2"/>
      <w:sz w:val="22"/>
    </w:rPr>
  </w:style>
  <w:style w:type="paragraph" w:customStyle="1" w:styleId="Default">
    <w:name w:val="Default"/>
    <w:rsid w:val="00DE0CE1"/>
    <w:pPr>
      <w:widowControl w:val="0"/>
      <w:autoSpaceDE w:val="0"/>
      <w:autoSpaceDN w:val="0"/>
      <w:adjustRightInd w:val="0"/>
    </w:pPr>
    <w:rPr>
      <w:rFonts w:ascii="Bookman Old Style" w:eastAsia="Times New Roman" w:hAnsi="Bookman Old Style" w:cs="Bookman Old Style"/>
      <w:color w:val="000000"/>
      <w:sz w:val="24"/>
      <w:szCs w:val="24"/>
    </w:rPr>
  </w:style>
  <w:style w:type="paragraph" w:customStyle="1" w:styleId="CM53">
    <w:name w:val="CM53"/>
    <w:basedOn w:val="Default"/>
    <w:next w:val="Default"/>
    <w:rsid w:val="00DE0CE1"/>
    <w:pPr>
      <w:spacing w:after="60"/>
    </w:pPr>
    <w:rPr>
      <w:rFonts w:cs="Times New Roman"/>
      <w:color w:val="auto"/>
    </w:rPr>
  </w:style>
  <w:style w:type="character" w:customStyle="1" w:styleId="contentarea1">
    <w:name w:val="contentarea1"/>
    <w:rsid w:val="00DE0CE1"/>
    <w:rPr>
      <w:rFonts w:cs="Times New Roman"/>
    </w:rPr>
  </w:style>
  <w:style w:type="table" w:styleId="TableGrid2">
    <w:name w:val="Table Grid 2"/>
    <w:basedOn w:val="TableNormal"/>
    <w:rsid w:val="00DE0CE1"/>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character" w:styleId="Hyperlink">
    <w:name w:val="Hyperlink"/>
    <w:uiPriority w:val="99"/>
    <w:rsid w:val="00DE0CE1"/>
    <w:rPr>
      <w:rFonts w:cs="Times New Roman"/>
      <w:color w:val="0000FF"/>
      <w:u w:val="single"/>
    </w:rPr>
  </w:style>
  <w:style w:type="paragraph" w:styleId="NormalWeb">
    <w:name w:val="Normal (Web)"/>
    <w:basedOn w:val="Normal"/>
    <w:uiPriority w:val="99"/>
    <w:rsid w:val="00DE0CE1"/>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rsid w:val="00DE0CE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DE0CE1"/>
    <w:rPr>
      <w:rFonts w:cs="Times New Roman"/>
      <w:b/>
      <w:bCs/>
    </w:rPr>
  </w:style>
  <w:style w:type="paragraph" w:styleId="PlainText">
    <w:name w:val="Plain Text"/>
    <w:basedOn w:val="Normal"/>
    <w:link w:val="PlainTextChar"/>
    <w:uiPriority w:val="99"/>
    <w:rsid w:val="00DE0CE1"/>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uiPriority w:val="99"/>
    <w:rsid w:val="00DE0CE1"/>
    <w:rPr>
      <w:rFonts w:ascii="Courier New" w:eastAsia="Times New Roman" w:hAnsi="Courier New" w:cs="Courier New"/>
    </w:rPr>
  </w:style>
  <w:style w:type="paragraph" w:styleId="FootnoteText">
    <w:name w:val="footnote text"/>
    <w:aliases w:val="Footnote Text Char2,Footnote Text Char1 Char1,Footnote Text Char2 Char Char,Footnote Text Char1 Char Char Char,Footnote Text Char2 Char Char Char Char,Footnote Text Char1 Char1 Char Char Char Char,Footnote Text Char1,fn"/>
    <w:basedOn w:val="Normal"/>
    <w:link w:val="FootnoteTextChar3"/>
    <w:rsid w:val="00DE0CE1"/>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uiPriority w:val="99"/>
    <w:semiHidden/>
    <w:rsid w:val="00DE0CE1"/>
  </w:style>
  <w:style w:type="character" w:customStyle="1" w:styleId="FootnoteTextChar3">
    <w:name w:val="Footnote Text Char3"/>
    <w:aliases w:val="Footnote Text Char2 Char,Footnote Text Char1 Char1 Char,Footnote Text Char2 Char Char Char,Footnote Text Char1 Char Char Char Char,Footnote Text Char2 Char Char Char Char Char,Footnote Text Char1 Char1 Char Char Char Char Char"/>
    <w:link w:val="FootnoteText"/>
    <w:locked/>
    <w:rsid w:val="00DE0CE1"/>
    <w:rPr>
      <w:rFonts w:ascii="Times New Roman" w:eastAsia="Times New Roman" w:hAnsi="Times New Roman"/>
    </w:rPr>
  </w:style>
  <w:style w:type="character" w:styleId="FootnoteReference">
    <w:name w:val="footnote reference"/>
    <w:aliases w:val="Appel note de bas de p,Style 12,(NECG) Footnote Reference,Style 13,Style 124,fr,o,Style 3,FR,Style 17,Footnote Reference/,Style 6"/>
    <w:semiHidden/>
    <w:rsid w:val="00DE0CE1"/>
    <w:rPr>
      <w:rFonts w:cs="Times New Roman"/>
      <w:vertAlign w:val="superscript"/>
    </w:rPr>
  </w:style>
  <w:style w:type="paragraph" w:customStyle="1" w:styleId="NormalWeb1">
    <w:name w:val="Normal (Web)1"/>
    <w:basedOn w:val="Normal"/>
    <w:rsid w:val="00DE0CE1"/>
    <w:pPr>
      <w:spacing w:before="100" w:beforeAutospacing="1" w:after="100" w:afterAutospacing="1" w:line="312" w:lineRule="auto"/>
    </w:pPr>
    <w:rPr>
      <w:rFonts w:ascii="Times New Roman" w:eastAsia="Times New Roman" w:hAnsi="Times New Roman"/>
      <w:sz w:val="24"/>
      <w:szCs w:val="24"/>
    </w:rPr>
  </w:style>
  <w:style w:type="paragraph" w:styleId="CommentSubject">
    <w:name w:val="annotation subject"/>
    <w:basedOn w:val="CommentText"/>
    <w:next w:val="CommentText"/>
    <w:link w:val="CommentSubjectChar"/>
    <w:semiHidden/>
    <w:rsid w:val="00DE0CE1"/>
    <w:rPr>
      <w:b/>
      <w:bCs/>
    </w:rPr>
  </w:style>
  <w:style w:type="character" w:customStyle="1" w:styleId="CommentSubjectChar">
    <w:name w:val="Comment Subject Char"/>
    <w:link w:val="CommentSubject"/>
    <w:semiHidden/>
    <w:rsid w:val="00DE0CE1"/>
    <w:rPr>
      <w:rFonts w:ascii="Times New Roman" w:eastAsia="Times New Roman" w:hAnsi="Times New Roman"/>
      <w:b/>
      <w:bCs/>
    </w:rPr>
  </w:style>
  <w:style w:type="paragraph" w:customStyle="1" w:styleId="factsbody">
    <w:name w:val="factsbody"/>
    <w:basedOn w:val="Normal"/>
    <w:rsid w:val="00DE0CE1"/>
    <w:pPr>
      <w:spacing w:before="100" w:beforeAutospacing="1" w:after="100" w:afterAutospacing="1" w:line="240" w:lineRule="auto"/>
    </w:pPr>
    <w:rPr>
      <w:rFonts w:ascii="Arial" w:eastAsia="Times New Roman" w:hAnsi="Arial" w:cs="Arial"/>
      <w:color w:val="000000"/>
    </w:rPr>
  </w:style>
  <w:style w:type="paragraph" w:styleId="BodyTextIndent">
    <w:name w:val="Body Text Indent"/>
    <w:basedOn w:val="Normal"/>
    <w:link w:val="BodyTextIndentChar"/>
    <w:rsid w:val="00DE0CE1"/>
    <w:pPr>
      <w:spacing w:after="120" w:line="240" w:lineRule="auto"/>
      <w:ind w:left="360"/>
    </w:pPr>
    <w:rPr>
      <w:rFonts w:ascii="Times New Roman" w:eastAsia="Times New Roman" w:hAnsi="Times New Roman"/>
      <w:sz w:val="24"/>
      <w:szCs w:val="20"/>
    </w:rPr>
  </w:style>
  <w:style w:type="character" w:customStyle="1" w:styleId="BodyTextIndentChar">
    <w:name w:val="Body Text Indent Char"/>
    <w:link w:val="BodyTextIndent"/>
    <w:rsid w:val="00DE0CE1"/>
    <w:rPr>
      <w:rFonts w:ascii="Times New Roman" w:eastAsia="Times New Roman" w:hAnsi="Times New Roman"/>
      <w:sz w:val="24"/>
    </w:rPr>
  </w:style>
  <w:style w:type="character" w:customStyle="1" w:styleId="CharChar8">
    <w:name w:val="Char Char8"/>
    <w:locked/>
    <w:rsid w:val="00DE0CE1"/>
    <w:rPr>
      <w:rFonts w:ascii="Cambria" w:hAnsi="Cambria" w:cs="Times New Roman"/>
      <w:sz w:val="24"/>
      <w:szCs w:val="24"/>
    </w:rPr>
  </w:style>
  <w:style w:type="character" w:customStyle="1" w:styleId="CharChar">
    <w:name w:val="Char Char"/>
    <w:semiHidden/>
    <w:locked/>
    <w:rsid w:val="00DE0CE1"/>
    <w:rPr>
      <w:rFonts w:cs="Times New Roman"/>
      <w:sz w:val="24"/>
    </w:rPr>
  </w:style>
  <w:style w:type="paragraph" w:customStyle="1" w:styleId="bodytext">
    <w:name w:val="bodytext"/>
    <w:basedOn w:val="Normal"/>
    <w:rsid w:val="00DE0CE1"/>
    <w:pPr>
      <w:spacing w:before="100" w:beforeAutospacing="1" w:after="100" w:afterAutospacing="1" w:line="240" w:lineRule="auto"/>
    </w:pPr>
    <w:rPr>
      <w:rFonts w:ascii="Verdana" w:eastAsia="Times New Roman" w:hAnsi="Verdana"/>
      <w:color w:val="000000"/>
      <w:sz w:val="20"/>
      <w:szCs w:val="20"/>
    </w:rPr>
  </w:style>
  <w:style w:type="character" w:customStyle="1" w:styleId="msoins0">
    <w:name w:val="msoins0"/>
    <w:rsid w:val="00DE0CE1"/>
    <w:rPr>
      <w:color w:val="008080"/>
      <w:u w:val="single"/>
    </w:rPr>
  </w:style>
  <w:style w:type="character" w:styleId="FollowedHyperlink">
    <w:name w:val="FollowedHyperlink"/>
    <w:rsid w:val="00DE0CE1"/>
    <w:rPr>
      <w:color w:val="800080"/>
      <w:u w:val="single"/>
    </w:rPr>
  </w:style>
  <w:style w:type="paragraph" w:styleId="HTMLPreformatted">
    <w:name w:val="HTML Preformatted"/>
    <w:basedOn w:val="Normal"/>
    <w:link w:val="HTMLPreformattedChar"/>
    <w:rsid w:val="00DE0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rsid w:val="00DE0CE1"/>
    <w:rPr>
      <w:rFonts w:ascii="Courier New" w:eastAsia="Times New Roman" w:hAnsi="Courier New" w:cs="Courier New"/>
    </w:rPr>
  </w:style>
  <w:style w:type="paragraph" w:styleId="BodyTextIndent2">
    <w:name w:val="Body Text Indent 2"/>
    <w:basedOn w:val="Normal"/>
    <w:link w:val="BodyTextIndent2Char"/>
    <w:rsid w:val="00DE0CE1"/>
    <w:pPr>
      <w:spacing w:after="120" w:line="480" w:lineRule="auto"/>
      <w:ind w:left="360"/>
    </w:pPr>
    <w:rPr>
      <w:rFonts w:ascii="Times New Roman" w:eastAsia="Times New Roman" w:hAnsi="Times New Roman"/>
      <w:sz w:val="24"/>
      <w:szCs w:val="20"/>
    </w:rPr>
  </w:style>
  <w:style w:type="character" w:customStyle="1" w:styleId="BodyTextIndent2Char">
    <w:name w:val="Body Text Indent 2 Char"/>
    <w:link w:val="BodyTextIndent2"/>
    <w:rsid w:val="00DE0CE1"/>
    <w:rPr>
      <w:rFonts w:ascii="Times New Roman" w:eastAsia="Times New Roman" w:hAnsi="Times New Roman"/>
      <w:sz w:val="24"/>
    </w:rPr>
  </w:style>
  <w:style w:type="paragraph" w:styleId="ListParagraph">
    <w:name w:val="List Paragraph"/>
    <w:basedOn w:val="Normal"/>
    <w:uiPriority w:val="34"/>
    <w:qFormat/>
    <w:rsid w:val="00DE0CE1"/>
    <w:pPr>
      <w:spacing w:after="0" w:line="240" w:lineRule="auto"/>
      <w:ind w:left="720"/>
      <w:contextualSpacing/>
    </w:pPr>
    <w:rPr>
      <w:rFonts w:ascii="Times New Roman" w:eastAsia="Times New Roman" w:hAnsi="Times New Roman"/>
      <w:sz w:val="24"/>
      <w:szCs w:val="20"/>
    </w:rPr>
  </w:style>
  <w:style w:type="character" w:styleId="Emphasis">
    <w:name w:val="Emphasis"/>
    <w:uiPriority w:val="20"/>
    <w:qFormat/>
    <w:rsid w:val="00DE0CE1"/>
    <w:rPr>
      <w:i/>
      <w:iCs/>
    </w:rPr>
  </w:style>
  <w:style w:type="paragraph" w:styleId="Revision">
    <w:name w:val="Revision"/>
    <w:hidden/>
    <w:uiPriority w:val="99"/>
    <w:semiHidden/>
    <w:rsid w:val="002D6CC0"/>
    <w:rPr>
      <w:sz w:val="22"/>
      <w:szCs w:val="22"/>
    </w:rPr>
  </w:style>
  <w:style w:type="paragraph" w:styleId="TOCHeading">
    <w:name w:val="TOC Heading"/>
    <w:basedOn w:val="Heading1"/>
    <w:next w:val="Normal"/>
    <w:uiPriority w:val="39"/>
    <w:semiHidden/>
    <w:unhideWhenUsed/>
    <w:qFormat/>
    <w:rsid w:val="00575FAB"/>
    <w:pPr>
      <w:keepLines/>
      <w:spacing w:before="480" w:after="0" w:line="276" w:lineRule="auto"/>
      <w:outlineLvl w:val="9"/>
    </w:pPr>
    <w:rPr>
      <w:rFonts w:ascii="Cambria" w:eastAsia="MS Gothic" w:hAnsi="Cambria" w:cs="Times New Roman"/>
      <w:color w:val="365F91"/>
      <w:kern w:val="0"/>
      <w:sz w:val="28"/>
      <w:szCs w:val="28"/>
      <w:lang w:eastAsia="ja-JP"/>
    </w:rPr>
  </w:style>
  <w:style w:type="paragraph" w:styleId="TOC2">
    <w:name w:val="toc 2"/>
    <w:basedOn w:val="Normal"/>
    <w:next w:val="Normal"/>
    <w:autoRedefine/>
    <w:uiPriority w:val="39"/>
    <w:unhideWhenUsed/>
    <w:qFormat/>
    <w:rsid w:val="005A1183"/>
    <w:pPr>
      <w:spacing w:after="100"/>
      <w:ind w:left="220"/>
    </w:pPr>
    <w:rPr>
      <w:rFonts w:ascii="Times New Roman" w:eastAsia="MS Mincho" w:hAnsi="Times New Roman" w:cs="Arial"/>
      <w:lang w:eastAsia="ja-JP"/>
    </w:rPr>
  </w:style>
  <w:style w:type="paragraph" w:styleId="TOC1">
    <w:name w:val="toc 1"/>
    <w:basedOn w:val="Normal"/>
    <w:next w:val="Normal"/>
    <w:autoRedefine/>
    <w:uiPriority w:val="39"/>
    <w:unhideWhenUsed/>
    <w:qFormat/>
    <w:rsid w:val="00472983"/>
    <w:pPr>
      <w:spacing w:after="100"/>
    </w:pPr>
    <w:rPr>
      <w:rFonts w:ascii="Times New Roman" w:eastAsia="MS Mincho" w:hAnsi="Times New Roman" w:cs="Arial"/>
      <w:b/>
      <w:sz w:val="28"/>
      <w:lang w:eastAsia="ja-JP"/>
    </w:rPr>
  </w:style>
  <w:style w:type="paragraph" w:styleId="TOC3">
    <w:name w:val="toc 3"/>
    <w:basedOn w:val="Normal"/>
    <w:next w:val="Normal"/>
    <w:autoRedefine/>
    <w:uiPriority w:val="39"/>
    <w:semiHidden/>
    <w:unhideWhenUsed/>
    <w:qFormat/>
    <w:rsid w:val="005A1183"/>
    <w:pPr>
      <w:spacing w:after="100"/>
      <w:ind w:left="440"/>
    </w:pPr>
    <w:rPr>
      <w:rFonts w:ascii="Times New Roman" w:eastAsia="MS Mincho" w:hAnsi="Times New Roman" w:cs="Arial"/>
      <w:lang w:eastAsia="ja-JP"/>
    </w:rPr>
  </w:style>
  <w:style w:type="paragraph" w:styleId="TOC4">
    <w:name w:val="toc 4"/>
    <w:basedOn w:val="Normal"/>
    <w:next w:val="Normal"/>
    <w:autoRedefine/>
    <w:uiPriority w:val="39"/>
    <w:semiHidden/>
    <w:unhideWhenUsed/>
    <w:rsid w:val="005A1183"/>
    <w:pPr>
      <w:ind w:left="660"/>
    </w:pPr>
    <w:rPr>
      <w:rFonts w:ascii="Times New Roman" w:hAnsi="Times New Roman"/>
    </w:rPr>
  </w:style>
  <w:style w:type="paragraph" w:styleId="TOC5">
    <w:name w:val="toc 5"/>
    <w:basedOn w:val="Normal"/>
    <w:next w:val="Normal"/>
    <w:autoRedefine/>
    <w:uiPriority w:val="39"/>
    <w:semiHidden/>
    <w:unhideWhenUsed/>
    <w:rsid w:val="005A1183"/>
    <w:pPr>
      <w:ind w:left="880"/>
    </w:pPr>
    <w:rPr>
      <w:rFonts w:ascii="Times New Roman" w:hAnsi="Times New Roman"/>
    </w:rPr>
  </w:style>
  <w:style w:type="paragraph" w:styleId="TOC6">
    <w:name w:val="toc 6"/>
    <w:basedOn w:val="Normal"/>
    <w:next w:val="Normal"/>
    <w:autoRedefine/>
    <w:uiPriority w:val="39"/>
    <w:semiHidden/>
    <w:unhideWhenUsed/>
    <w:rsid w:val="005A1183"/>
    <w:pPr>
      <w:ind w:left="1100"/>
    </w:pPr>
    <w:rPr>
      <w:rFonts w:ascii="Times New Roman" w:hAnsi="Times New Roman"/>
    </w:rPr>
  </w:style>
  <w:style w:type="paragraph" w:styleId="TOC7">
    <w:name w:val="toc 7"/>
    <w:basedOn w:val="Normal"/>
    <w:next w:val="Normal"/>
    <w:autoRedefine/>
    <w:uiPriority w:val="39"/>
    <w:semiHidden/>
    <w:unhideWhenUsed/>
    <w:rsid w:val="005A1183"/>
    <w:pPr>
      <w:ind w:left="1320"/>
    </w:pPr>
    <w:rPr>
      <w:rFonts w:ascii="Times New Roman" w:hAnsi="Times New Roman"/>
    </w:rPr>
  </w:style>
  <w:style w:type="paragraph" w:styleId="TOC8">
    <w:name w:val="toc 8"/>
    <w:basedOn w:val="Normal"/>
    <w:next w:val="Normal"/>
    <w:autoRedefine/>
    <w:uiPriority w:val="39"/>
    <w:semiHidden/>
    <w:unhideWhenUsed/>
    <w:rsid w:val="005A1183"/>
    <w:pPr>
      <w:ind w:left="1540"/>
    </w:pPr>
    <w:rPr>
      <w:rFonts w:ascii="Times New Roman" w:hAnsi="Times New Roman"/>
    </w:rPr>
  </w:style>
  <w:style w:type="paragraph" w:styleId="TOC9">
    <w:name w:val="toc 9"/>
    <w:basedOn w:val="Normal"/>
    <w:next w:val="Normal"/>
    <w:autoRedefine/>
    <w:uiPriority w:val="39"/>
    <w:semiHidden/>
    <w:unhideWhenUsed/>
    <w:rsid w:val="005A1183"/>
    <w:pPr>
      <w:ind w:left="1760"/>
    </w:pPr>
    <w:rPr>
      <w:rFonts w:ascii="Times New Roman" w:hAnsi="Times New Roman"/>
    </w:rPr>
  </w:style>
  <w:style w:type="paragraph" w:styleId="NoSpacing">
    <w:name w:val="No Spacing"/>
    <w:link w:val="NoSpacingChar"/>
    <w:uiPriority w:val="1"/>
    <w:qFormat/>
    <w:rsid w:val="006C50AE"/>
    <w:rPr>
      <w:sz w:val="22"/>
      <w:szCs w:val="22"/>
    </w:rPr>
  </w:style>
  <w:style w:type="character" w:customStyle="1" w:styleId="NoSpacingChar">
    <w:name w:val="No Spacing Char"/>
    <w:basedOn w:val="DefaultParagraphFont"/>
    <w:link w:val="NoSpacing"/>
    <w:uiPriority w:val="1"/>
    <w:rsid w:val="00E37858"/>
    <w:rPr>
      <w:sz w:val="22"/>
      <w:szCs w:val="22"/>
    </w:rPr>
  </w:style>
  <w:style w:type="paragraph" w:customStyle="1" w:styleId="xmsonormal">
    <w:name w:val="x_msonormal"/>
    <w:basedOn w:val="Normal"/>
    <w:rsid w:val="001A2413"/>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3719CE"/>
  </w:style>
  <w:style w:type="character" w:customStyle="1" w:styleId="spellingerror">
    <w:name w:val="spellingerror"/>
    <w:basedOn w:val="DefaultParagraphFont"/>
    <w:rsid w:val="00E56C13"/>
  </w:style>
  <w:style w:type="character" w:customStyle="1" w:styleId="s3">
    <w:name w:val="s3"/>
    <w:basedOn w:val="DefaultParagraphFont"/>
    <w:rsid w:val="00EE42C3"/>
  </w:style>
  <w:style w:type="character" w:customStyle="1" w:styleId="s21">
    <w:name w:val="s21"/>
    <w:basedOn w:val="DefaultParagraphFont"/>
    <w:rsid w:val="00EE42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HTML Preformatted" w:uiPriority="0"/>
    <w:lsdException w:name="annotation subject" w:uiPriority="0"/>
    <w:lsdException w:name="Table Grid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DE0CE1"/>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DE0CE1"/>
    <w:pPr>
      <w:keepNext/>
      <w:spacing w:after="0" w:line="240" w:lineRule="auto"/>
      <w:jc w:val="center"/>
      <w:outlineLvl w:val="1"/>
    </w:pPr>
    <w:rPr>
      <w:rFonts w:ascii="Times New Roman" w:eastAsia="Times New Roman" w:hAnsi="Times New Roman"/>
      <w:b/>
      <w:spacing w:val="-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E0CE1"/>
    <w:pPr>
      <w:tabs>
        <w:tab w:val="center" w:pos="4680"/>
        <w:tab w:val="right" w:pos="9360"/>
      </w:tabs>
    </w:pPr>
  </w:style>
  <w:style w:type="character" w:customStyle="1" w:styleId="FooterChar">
    <w:name w:val="Footer Char"/>
    <w:link w:val="Footer"/>
    <w:uiPriority w:val="99"/>
    <w:rsid w:val="00DE0CE1"/>
    <w:rPr>
      <w:sz w:val="22"/>
      <w:szCs w:val="22"/>
    </w:rPr>
  </w:style>
  <w:style w:type="paragraph" w:styleId="Header">
    <w:name w:val="header"/>
    <w:basedOn w:val="Normal"/>
    <w:link w:val="HeaderChar"/>
    <w:uiPriority w:val="99"/>
    <w:unhideWhenUsed/>
    <w:rsid w:val="00DE0CE1"/>
    <w:pPr>
      <w:tabs>
        <w:tab w:val="center" w:pos="4680"/>
        <w:tab w:val="right" w:pos="9360"/>
      </w:tabs>
    </w:pPr>
  </w:style>
  <w:style w:type="character" w:customStyle="1" w:styleId="HeaderChar">
    <w:name w:val="Header Char"/>
    <w:link w:val="Header"/>
    <w:uiPriority w:val="99"/>
    <w:rsid w:val="00DE0CE1"/>
    <w:rPr>
      <w:sz w:val="22"/>
      <w:szCs w:val="22"/>
    </w:rPr>
  </w:style>
  <w:style w:type="character" w:styleId="PageNumber">
    <w:name w:val="page number"/>
    <w:rsid w:val="00DE0CE1"/>
    <w:rPr>
      <w:rFonts w:cs="Times New Roman"/>
    </w:rPr>
  </w:style>
  <w:style w:type="character" w:styleId="CommentReference">
    <w:name w:val="annotation reference"/>
    <w:uiPriority w:val="99"/>
    <w:semiHidden/>
    <w:rsid w:val="00DE0CE1"/>
    <w:rPr>
      <w:rFonts w:cs="Times New Roman"/>
      <w:sz w:val="16"/>
      <w:szCs w:val="16"/>
    </w:rPr>
  </w:style>
  <w:style w:type="paragraph" w:styleId="CommentText">
    <w:name w:val="annotation text"/>
    <w:basedOn w:val="Normal"/>
    <w:link w:val="CommentTextChar"/>
    <w:uiPriority w:val="99"/>
    <w:semiHidden/>
    <w:rsid w:val="00DE0CE1"/>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uiPriority w:val="99"/>
    <w:semiHidden/>
    <w:rsid w:val="00DE0CE1"/>
    <w:rPr>
      <w:rFonts w:ascii="Times New Roman" w:eastAsia="Times New Roman" w:hAnsi="Times New Roman"/>
    </w:rPr>
  </w:style>
  <w:style w:type="paragraph" w:styleId="BalloonText">
    <w:name w:val="Balloon Text"/>
    <w:basedOn w:val="Normal"/>
    <w:link w:val="BalloonTextChar"/>
    <w:semiHidden/>
    <w:unhideWhenUsed/>
    <w:rsid w:val="00DE0CE1"/>
    <w:pPr>
      <w:spacing w:after="0" w:line="240" w:lineRule="auto"/>
    </w:pPr>
    <w:rPr>
      <w:rFonts w:ascii="Tahoma" w:hAnsi="Tahoma" w:cs="Tahoma"/>
      <w:sz w:val="16"/>
      <w:szCs w:val="16"/>
    </w:rPr>
  </w:style>
  <w:style w:type="character" w:customStyle="1" w:styleId="BalloonTextChar">
    <w:name w:val="Balloon Text Char"/>
    <w:link w:val="BalloonText"/>
    <w:semiHidden/>
    <w:rsid w:val="00DE0CE1"/>
    <w:rPr>
      <w:rFonts w:ascii="Tahoma" w:hAnsi="Tahoma" w:cs="Tahoma"/>
      <w:sz w:val="16"/>
      <w:szCs w:val="16"/>
    </w:rPr>
  </w:style>
  <w:style w:type="character" w:customStyle="1" w:styleId="Heading1Char">
    <w:name w:val="Heading 1 Char"/>
    <w:link w:val="Heading1"/>
    <w:rsid w:val="00DE0CE1"/>
    <w:rPr>
      <w:rFonts w:ascii="Arial" w:eastAsia="Times New Roman" w:hAnsi="Arial" w:cs="Arial"/>
      <w:b/>
      <w:bCs/>
      <w:kern w:val="32"/>
      <w:sz w:val="32"/>
      <w:szCs w:val="32"/>
    </w:rPr>
  </w:style>
  <w:style w:type="character" w:customStyle="1" w:styleId="Heading2Char">
    <w:name w:val="Heading 2 Char"/>
    <w:link w:val="Heading2"/>
    <w:rsid w:val="00DE0CE1"/>
    <w:rPr>
      <w:rFonts w:ascii="Times New Roman" w:eastAsia="Times New Roman" w:hAnsi="Times New Roman"/>
      <w:b/>
      <w:spacing w:val="-2"/>
      <w:sz w:val="22"/>
    </w:rPr>
  </w:style>
  <w:style w:type="numbering" w:customStyle="1" w:styleId="NoList1">
    <w:name w:val="No List1"/>
    <w:next w:val="NoList"/>
    <w:uiPriority w:val="99"/>
    <w:semiHidden/>
    <w:unhideWhenUsed/>
    <w:rsid w:val="00DE0CE1"/>
  </w:style>
  <w:style w:type="paragraph" w:styleId="Subtitle">
    <w:name w:val="Subtitle"/>
    <w:basedOn w:val="Normal"/>
    <w:link w:val="SubtitleChar"/>
    <w:qFormat/>
    <w:rsid w:val="00DE0CE1"/>
    <w:pPr>
      <w:spacing w:after="0" w:line="240" w:lineRule="auto"/>
    </w:pPr>
    <w:rPr>
      <w:rFonts w:ascii="Times New Roman" w:eastAsia="Times New Roman" w:hAnsi="Times New Roman"/>
      <w:b/>
      <w:spacing w:val="-3"/>
      <w:sz w:val="26"/>
      <w:szCs w:val="20"/>
    </w:rPr>
  </w:style>
  <w:style w:type="character" w:customStyle="1" w:styleId="SubtitleChar">
    <w:name w:val="Subtitle Char"/>
    <w:link w:val="Subtitle"/>
    <w:rsid w:val="00DE0CE1"/>
    <w:rPr>
      <w:rFonts w:ascii="Times New Roman" w:eastAsia="Times New Roman" w:hAnsi="Times New Roman"/>
      <w:b/>
      <w:spacing w:val="-3"/>
      <w:sz w:val="26"/>
    </w:rPr>
  </w:style>
  <w:style w:type="paragraph" w:styleId="BodyText2">
    <w:name w:val="Body Text 2"/>
    <w:basedOn w:val="Normal"/>
    <w:link w:val="BodyText2Char"/>
    <w:rsid w:val="00DE0CE1"/>
    <w:pPr>
      <w:tabs>
        <w:tab w:val="left" w:pos="0"/>
        <w:tab w:val="left" w:pos="456"/>
        <w:tab w:val="left" w:pos="720"/>
      </w:tabs>
      <w:suppressAutoHyphens/>
      <w:spacing w:after="0" w:line="240" w:lineRule="auto"/>
      <w:jc w:val="both"/>
    </w:pPr>
    <w:rPr>
      <w:rFonts w:ascii="Times New Roman" w:eastAsia="Times New Roman" w:hAnsi="Times New Roman"/>
      <w:spacing w:val="-2"/>
      <w:szCs w:val="20"/>
    </w:rPr>
  </w:style>
  <w:style w:type="character" w:customStyle="1" w:styleId="BodyText2Char">
    <w:name w:val="Body Text 2 Char"/>
    <w:link w:val="BodyText2"/>
    <w:rsid w:val="00DE0CE1"/>
    <w:rPr>
      <w:rFonts w:ascii="Times New Roman" w:eastAsia="Times New Roman" w:hAnsi="Times New Roman"/>
      <w:spacing w:val="-2"/>
      <w:sz w:val="22"/>
    </w:rPr>
  </w:style>
  <w:style w:type="paragraph" w:customStyle="1" w:styleId="Default">
    <w:name w:val="Default"/>
    <w:rsid w:val="00DE0CE1"/>
    <w:pPr>
      <w:widowControl w:val="0"/>
      <w:autoSpaceDE w:val="0"/>
      <w:autoSpaceDN w:val="0"/>
      <w:adjustRightInd w:val="0"/>
    </w:pPr>
    <w:rPr>
      <w:rFonts w:ascii="Bookman Old Style" w:eastAsia="Times New Roman" w:hAnsi="Bookman Old Style" w:cs="Bookman Old Style"/>
      <w:color w:val="000000"/>
      <w:sz w:val="24"/>
      <w:szCs w:val="24"/>
    </w:rPr>
  </w:style>
  <w:style w:type="paragraph" w:customStyle="1" w:styleId="CM53">
    <w:name w:val="CM53"/>
    <w:basedOn w:val="Default"/>
    <w:next w:val="Default"/>
    <w:rsid w:val="00DE0CE1"/>
    <w:pPr>
      <w:spacing w:after="60"/>
    </w:pPr>
    <w:rPr>
      <w:rFonts w:cs="Times New Roman"/>
      <w:color w:val="auto"/>
    </w:rPr>
  </w:style>
  <w:style w:type="character" w:customStyle="1" w:styleId="contentarea1">
    <w:name w:val="contentarea1"/>
    <w:rsid w:val="00DE0CE1"/>
    <w:rPr>
      <w:rFonts w:cs="Times New Roman"/>
    </w:rPr>
  </w:style>
  <w:style w:type="table" w:styleId="TableGrid2">
    <w:name w:val="Table Grid 2"/>
    <w:basedOn w:val="TableNormal"/>
    <w:rsid w:val="00DE0CE1"/>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character" w:styleId="Hyperlink">
    <w:name w:val="Hyperlink"/>
    <w:uiPriority w:val="99"/>
    <w:rsid w:val="00DE0CE1"/>
    <w:rPr>
      <w:rFonts w:cs="Times New Roman"/>
      <w:color w:val="0000FF"/>
      <w:u w:val="single"/>
    </w:rPr>
  </w:style>
  <w:style w:type="paragraph" w:styleId="NormalWeb">
    <w:name w:val="Normal (Web)"/>
    <w:basedOn w:val="Normal"/>
    <w:uiPriority w:val="99"/>
    <w:rsid w:val="00DE0CE1"/>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rsid w:val="00DE0CE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DE0CE1"/>
    <w:rPr>
      <w:rFonts w:cs="Times New Roman"/>
      <w:b/>
      <w:bCs/>
    </w:rPr>
  </w:style>
  <w:style w:type="paragraph" w:styleId="PlainText">
    <w:name w:val="Plain Text"/>
    <w:basedOn w:val="Normal"/>
    <w:link w:val="PlainTextChar"/>
    <w:uiPriority w:val="99"/>
    <w:rsid w:val="00DE0CE1"/>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uiPriority w:val="99"/>
    <w:rsid w:val="00DE0CE1"/>
    <w:rPr>
      <w:rFonts w:ascii="Courier New" w:eastAsia="Times New Roman" w:hAnsi="Courier New" w:cs="Courier New"/>
    </w:rPr>
  </w:style>
  <w:style w:type="paragraph" w:styleId="FootnoteText">
    <w:name w:val="footnote text"/>
    <w:aliases w:val="Footnote Text Char2,Footnote Text Char1 Char1,Footnote Text Char2 Char Char,Footnote Text Char1 Char Char Char,Footnote Text Char2 Char Char Char Char,Footnote Text Char1 Char1 Char Char Char Char,Footnote Text Char1,fn"/>
    <w:basedOn w:val="Normal"/>
    <w:link w:val="FootnoteTextChar3"/>
    <w:rsid w:val="00DE0CE1"/>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uiPriority w:val="99"/>
    <w:semiHidden/>
    <w:rsid w:val="00DE0CE1"/>
  </w:style>
  <w:style w:type="character" w:customStyle="1" w:styleId="FootnoteTextChar3">
    <w:name w:val="Footnote Text Char3"/>
    <w:aliases w:val="Footnote Text Char2 Char,Footnote Text Char1 Char1 Char,Footnote Text Char2 Char Char Char,Footnote Text Char1 Char Char Char Char,Footnote Text Char2 Char Char Char Char Char,Footnote Text Char1 Char1 Char Char Char Char Char"/>
    <w:link w:val="FootnoteText"/>
    <w:locked/>
    <w:rsid w:val="00DE0CE1"/>
    <w:rPr>
      <w:rFonts w:ascii="Times New Roman" w:eastAsia="Times New Roman" w:hAnsi="Times New Roman"/>
    </w:rPr>
  </w:style>
  <w:style w:type="character" w:styleId="FootnoteReference">
    <w:name w:val="footnote reference"/>
    <w:aliases w:val="Appel note de bas de p,Style 12,(NECG) Footnote Reference,Style 13,Style 124,fr,o,Style 3,FR,Style 17,Footnote Reference/,Style 6"/>
    <w:semiHidden/>
    <w:rsid w:val="00DE0CE1"/>
    <w:rPr>
      <w:rFonts w:cs="Times New Roman"/>
      <w:vertAlign w:val="superscript"/>
    </w:rPr>
  </w:style>
  <w:style w:type="paragraph" w:customStyle="1" w:styleId="NormalWeb1">
    <w:name w:val="Normal (Web)1"/>
    <w:basedOn w:val="Normal"/>
    <w:rsid w:val="00DE0CE1"/>
    <w:pPr>
      <w:spacing w:before="100" w:beforeAutospacing="1" w:after="100" w:afterAutospacing="1" w:line="312" w:lineRule="auto"/>
    </w:pPr>
    <w:rPr>
      <w:rFonts w:ascii="Times New Roman" w:eastAsia="Times New Roman" w:hAnsi="Times New Roman"/>
      <w:sz w:val="24"/>
      <w:szCs w:val="24"/>
    </w:rPr>
  </w:style>
  <w:style w:type="paragraph" w:styleId="CommentSubject">
    <w:name w:val="annotation subject"/>
    <w:basedOn w:val="CommentText"/>
    <w:next w:val="CommentText"/>
    <w:link w:val="CommentSubjectChar"/>
    <w:semiHidden/>
    <w:rsid w:val="00DE0CE1"/>
    <w:rPr>
      <w:b/>
      <w:bCs/>
    </w:rPr>
  </w:style>
  <w:style w:type="character" w:customStyle="1" w:styleId="CommentSubjectChar">
    <w:name w:val="Comment Subject Char"/>
    <w:link w:val="CommentSubject"/>
    <w:semiHidden/>
    <w:rsid w:val="00DE0CE1"/>
    <w:rPr>
      <w:rFonts w:ascii="Times New Roman" w:eastAsia="Times New Roman" w:hAnsi="Times New Roman"/>
      <w:b/>
      <w:bCs/>
    </w:rPr>
  </w:style>
  <w:style w:type="paragraph" w:customStyle="1" w:styleId="factsbody">
    <w:name w:val="factsbody"/>
    <w:basedOn w:val="Normal"/>
    <w:rsid w:val="00DE0CE1"/>
    <w:pPr>
      <w:spacing w:before="100" w:beforeAutospacing="1" w:after="100" w:afterAutospacing="1" w:line="240" w:lineRule="auto"/>
    </w:pPr>
    <w:rPr>
      <w:rFonts w:ascii="Arial" w:eastAsia="Times New Roman" w:hAnsi="Arial" w:cs="Arial"/>
      <w:color w:val="000000"/>
    </w:rPr>
  </w:style>
  <w:style w:type="paragraph" w:styleId="BodyTextIndent">
    <w:name w:val="Body Text Indent"/>
    <w:basedOn w:val="Normal"/>
    <w:link w:val="BodyTextIndentChar"/>
    <w:rsid w:val="00DE0CE1"/>
    <w:pPr>
      <w:spacing w:after="120" w:line="240" w:lineRule="auto"/>
      <w:ind w:left="360"/>
    </w:pPr>
    <w:rPr>
      <w:rFonts w:ascii="Times New Roman" w:eastAsia="Times New Roman" w:hAnsi="Times New Roman"/>
      <w:sz w:val="24"/>
      <w:szCs w:val="20"/>
    </w:rPr>
  </w:style>
  <w:style w:type="character" w:customStyle="1" w:styleId="BodyTextIndentChar">
    <w:name w:val="Body Text Indent Char"/>
    <w:link w:val="BodyTextIndent"/>
    <w:rsid w:val="00DE0CE1"/>
    <w:rPr>
      <w:rFonts w:ascii="Times New Roman" w:eastAsia="Times New Roman" w:hAnsi="Times New Roman"/>
      <w:sz w:val="24"/>
    </w:rPr>
  </w:style>
  <w:style w:type="character" w:customStyle="1" w:styleId="CharChar8">
    <w:name w:val="Char Char8"/>
    <w:locked/>
    <w:rsid w:val="00DE0CE1"/>
    <w:rPr>
      <w:rFonts w:ascii="Cambria" w:hAnsi="Cambria" w:cs="Times New Roman"/>
      <w:sz w:val="24"/>
      <w:szCs w:val="24"/>
    </w:rPr>
  </w:style>
  <w:style w:type="character" w:customStyle="1" w:styleId="CharChar">
    <w:name w:val="Char Char"/>
    <w:semiHidden/>
    <w:locked/>
    <w:rsid w:val="00DE0CE1"/>
    <w:rPr>
      <w:rFonts w:cs="Times New Roman"/>
      <w:sz w:val="24"/>
    </w:rPr>
  </w:style>
  <w:style w:type="paragraph" w:customStyle="1" w:styleId="bodytext">
    <w:name w:val="bodytext"/>
    <w:basedOn w:val="Normal"/>
    <w:rsid w:val="00DE0CE1"/>
    <w:pPr>
      <w:spacing w:before="100" w:beforeAutospacing="1" w:after="100" w:afterAutospacing="1" w:line="240" w:lineRule="auto"/>
    </w:pPr>
    <w:rPr>
      <w:rFonts w:ascii="Verdana" w:eastAsia="Times New Roman" w:hAnsi="Verdana"/>
      <w:color w:val="000000"/>
      <w:sz w:val="20"/>
      <w:szCs w:val="20"/>
    </w:rPr>
  </w:style>
  <w:style w:type="character" w:customStyle="1" w:styleId="msoins0">
    <w:name w:val="msoins0"/>
    <w:rsid w:val="00DE0CE1"/>
    <w:rPr>
      <w:color w:val="008080"/>
      <w:u w:val="single"/>
    </w:rPr>
  </w:style>
  <w:style w:type="character" w:styleId="FollowedHyperlink">
    <w:name w:val="FollowedHyperlink"/>
    <w:rsid w:val="00DE0CE1"/>
    <w:rPr>
      <w:color w:val="800080"/>
      <w:u w:val="single"/>
    </w:rPr>
  </w:style>
  <w:style w:type="paragraph" w:styleId="HTMLPreformatted">
    <w:name w:val="HTML Preformatted"/>
    <w:basedOn w:val="Normal"/>
    <w:link w:val="HTMLPreformattedChar"/>
    <w:rsid w:val="00DE0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rsid w:val="00DE0CE1"/>
    <w:rPr>
      <w:rFonts w:ascii="Courier New" w:eastAsia="Times New Roman" w:hAnsi="Courier New" w:cs="Courier New"/>
    </w:rPr>
  </w:style>
  <w:style w:type="paragraph" w:styleId="BodyTextIndent2">
    <w:name w:val="Body Text Indent 2"/>
    <w:basedOn w:val="Normal"/>
    <w:link w:val="BodyTextIndent2Char"/>
    <w:rsid w:val="00DE0CE1"/>
    <w:pPr>
      <w:spacing w:after="120" w:line="480" w:lineRule="auto"/>
      <w:ind w:left="360"/>
    </w:pPr>
    <w:rPr>
      <w:rFonts w:ascii="Times New Roman" w:eastAsia="Times New Roman" w:hAnsi="Times New Roman"/>
      <w:sz w:val="24"/>
      <w:szCs w:val="20"/>
    </w:rPr>
  </w:style>
  <w:style w:type="character" w:customStyle="1" w:styleId="BodyTextIndent2Char">
    <w:name w:val="Body Text Indent 2 Char"/>
    <w:link w:val="BodyTextIndent2"/>
    <w:rsid w:val="00DE0CE1"/>
    <w:rPr>
      <w:rFonts w:ascii="Times New Roman" w:eastAsia="Times New Roman" w:hAnsi="Times New Roman"/>
      <w:sz w:val="24"/>
    </w:rPr>
  </w:style>
  <w:style w:type="paragraph" w:styleId="ListParagraph">
    <w:name w:val="List Paragraph"/>
    <w:basedOn w:val="Normal"/>
    <w:uiPriority w:val="34"/>
    <w:qFormat/>
    <w:rsid w:val="00DE0CE1"/>
    <w:pPr>
      <w:spacing w:after="0" w:line="240" w:lineRule="auto"/>
      <w:ind w:left="720"/>
      <w:contextualSpacing/>
    </w:pPr>
    <w:rPr>
      <w:rFonts w:ascii="Times New Roman" w:eastAsia="Times New Roman" w:hAnsi="Times New Roman"/>
      <w:sz w:val="24"/>
      <w:szCs w:val="20"/>
    </w:rPr>
  </w:style>
  <w:style w:type="character" w:styleId="Emphasis">
    <w:name w:val="Emphasis"/>
    <w:uiPriority w:val="20"/>
    <w:qFormat/>
    <w:rsid w:val="00DE0CE1"/>
    <w:rPr>
      <w:i/>
      <w:iCs/>
    </w:rPr>
  </w:style>
  <w:style w:type="paragraph" w:styleId="Revision">
    <w:name w:val="Revision"/>
    <w:hidden/>
    <w:uiPriority w:val="99"/>
    <w:semiHidden/>
    <w:rsid w:val="002D6CC0"/>
    <w:rPr>
      <w:sz w:val="22"/>
      <w:szCs w:val="22"/>
    </w:rPr>
  </w:style>
  <w:style w:type="paragraph" w:styleId="TOCHeading">
    <w:name w:val="TOC Heading"/>
    <w:basedOn w:val="Heading1"/>
    <w:next w:val="Normal"/>
    <w:uiPriority w:val="39"/>
    <w:semiHidden/>
    <w:unhideWhenUsed/>
    <w:qFormat/>
    <w:rsid w:val="00575FAB"/>
    <w:pPr>
      <w:keepLines/>
      <w:spacing w:before="480" w:after="0" w:line="276" w:lineRule="auto"/>
      <w:outlineLvl w:val="9"/>
    </w:pPr>
    <w:rPr>
      <w:rFonts w:ascii="Cambria" w:eastAsia="MS Gothic" w:hAnsi="Cambria" w:cs="Times New Roman"/>
      <w:color w:val="365F91"/>
      <w:kern w:val="0"/>
      <w:sz w:val="28"/>
      <w:szCs w:val="28"/>
      <w:lang w:eastAsia="ja-JP"/>
    </w:rPr>
  </w:style>
  <w:style w:type="paragraph" w:styleId="TOC2">
    <w:name w:val="toc 2"/>
    <w:basedOn w:val="Normal"/>
    <w:next w:val="Normal"/>
    <w:autoRedefine/>
    <w:uiPriority w:val="39"/>
    <w:unhideWhenUsed/>
    <w:qFormat/>
    <w:rsid w:val="005A1183"/>
    <w:pPr>
      <w:spacing w:after="100"/>
      <w:ind w:left="220"/>
    </w:pPr>
    <w:rPr>
      <w:rFonts w:ascii="Times New Roman" w:eastAsia="MS Mincho" w:hAnsi="Times New Roman" w:cs="Arial"/>
      <w:lang w:eastAsia="ja-JP"/>
    </w:rPr>
  </w:style>
  <w:style w:type="paragraph" w:styleId="TOC1">
    <w:name w:val="toc 1"/>
    <w:basedOn w:val="Normal"/>
    <w:next w:val="Normal"/>
    <w:autoRedefine/>
    <w:uiPriority w:val="39"/>
    <w:unhideWhenUsed/>
    <w:qFormat/>
    <w:rsid w:val="00472983"/>
    <w:pPr>
      <w:spacing w:after="100"/>
    </w:pPr>
    <w:rPr>
      <w:rFonts w:ascii="Times New Roman" w:eastAsia="MS Mincho" w:hAnsi="Times New Roman" w:cs="Arial"/>
      <w:b/>
      <w:sz w:val="28"/>
      <w:lang w:eastAsia="ja-JP"/>
    </w:rPr>
  </w:style>
  <w:style w:type="paragraph" w:styleId="TOC3">
    <w:name w:val="toc 3"/>
    <w:basedOn w:val="Normal"/>
    <w:next w:val="Normal"/>
    <w:autoRedefine/>
    <w:uiPriority w:val="39"/>
    <w:semiHidden/>
    <w:unhideWhenUsed/>
    <w:qFormat/>
    <w:rsid w:val="005A1183"/>
    <w:pPr>
      <w:spacing w:after="100"/>
      <w:ind w:left="440"/>
    </w:pPr>
    <w:rPr>
      <w:rFonts w:ascii="Times New Roman" w:eastAsia="MS Mincho" w:hAnsi="Times New Roman" w:cs="Arial"/>
      <w:lang w:eastAsia="ja-JP"/>
    </w:rPr>
  </w:style>
  <w:style w:type="paragraph" w:styleId="TOC4">
    <w:name w:val="toc 4"/>
    <w:basedOn w:val="Normal"/>
    <w:next w:val="Normal"/>
    <w:autoRedefine/>
    <w:uiPriority w:val="39"/>
    <w:semiHidden/>
    <w:unhideWhenUsed/>
    <w:rsid w:val="005A1183"/>
    <w:pPr>
      <w:ind w:left="660"/>
    </w:pPr>
    <w:rPr>
      <w:rFonts w:ascii="Times New Roman" w:hAnsi="Times New Roman"/>
    </w:rPr>
  </w:style>
  <w:style w:type="paragraph" w:styleId="TOC5">
    <w:name w:val="toc 5"/>
    <w:basedOn w:val="Normal"/>
    <w:next w:val="Normal"/>
    <w:autoRedefine/>
    <w:uiPriority w:val="39"/>
    <w:semiHidden/>
    <w:unhideWhenUsed/>
    <w:rsid w:val="005A1183"/>
    <w:pPr>
      <w:ind w:left="880"/>
    </w:pPr>
    <w:rPr>
      <w:rFonts w:ascii="Times New Roman" w:hAnsi="Times New Roman"/>
    </w:rPr>
  </w:style>
  <w:style w:type="paragraph" w:styleId="TOC6">
    <w:name w:val="toc 6"/>
    <w:basedOn w:val="Normal"/>
    <w:next w:val="Normal"/>
    <w:autoRedefine/>
    <w:uiPriority w:val="39"/>
    <w:semiHidden/>
    <w:unhideWhenUsed/>
    <w:rsid w:val="005A1183"/>
    <w:pPr>
      <w:ind w:left="1100"/>
    </w:pPr>
    <w:rPr>
      <w:rFonts w:ascii="Times New Roman" w:hAnsi="Times New Roman"/>
    </w:rPr>
  </w:style>
  <w:style w:type="paragraph" w:styleId="TOC7">
    <w:name w:val="toc 7"/>
    <w:basedOn w:val="Normal"/>
    <w:next w:val="Normal"/>
    <w:autoRedefine/>
    <w:uiPriority w:val="39"/>
    <w:semiHidden/>
    <w:unhideWhenUsed/>
    <w:rsid w:val="005A1183"/>
    <w:pPr>
      <w:ind w:left="1320"/>
    </w:pPr>
    <w:rPr>
      <w:rFonts w:ascii="Times New Roman" w:hAnsi="Times New Roman"/>
    </w:rPr>
  </w:style>
  <w:style w:type="paragraph" w:styleId="TOC8">
    <w:name w:val="toc 8"/>
    <w:basedOn w:val="Normal"/>
    <w:next w:val="Normal"/>
    <w:autoRedefine/>
    <w:uiPriority w:val="39"/>
    <w:semiHidden/>
    <w:unhideWhenUsed/>
    <w:rsid w:val="005A1183"/>
    <w:pPr>
      <w:ind w:left="1540"/>
    </w:pPr>
    <w:rPr>
      <w:rFonts w:ascii="Times New Roman" w:hAnsi="Times New Roman"/>
    </w:rPr>
  </w:style>
  <w:style w:type="paragraph" w:styleId="TOC9">
    <w:name w:val="toc 9"/>
    <w:basedOn w:val="Normal"/>
    <w:next w:val="Normal"/>
    <w:autoRedefine/>
    <w:uiPriority w:val="39"/>
    <w:semiHidden/>
    <w:unhideWhenUsed/>
    <w:rsid w:val="005A1183"/>
    <w:pPr>
      <w:ind w:left="1760"/>
    </w:pPr>
    <w:rPr>
      <w:rFonts w:ascii="Times New Roman" w:hAnsi="Times New Roman"/>
    </w:rPr>
  </w:style>
  <w:style w:type="paragraph" w:styleId="NoSpacing">
    <w:name w:val="No Spacing"/>
    <w:link w:val="NoSpacingChar"/>
    <w:uiPriority w:val="1"/>
    <w:qFormat/>
    <w:rsid w:val="006C50AE"/>
    <w:rPr>
      <w:sz w:val="22"/>
      <w:szCs w:val="22"/>
    </w:rPr>
  </w:style>
  <w:style w:type="character" w:customStyle="1" w:styleId="NoSpacingChar">
    <w:name w:val="No Spacing Char"/>
    <w:basedOn w:val="DefaultParagraphFont"/>
    <w:link w:val="NoSpacing"/>
    <w:uiPriority w:val="1"/>
    <w:rsid w:val="00E37858"/>
    <w:rPr>
      <w:sz w:val="22"/>
      <w:szCs w:val="22"/>
    </w:rPr>
  </w:style>
  <w:style w:type="paragraph" w:customStyle="1" w:styleId="xmsonormal">
    <w:name w:val="x_msonormal"/>
    <w:basedOn w:val="Normal"/>
    <w:rsid w:val="001A2413"/>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3719CE"/>
  </w:style>
  <w:style w:type="character" w:customStyle="1" w:styleId="spellingerror">
    <w:name w:val="spellingerror"/>
    <w:basedOn w:val="DefaultParagraphFont"/>
    <w:rsid w:val="00E56C13"/>
  </w:style>
  <w:style w:type="character" w:customStyle="1" w:styleId="s3">
    <w:name w:val="s3"/>
    <w:basedOn w:val="DefaultParagraphFont"/>
    <w:rsid w:val="00EE42C3"/>
  </w:style>
  <w:style w:type="character" w:customStyle="1" w:styleId="s21">
    <w:name w:val="s21"/>
    <w:basedOn w:val="DefaultParagraphFont"/>
    <w:rsid w:val="00EE42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24335">
      <w:bodyDiv w:val="1"/>
      <w:marLeft w:val="0"/>
      <w:marRight w:val="0"/>
      <w:marTop w:val="0"/>
      <w:marBottom w:val="0"/>
      <w:divBdr>
        <w:top w:val="none" w:sz="0" w:space="0" w:color="auto"/>
        <w:left w:val="none" w:sz="0" w:space="0" w:color="auto"/>
        <w:bottom w:val="none" w:sz="0" w:space="0" w:color="auto"/>
        <w:right w:val="none" w:sz="0" w:space="0" w:color="auto"/>
      </w:divBdr>
    </w:div>
    <w:div w:id="178545655">
      <w:bodyDiv w:val="1"/>
      <w:marLeft w:val="0"/>
      <w:marRight w:val="0"/>
      <w:marTop w:val="0"/>
      <w:marBottom w:val="0"/>
      <w:divBdr>
        <w:top w:val="none" w:sz="0" w:space="0" w:color="auto"/>
        <w:left w:val="none" w:sz="0" w:space="0" w:color="auto"/>
        <w:bottom w:val="none" w:sz="0" w:space="0" w:color="auto"/>
        <w:right w:val="none" w:sz="0" w:space="0" w:color="auto"/>
      </w:divBdr>
    </w:div>
    <w:div w:id="180900036">
      <w:bodyDiv w:val="1"/>
      <w:marLeft w:val="0"/>
      <w:marRight w:val="0"/>
      <w:marTop w:val="0"/>
      <w:marBottom w:val="0"/>
      <w:divBdr>
        <w:top w:val="none" w:sz="0" w:space="0" w:color="auto"/>
        <w:left w:val="none" w:sz="0" w:space="0" w:color="auto"/>
        <w:bottom w:val="none" w:sz="0" w:space="0" w:color="auto"/>
        <w:right w:val="none" w:sz="0" w:space="0" w:color="auto"/>
      </w:divBdr>
    </w:div>
    <w:div w:id="219291819">
      <w:bodyDiv w:val="1"/>
      <w:marLeft w:val="0"/>
      <w:marRight w:val="0"/>
      <w:marTop w:val="0"/>
      <w:marBottom w:val="0"/>
      <w:divBdr>
        <w:top w:val="none" w:sz="0" w:space="0" w:color="auto"/>
        <w:left w:val="none" w:sz="0" w:space="0" w:color="auto"/>
        <w:bottom w:val="none" w:sz="0" w:space="0" w:color="auto"/>
        <w:right w:val="none" w:sz="0" w:space="0" w:color="auto"/>
      </w:divBdr>
    </w:div>
    <w:div w:id="239682057">
      <w:bodyDiv w:val="1"/>
      <w:marLeft w:val="0"/>
      <w:marRight w:val="0"/>
      <w:marTop w:val="0"/>
      <w:marBottom w:val="0"/>
      <w:divBdr>
        <w:top w:val="none" w:sz="0" w:space="0" w:color="auto"/>
        <w:left w:val="none" w:sz="0" w:space="0" w:color="auto"/>
        <w:bottom w:val="none" w:sz="0" w:space="0" w:color="auto"/>
        <w:right w:val="none" w:sz="0" w:space="0" w:color="auto"/>
      </w:divBdr>
    </w:div>
    <w:div w:id="265577716">
      <w:bodyDiv w:val="1"/>
      <w:marLeft w:val="0"/>
      <w:marRight w:val="0"/>
      <w:marTop w:val="0"/>
      <w:marBottom w:val="0"/>
      <w:divBdr>
        <w:top w:val="none" w:sz="0" w:space="0" w:color="auto"/>
        <w:left w:val="none" w:sz="0" w:space="0" w:color="auto"/>
        <w:bottom w:val="none" w:sz="0" w:space="0" w:color="auto"/>
        <w:right w:val="none" w:sz="0" w:space="0" w:color="auto"/>
      </w:divBdr>
    </w:div>
    <w:div w:id="352390780">
      <w:bodyDiv w:val="1"/>
      <w:marLeft w:val="0"/>
      <w:marRight w:val="0"/>
      <w:marTop w:val="0"/>
      <w:marBottom w:val="0"/>
      <w:divBdr>
        <w:top w:val="none" w:sz="0" w:space="0" w:color="auto"/>
        <w:left w:val="none" w:sz="0" w:space="0" w:color="auto"/>
        <w:bottom w:val="none" w:sz="0" w:space="0" w:color="auto"/>
        <w:right w:val="none" w:sz="0" w:space="0" w:color="auto"/>
      </w:divBdr>
      <w:divsChild>
        <w:div w:id="1158498967">
          <w:marLeft w:val="0"/>
          <w:marRight w:val="0"/>
          <w:marTop w:val="0"/>
          <w:marBottom w:val="0"/>
          <w:divBdr>
            <w:top w:val="none" w:sz="0" w:space="0" w:color="auto"/>
            <w:left w:val="none" w:sz="0" w:space="0" w:color="auto"/>
            <w:bottom w:val="none" w:sz="0" w:space="0" w:color="auto"/>
            <w:right w:val="none" w:sz="0" w:space="0" w:color="auto"/>
          </w:divBdr>
          <w:divsChild>
            <w:div w:id="851457356">
              <w:marLeft w:val="0"/>
              <w:marRight w:val="0"/>
              <w:marTop w:val="0"/>
              <w:marBottom w:val="0"/>
              <w:divBdr>
                <w:top w:val="none" w:sz="0" w:space="0" w:color="auto"/>
                <w:left w:val="none" w:sz="0" w:space="0" w:color="auto"/>
                <w:bottom w:val="none" w:sz="0" w:space="0" w:color="auto"/>
                <w:right w:val="none" w:sz="0" w:space="0" w:color="auto"/>
              </w:divBdr>
              <w:divsChild>
                <w:div w:id="1953970041">
                  <w:marLeft w:val="0"/>
                  <w:marRight w:val="0"/>
                  <w:marTop w:val="0"/>
                  <w:marBottom w:val="0"/>
                  <w:divBdr>
                    <w:top w:val="none" w:sz="0" w:space="0" w:color="auto"/>
                    <w:left w:val="none" w:sz="0" w:space="0" w:color="auto"/>
                    <w:bottom w:val="none" w:sz="0" w:space="0" w:color="auto"/>
                    <w:right w:val="none" w:sz="0" w:space="0" w:color="auto"/>
                  </w:divBdr>
                  <w:divsChild>
                    <w:div w:id="1616868757">
                      <w:marLeft w:val="0"/>
                      <w:marRight w:val="0"/>
                      <w:marTop w:val="0"/>
                      <w:marBottom w:val="0"/>
                      <w:divBdr>
                        <w:top w:val="none" w:sz="0" w:space="0" w:color="auto"/>
                        <w:left w:val="none" w:sz="0" w:space="0" w:color="auto"/>
                        <w:bottom w:val="none" w:sz="0" w:space="0" w:color="auto"/>
                        <w:right w:val="none" w:sz="0" w:space="0" w:color="auto"/>
                      </w:divBdr>
                      <w:divsChild>
                        <w:div w:id="999114406">
                          <w:marLeft w:val="0"/>
                          <w:marRight w:val="0"/>
                          <w:marTop w:val="0"/>
                          <w:marBottom w:val="0"/>
                          <w:divBdr>
                            <w:top w:val="none" w:sz="0" w:space="0" w:color="auto"/>
                            <w:left w:val="none" w:sz="0" w:space="0" w:color="auto"/>
                            <w:bottom w:val="none" w:sz="0" w:space="0" w:color="auto"/>
                            <w:right w:val="none" w:sz="0" w:space="0" w:color="auto"/>
                          </w:divBdr>
                          <w:divsChild>
                            <w:div w:id="872156326">
                              <w:marLeft w:val="0"/>
                              <w:marRight w:val="0"/>
                              <w:marTop w:val="0"/>
                              <w:marBottom w:val="0"/>
                              <w:divBdr>
                                <w:top w:val="none" w:sz="0" w:space="0" w:color="auto"/>
                                <w:left w:val="none" w:sz="0" w:space="0" w:color="auto"/>
                                <w:bottom w:val="none" w:sz="0" w:space="0" w:color="auto"/>
                                <w:right w:val="none" w:sz="0" w:space="0" w:color="auto"/>
                              </w:divBdr>
                              <w:divsChild>
                                <w:div w:id="475144079">
                                  <w:marLeft w:val="0"/>
                                  <w:marRight w:val="0"/>
                                  <w:marTop w:val="0"/>
                                  <w:marBottom w:val="0"/>
                                  <w:divBdr>
                                    <w:top w:val="none" w:sz="0" w:space="0" w:color="auto"/>
                                    <w:left w:val="none" w:sz="0" w:space="0" w:color="auto"/>
                                    <w:bottom w:val="none" w:sz="0" w:space="0" w:color="auto"/>
                                    <w:right w:val="none" w:sz="0" w:space="0" w:color="auto"/>
                                  </w:divBdr>
                                  <w:divsChild>
                                    <w:div w:id="1833257756">
                                      <w:marLeft w:val="0"/>
                                      <w:marRight w:val="0"/>
                                      <w:marTop w:val="0"/>
                                      <w:marBottom w:val="0"/>
                                      <w:divBdr>
                                        <w:top w:val="none" w:sz="0" w:space="0" w:color="auto"/>
                                        <w:left w:val="none" w:sz="0" w:space="0" w:color="auto"/>
                                        <w:bottom w:val="none" w:sz="0" w:space="0" w:color="auto"/>
                                        <w:right w:val="none" w:sz="0" w:space="0" w:color="auto"/>
                                      </w:divBdr>
                                      <w:divsChild>
                                        <w:div w:id="1947300081">
                                          <w:marLeft w:val="0"/>
                                          <w:marRight w:val="0"/>
                                          <w:marTop w:val="0"/>
                                          <w:marBottom w:val="0"/>
                                          <w:divBdr>
                                            <w:top w:val="none" w:sz="0" w:space="0" w:color="auto"/>
                                            <w:left w:val="none" w:sz="0" w:space="0" w:color="auto"/>
                                            <w:bottom w:val="none" w:sz="0" w:space="0" w:color="auto"/>
                                            <w:right w:val="none" w:sz="0" w:space="0" w:color="auto"/>
                                          </w:divBdr>
                                          <w:divsChild>
                                            <w:div w:id="347492564">
                                              <w:marLeft w:val="0"/>
                                              <w:marRight w:val="0"/>
                                              <w:marTop w:val="0"/>
                                              <w:marBottom w:val="0"/>
                                              <w:divBdr>
                                                <w:top w:val="none" w:sz="0" w:space="0" w:color="auto"/>
                                                <w:left w:val="none" w:sz="0" w:space="0" w:color="auto"/>
                                                <w:bottom w:val="none" w:sz="0" w:space="0" w:color="auto"/>
                                                <w:right w:val="none" w:sz="0" w:space="0" w:color="auto"/>
                                              </w:divBdr>
                                              <w:divsChild>
                                                <w:div w:id="1122774083">
                                                  <w:marLeft w:val="0"/>
                                                  <w:marRight w:val="0"/>
                                                  <w:marTop w:val="0"/>
                                                  <w:marBottom w:val="0"/>
                                                  <w:divBdr>
                                                    <w:top w:val="none" w:sz="0" w:space="0" w:color="auto"/>
                                                    <w:left w:val="none" w:sz="0" w:space="0" w:color="auto"/>
                                                    <w:bottom w:val="none" w:sz="0" w:space="0" w:color="auto"/>
                                                    <w:right w:val="none" w:sz="0" w:space="0" w:color="auto"/>
                                                  </w:divBdr>
                                                  <w:divsChild>
                                                    <w:div w:id="845025333">
                                                      <w:marLeft w:val="0"/>
                                                      <w:marRight w:val="0"/>
                                                      <w:marTop w:val="0"/>
                                                      <w:marBottom w:val="0"/>
                                                      <w:divBdr>
                                                        <w:top w:val="none" w:sz="0" w:space="0" w:color="auto"/>
                                                        <w:left w:val="none" w:sz="0" w:space="0" w:color="auto"/>
                                                        <w:bottom w:val="none" w:sz="0" w:space="0" w:color="auto"/>
                                                        <w:right w:val="none" w:sz="0" w:space="0" w:color="auto"/>
                                                      </w:divBdr>
                                                      <w:divsChild>
                                                        <w:div w:id="1147433483">
                                                          <w:marLeft w:val="0"/>
                                                          <w:marRight w:val="0"/>
                                                          <w:marTop w:val="0"/>
                                                          <w:marBottom w:val="0"/>
                                                          <w:divBdr>
                                                            <w:top w:val="none" w:sz="0" w:space="0" w:color="auto"/>
                                                            <w:left w:val="none" w:sz="0" w:space="0" w:color="auto"/>
                                                            <w:bottom w:val="none" w:sz="0" w:space="0" w:color="auto"/>
                                                            <w:right w:val="none" w:sz="0" w:space="0" w:color="auto"/>
                                                          </w:divBdr>
                                                          <w:divsChild>
                                                            <w:div w:id="652026707">
                                                              <w:marLeft w:val="0"/>
                                                              <w:marRight w:val="150"/>
                                                              <w:marTop w:val="0"/>
                                                              <w:marBottom w:val="150"/>
                                                              <w:divBdr>
                                                                <w:top w:val="none" w:sz="0" w:space="0" w:color="auto"/>
                                                                <w:left w:val="none" w:sz="0" w:space="0" w:color="auto"/>
                                                                <w:bottom w:val="none" w:sz="0" w:space="0" w:color="auto"/>
                                                                <w:right w:val="none" w:sz="0" w:space="0" w:color="auto"/>
                                                              </w:divBdr>
                                                              <w:divsChild>
                                                                <w:div w:id="1540818692">
                                                                  <w:marLeft w:val="0"/>
                                                                  <w:marRight w:val="0"/>
                                                                  <w:marTop w:val="0"/>
                                                                  <w:marBottom w:val="0"/>
                                                                  <w:divBdr>
                                                                    <w:top w:val="none" w:sz="0" w:space="0" w:color="auto"/>
                                                                    <w:left w:val="none" w:sz="0" w:space="0" w:color="auto"/>
                                                                    <w:bottom w:val="none" w:sz="0" w:space="0" w:color="auto"/>
                                                                    <w:right w:val="none" w:sz="0" w:space="0" w:color="auto"/>
                                                                  </w:divBdr>
                                                                  <w:divsChild>
                                                                    <w:div w:id="1180192836">
                                                                      <w:marLeft w:val="0"/>
                                                                      <w:marRight w:val="0"/>
                                                                      <w:marTop w:val="0"/>
                                                                      <w:marBottom w:val="0"/>
                                                                      <w:divBdr>
                                                                        <w:top w:val="none" w:sz="0" w:space="0" w:color="auto"/>
                                                                        <w:left w:val="none" w:sz="0" w:space="0" w:color="auto"/>
                                                                        <w:bottom w:val="none" w:sz="0" w:space="0" w:color="auto"/>
                                                                        <w:right w:val="none" w:sz="0" w:space="0" w:color="auto"/>
                                                                      </w:divBdr>
                                                                      <w:divsChild>
                                                                        <w:div w:id="1364400875">
                                                                          <w:marLeft w:val="0"/>
                                                                          <w:marRight w:val="0"/>
                                                                          <w:marTop w:val="0"/>
                                                                          <w:marBottom w:val="0"/>
                                                                          <w:divBdr>
                                                                            <w:top w:val="none" w:sz="0" w:space="0" w:color="auto"/>
                                                                            <w:left w:val="none" w:sz="0" w:space="0" w:color="auto"/>
                                                                            <w:bottom w:val="none" w:sz="0" w:space="0" w:color="auto"/>
                                                                            <w:right w:val="none" w:sz="0" w:space="0" w:color="auto"/>
                                                                          </w:divBdr>
                                                                          <w:divsChild>
                                                                            <w:div w:id="1863547211">
                                                                              <w:marLeft w:val="0"/>
                                                                              <w:marRight w:val="0"/>
                                                                              <w:marTop w:val="0"/>
                                                                              <w:marBottom w:val="0"/>
                                                                              <w:divBdr>
                                                                                <w:top w:val="none" w:sz="0" w:space="0" w:color="auto"/>
                                                                                <w:left w:val="none" w:sz="0" w:space="0" w:color="auto"/>
                                                                                <w:bottom w:val="none" w:sz="0" w:space="0" w:color="auto"/>
                                                                                <w:right w:val="none" w:sz="0" w:space="0" w:color="auto"/>
                                                                              </w:divBdr>
                                                                              <w:divsChild>
                                                                                <w:div w:id="1710687505">
                                                                                  <w:marLeft w:val="0"/>
                                                                                  <w:marRight w:val="0"/>
                                                                                  <w:marTop w:val="0"/>
                                                                                  <w:marBottom w:val="0"/>
                                                                                  <w:divBdr>
                                                                                    <w:top w:val="none" w:sz="0" w:space="0" w:color="auto"/>
                                                                                    <w:left w:val="none" w:sz="0" w:space="0" w:color="auto"/>
                                                                                    <w:bottom w:val="none" w:sz="0" w:space="0" w:color="auto"/>
                                                                                    <w:right w:val="none" w:sz="0" w:space="0" w:color="auto"/>
                                                                                  </w:divBdr>
                                                                                  <w:divsChild>
                                                                                    <w:div w:id="140718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5850736">
      <w:bodyDiv w:val="1"/>
      <w:marLeft w:val="0"/>
      <w:marRight w:val="0"/>
      <w:marTop w:val="0"/>
      <w:marBottom w:val="0"/>
      <w:divBdr>
        <w:top w:val="none" w:sz="0" w:space="0" w:color="auto"/>
        <w:left w:val="none" w:sz="0" w:space="0" w:color="auto"/>
        <w:bottom w:val="none" w:sz="0" w:space="0" w:color="auto"/>
        <w:right w:val="none" w:sz="0" w:space="0" w:color="auto"/>
      </w:divBdr>
    </w:div>
    <w:div w:id="694160056">
      <w:bodyDiv w:val="1"/>
      <w:marLeft w:val="0"/>
      <w:marRight w:val="0"/>
      <w:marTop w:val="0"/>
      <w:marBottom w:val="0"/>
      <w:divBdr>
        <w:top w:val="none" w:sz="0" w:space="0" w:color="auto"/>
        <w:left w:val="none" w:sz="0" w:space="0" w:color="auto"/>
        <w:bottom w:val="none" w:sz="0" w:space="0" w:color="auto"/>
        <w:right w:val="none" w:sz="0" w:space="0" w:color="auto"/>
      </w:divBdr>
    </w:div>
    <w:div w:id="774448311">
      <w:bodyDiv w:val="1"/>
      <w:marLeft w:val="0"/>
      <w:marRight w:val="0"/>
      <w:marTop w:val="0"/>
      <w:marBottom w:val="0"/>
      <w:divBdr>
        <w:top w:val="none" w:sz="0" w:space="0" w:color="auto"/>
        <w:left w:val="none" w:sz="0" w:space="0" w:color="auto"/>
        <w:bottom w:val="none" w:sz="0" w:space="0" w:color="auto"/>
        <w:right w:val="none" w:sz="0" w:space="0" w:color="auto"/>
      </w:divBdr>
    </w:div>
    <w:div w:id="778984200">
      <w:bodyDiv w:val="1"/>
      <w:marLeft w:val="0"/>
      <w:marRight w:val="0"/>
      <w:marTop w:val="0"/>
      <w:marBottom w:val="0"/>
      <w:divBdr>
        <w:top w:val="none" w:sz="0" w:space="0" w:color="auto"/>
        <w:left w:val="none" w:sz="0" w:space="0" w:color="auto"/>
        <w:bottom w:val="none" w:sz="0" w:space="0" w:color="auto"/>
        <w:right w:val="none" w:sz="0" w:space="0" w:color="auto"/>
      </w:divBdr>
    </w:div>
    <w:div w:id="818232891">
      <w:bodyDiv w:val="1"/>
      <w:marLeft w:val="0"/>
      <w:marRight w:val="0"/>
      <w:marTop w:val="0"/>
      <w:marBottom w:val="0"/>
      <w:divBdr>
        <w:top w:val="none" w:sz="0" w:space="0" w:color="auto"/>
        <w:left w:val="none" w:sz="0" w:space="0" w:color="auto"/>
        <w:bottom w:val="none" w:sz="0" w:space="0" w:color="auto"/>
        <w:right w:val="none" w:sz="0" w:space="0" w:color="auto"/>
      </w:divBdr>
    </w:div>
    <w:div w:id="850528233">
      <w:bodyDiv w:val="1"/>
      <w:marLeft w:val="0"/>
      <w:marRight w:val="0"/>
      <w:marTop w:val="0"/>
      <w:marBottom w:val="0"/>
      <w:divBdr>
        <w:top w:val="none" w:sz="0" w:space="0" w:color="auto"/>
        <w:left w:val="none" w:sz="0" w:space="0" w:color="auto"/>
        <w:bottom w:val="none" w:sz="0" w:space="0" w:color="auto"/>
        <w:right w:val="none" w:sz="0" w:space="0" w:color="auto"/>
      </w:divBdr>
    </w:div>
    <w:div w:id="935596708">
      <w:bodyDiv w:val="1"/>
      <w:marLeft w:val="0"/>
      <w:marRight w:val="0"/>
      <w:marTop w:val="0"/>
      <w:marBottom w:val="0"/>
      <w:divBdr>
        <w:top w:val="none" w:sz="0" w:space="0" w:color="auto"/>
        <w:left w:val="none" w:sz="0" w:space="0" w:color="auto"/>
        <w:bottom w:val="none" w:sz="0" w:space="0" w:color="auto"/>
        <w:right w:val="none" w:sz="0" w:space="0" w:color="auto"/>
      </w:divBdr>
    </w:div>
    <w:div w:id="966855464">
      <w:bodyDiv w:val="1"/>
      <w:marLeft w:val="0"/>
      <w:marRight w:val="0"/>
      <w:marTop w:val="0"/>
      <w:marBottom w:val="0"/>
      <w:divBdr>
        <w:top w:val="none" w:sz="0" w:space="0" w:color="auto"/>
        <w:left w:val="none" w:sz="0" w:space="0" w:color="auto"/>
        <w:bottom w:val="none" w:sz="0" w:space="0" w:color="auto"/>
        <w:right w:val="none" w:sz="0" w:space="0" w:color="auto"/>
      </w:divBdr>
    </w:div>
    <w:div w:id="968517252">
      <w:bodyDiv w:val="1"/>
      <w:marLeft w:val="0"/>
      <w:marRight w:val="0"/>
      <w:marTop w:val="0"/>
      <w:marBottom w:val="0"/>
      <w:divBdr>
        <w:top w:val="none" w:sz="0" w:space="0" w:color="auto"/>
        <w:left w:val="none" w:sz="0" w:space="0" w:color="auto"/>
        <w:bottom w:val="none" w:sz="0" w:space="0" w:color="auto"/>
        <w:right w:val="none" w:sz="0" w:space="0" w:color="auto"/>
      </w:divBdr>
    </w:div>
    <w:div w:id="992565769">
      <w:bodyDiv w:val="1"/>
      <w:marLeft w:val="0"/>
      <w:marRight w:val="0"/>
      <w:marTop w:val="0"/>
      <w:marBottom w:val="0"/>
      <w:divBdr>
        <w:top w:val="none" w:sz="0" w:space="0" w:color="auto"/>
        <w:left w:val="none" w:sz="0" w:space="0" w:color="auto"/>
        <w:bottom w:val="none" w:sz="0" w:space="0" w:color="auto"/>
        <w:right w:val="none" w:sz="0" w:space="0" w:color="auto"/>
      </w:divBdr>
    </w:div>
    <w:div w:id="1014572937">
      <w:bodyDiv w:val="1"/>
      <w:marLeft w:val="0"/>
      <w:marRight w:val="0"/>
      <w:marTop w:val="0"/>
      <w:marBottom w:val="0"/>
      <w:divBdr>
        <w:top w:val="none" w:sz="0" w:space="0" w:color="auto"/>
        <w:left w:val="none" w:sz="0" w:space="0" w:color="auto"/>
        <w:bottom w:val="none" w:sz="0" w:space="0" w:color="auto"/>
        <w:right w:val="none" w:sz="0" w:space="0" w:color="auto"/>
      </w:divBdr>
    </w:div>
    <w:div w:id="1099181529">
      <w:bodyDiv w:val="1"/>
      <w:marLeft w:val="0"/>
      <w:marRight w:val="0"/>
      <w:marTop w:val="0"/>
      <w:marBottom w:val="0"/>
      <w:divBdr>
        <w:top w:val="none" w:sz="0" w:space="0" w:color="auto"/>
        <w:left w:val="none" w:sz="0" w:space="0" w:color="auto"/>
        <w:bottom w:val="none" w:sz="0" w:space="0" w:color="auto"/>
        <w:right w:val="none" w:sz="0" w:space="0" w:color="auto"/>
      </w:divBdr>
    </w:div>
    <w:div w:id="1297373608">
      <w:bodyDiv w:val="1"/>
      <w:marLeft w:val="0"/>
      <w:marRight w:val="0"/>
      <w:marTop w:val="0"/>
      <w:marBottom w:val="0"/>
      <w:divBdr>
        <w:top w:val="none" w:sz="0" w:space="0" w:color="auto"/>
        <w:left w:val="none" w:sz="0" w:space="0" w:color="auto"/>
        <w:bottom w:val="none" w:sz="0" w:space="0" w:color="auto"/>
        <w:right w:val="none" w:sz="0" w:space="0" w:color="auto"/>
      </w:divBdr>
    </w:div>
    <w:div w:id="1315530981">
      <w:bodyDiv w:val="1"/>
      <w:marLeft w:val="0"/>
      <w:marRight w:val="0"/>
      <w:marTop w:val="0"/>
      <w:marBottom w:val="0"/>
      <w:divBdr>
        <w:top w:val="none" w:sz="0" w:space="0" w:color="auto"/>
        <w:left w:val="none" w:sz="0" w:space="0" w:color="auto"/>
        <w:bottom w:val="none" w:sz="0" w:space="0" w:color="auto"/>
        <w:right w:val="none" w:sz="0" w:space="0" w:color="auto"/>
      </w:divBdr>
    </w:div>
    <w:div w:id="1328633273">
      <w:bodyDiv w:val="1"/>
      <w:marLeft w:val="0"/>
      <w:marRight w:val="0"/>
      <w:marTop w:val="0"/>
      <w:marBottom w:val="0"/>
      <w:divBdr>
        <w:top w:val="none" w:sz="0" w:space="0" w:color="auto"/>
        <w:left w:val="none" w:sz="0" w:space="0" w:color="auto"/>
        <w:bottom w:val="none" w:sz="0" w:space="0" w:color="auto"/>
        <w:right w:val="none" w:sz="0" w:space="0" w:color="auto"/>
      </w:divBdr>
    </w:div>
    <w:div w:id="1456951429">
      <w:bodyDiv w:val="1"/>
      <w:marLeft w:val="0"/>
      <w:marRight w:val="0"/>
      <w:marTop w:val="0"/>
      <w:marBottom w:val="0"/>
      <w:divBdr>
        <w:top w:val="none" w:sz="0" w:space="0" w:color="auto"/>
        <w:left w:val="none" w:sz="0" w:space="0" w:color="auto"/>
        <w:bottom w:val="none" w:sz="0" w:space="0" w:color="auto"/>
        <w:right w:val="none" w:sz="0" w:space="0" w:color="auto"/>
      </w:divBdr>
    </w:div>
    <w:div w:id="1683775005">
      <w:bodyDiv w:val="1"/>
      <w:marLeft w:val="0"/>
      <w:marRight w:val="0"/>
      <w:marTop w:val="0"/>
      <w:marBottom w:val="0"/>
      <w:divBdr>
        <w:top w:val="none" w:sz="0" w:space="0" w:color="auto"/>
        <w:left w:val="none" w:sz="0" w:space="0" w:color="auto"/>
        <w:bottom w:val="none" w:sz="0" w:space="0" w:color="auto"/>
        <w:right w:val="none" w:sz="0" w:space="0" w:color="auto"/>
      </w:divBdr>
    </w:div>
    <w:div w:id="1727070829">
      <w:bodyDiv w:val="1"/>
      <w:marLeft w:val="0"/>
      <w:marRight w:val="0"/>
      <w:marTop w:val="0"/>
      <w:marBottom w:val="0"/>
      <w:divBdr>
        <w:top w:val="none" w:sz="0" w:space="0" w:color="auto"/>
        <w:left w:val="none" w:sz="0" w:space="0" w:color="auto"/>
        <w:bottom w:val="none" w:sz="0" w:space="0" w:color="auto"/>
        <w:right w:val="none" w:sz="0" w:space="0" w:color="auto"/>
      </w:divBdr>
    </w:div>
    <w:div w:id="1799642349">
      <w:bodyDiv w:val="1"/>
      <w:marLeft w:val="0"/>
      <w:marRight w:val="0"/>
      <w:marTop w:val="0"/>
      <w:marBottom w:val="0"/>
      <w:divBdr>
        <w:top w:val="none" w:sz="0" w:space="0" w:color="auto"/>
        <w:left w:val="none" w:sz="0" w:space="0" w:color="auto"/>
        <w:bottom w:val="none" w:sz="0" w:space="0" w:color="auto"/>
        <w:right w:val="none" w:sz="0" w:space="0" w:color="auto"/>
      </w:divBdr>
    </w:div>
    <w:div w:id="1869836070">
      <w:bodyDiv w:val="1"/>
      <w:marLeft w:val="0"/>
      <w:marRight w:val="0"/>
      <w:marTop w:val="0"/>
      <w:marBottom w:val="0"/>
      <w:divBdr>
        <w:top w:val="none" w:sz="0" w:space="0" w:color="auto"/>
        <w:left w:val="none" w:sz="0" w:space="0" w:color="auto"/>
        <w:bottom w:val="none" w:sz="0" w:space="0" w:color="auto"/>
        <w:right w:val="none" w:sz="0" w:space="0" w:color="auto"/>
      </w:divBdr>
    </w:div>
    <w:div w:id="1911503262">
      <w:bodyDiv w:val="1"/>
      <w:marLeft w:val="0"/>
      <w:marRight w:val="0"/>
      <w:marTop w:val="0"/>
      <w:marBottom w:val="0"/>
      <w:divBdr>
        <w:top w:val="none" w:sz="0" w:space="0" w:color="auto"/>
        <w:left w:val="none" w:sz="0" w:space="0" w:color="auto"/>
        <w:bottom w:val="none" w:sz="0" w:space="0" w:color="auto"/>
        <w:right w:val="none" w:sz="0" w:space="0" w:color="auto"/>
      </w:divBdr>
    </w:div>
    <w:div w:id="1934169329">
      <w:bodyDiv w:val="1"/>
      <w:marLeft w:val="0"/>
      <w:marRight w:val="0"/>
      <w:marTop w:val="0"/>
      <w:marBottom w:val="0"/>
      <w:divBdr>
        <w:top w:val="none" w:sz="0" w:space="0" w:color="auto"/>
        <w:left w:val="none" w:sz="0" w:space="0" w:color="auto"/>
        <w:bottom w:val="none" w:sz="0" w:space="0" w:color="auto"/>
        <w:right w:val="none" w:sz="0" w:space="0" w:color="auto"/>
      </w:divBdr>
    </w:div>
    <w:div w:id="2025324764">
      <w:bodyDiv w:val="1"/>
      <w:marLeft w:val="0"/>
      <w:marRight w:val="0"/>
      <w:marTop w:val="0"/>
      <w:marBottom w:val="0"/>
      <w:divBdr>
        <w:top w:val="none" w:sz="0" w:space="0" w:color="auto"/>
        <w:left w:val="none" w:sz="0" w:space="0" w:color="auto"/>
        <w:bottom w:val="none" w:sz="0" w:space="0" w:color="auto"/>
        <w:right w:val="none" w:sz="0" w:space="0" w:color="auto"/>
      </w:divBdr>
    </w:div>
    <w:div w:id="205214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6.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9.emf"/><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8.emf"/><Relationship Id="rId30"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Fiscal Year 2017 Budget Estimates  to OMB                                September 2015</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8845</Words>
  <Characters>50621</Characters>
  <Application>Microsoft Office Word</Application>
  <DocSecurity>0</DocSecurity>
  <Lines>940</Lines>
  <Paragraphs>184</Paragraphs>
  <ScaleCrop>false</ScaleCrop>
  <HeadingPairs>
    <vt:vector size="2" baseType="variant">
      <vt:variant>
        <vt:lpstr>Title</vt:lpstr>
      </vt:variant>
      <vt:variant>
        <vt:i4>1</vt:i4>
      </vt:variant>
    </vt:vector>
  </HeadingPairs>
  <TitlesOfParts>
    <vt:vector size="1" baseType="lpstr">
      <vt:lpstr>Federal Communications Commission</vt:lpstr>
    </vt:vector>
  </TitlesOfParts>
  <Manager/>
  <Company/>
  <LinksUpToDate>false</LinksUpToDate>
  <CharactersWithSpaces>59628</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2017-05-23T12:17:00Z</cp:lastPrinted>
  <dcterms:created xsi:type="dcterms:W3CDTF">2017-05-23T15:54:00Z</dcterms:created>
  <dcterms:modified xsi:type="dcterms:W3CDTF">2017-05-23T15:54:00Z</dcterms:modified>
  <cp:category> </cp:category>
  <cp:contentStatus> </cp:contentStatus>
</cp:coreProperties>
</file>