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21582" w14:textId="77777777" w:rsidR="00D9180F" w:rsidRPr="00D9180F" w:rsidRDefault="00D9180F" w:rsidP="00D9180F">
      <w:pPr>
        <w:jc w:val="center"/>
        <w:rPr>
          <w:b/>
        </w:rPr>
      </w:pPr>
      <w:bookmarkStart w:id="0" w:name="_GoBack"/>
      <w:bookmarkEnd w:id="0"/>
      <w:r w:rsidRPr="00D9180F">
        <w:rPr>
          <w:b/>
        </w:rPr>
        <w:t>Remarks of Michael O’Rielly, FCC Commissioner</w:t>
      </w:r>
    </w:p>
    <w:p w14:paraId="38F0020E" w14:textId="77777777" w:rsidR="00960FF4" w:rsidRPr="00D9180F" w:rsidRDefault="00C42CE5" w:rsidP="00D9180F">
      <w:pPr>
        <w:jc w:val="center"/>
        <w:rPr>
          <w:b/>
        </w:rPr>
      </w:pPr>
      <w:r>
        <w:rPr>
          <w:b/>
        </w:rPr>
        <w:t xml:space="preserve">Before the </w:t>
      </w:r>
      <w:r w:rsidR="001F7B5A">
        <w:rPr>
          <w:b/>
        </w:rPr>
        <w:t>2017 Wireless</w:t>
      </w:r>
      <w:r w:rsidR="00D9180F" w:rsidRPr="00D9180F">
        <w:rPr>
          <w:b/>
        </w:rPr>
        <w:t xml:space="preserve"> Infrastructure Show</w:t>
      </w:r>
      <w:r>
        <w:rPr>
          <w:b/>
        </w:rPr>
        <w:t>, Orlando, FL</w:t>
      </w:r>
    </w:p>
    <w:p w14:paraId="6A8BA727" w14:textId="77777777" w:rsidR="00D9180F" w:rsidRDefault="00D9180F" w:rsidP="00D9180F">
      <w:pPr>
        <w:jc w:val="center"/>
        <w:rPr>
          <w:b/>
        </w:rPr>
      </w:pPr>
      <w:r w:rsidRPr="00D9180F">
        <w:rPr>
          <w:b/>
        </w:rPr>
        <w:t>May 23, 2017</w:t>
      </w:r>
    </w:p>
    <w:p w14:paraId="0A987BBB" w14:textId="77777777" w:rsidR="001F7B5A" w:rsidRPr="00D9180F" w:rsidRDefault="001F7B5A" w:rsidP="00D9180F">
      <w:pPr>
        <w:jc w:val="center"/>
        <w:rPr>
          <w:b/>
        </w:rPr>
      </w:pPr>
    </w:p>
    <w:p w14:paraId="16CF7261" w14:textId="0588E9EA" w:rsidR="00B02C4F" w:rsidRDefault="00C00CA2" w:rsidP="00B02C4F">
      <w:r>
        <w:t xml:space="preserve">I </w:t>
      </w:r>
      <w:r w:rsidR="00C42CE5">
        <w:t>appreciate</w:t>
      </w:r>
      <w:r>
        <w:t xml:space="preserve"> that </w:t>
      </w:r>
      <w:r w:rsidR="00C42CE5">
        <w:t xml:space="preserve">very </w:t>
      </w:r>
      <w:r w:rsidR="0025714D">
        <w:t>warm</w:t>
      </w:r>
      <w:r>
        <w:t xml:space="preserve"> welcome</w:t>
      </w:r>
      <w:r w:rsidR="00C64E79">
        <w:t>,</w:t>
      </w:r>
      <w:r>
        <w:t xml:space="preserve"> and </w:t>
      </w:r>
      <w:r w:rsidR="00EB43A3">
        <w:t>I am so pleased that Jo</w:t>
      </w:r>
      <w:r w:rsidR="009D64A2">
        <w:t xml:space="preserve">nathan has invited </w:t>
      </w:r>
      <w:r>
        <w:t xml:space="preserve">me to join you </w:t>
      </w:r>
      <w:r w:rsidR="00C42CE5">
        <w:t xml:space="preserve">once </w:t>
      </w:r>
      <w:r>
        <w:t>again.</w:t>
      </w:r>
      <w:r w:rsidR="009D64A2">
        <w:t xml:space="preserve">  </w:t>
      </w:r>
      <w:r w:rsidR="00B02C4F">
        <w:t>Before I get to the substance of my remarks,</w:t>
      </w:r>
      <w:r w:rsidR="006C3D1E">
        <w:t xml:space="preserve"> </w:t>
      </w:r>
      <w:r w:rsidR="00B02C4F">
        <w:t xml:space="preserve">let me </w:t>
      </w:r>
      <w:r w:rsidR="008B1E9A">
        <w:t>take a moment</w:t>
      </w:r>
      <w:r w:rsidR="00B02C4F">
        <w:t xml:space="preserve"> </w:t>
      </w:r>
      <w:r w:rsidR="008B1E9A">
        <w:t xml:space="preserve">to </w:t>
      </w:r>
      <w:r w:rsidR="00B02C4F">
        <w:t>thank you for all that yo</w:t>
      </w:r>
      <w:r w:rsidR="0025714D">
        <w:t>u do to bring wireless service, especially broadband</w:t>
      </w:r>
      <w:r w:rsidR="008B1E9A">
        <w:t xml:space="preserve"> Internet</w:t>
      </w:r>
      <w:r w:rsidR="0025714D">
        <w:t>, to American families throughout our nation</w:t>
      </w:r>
      <w:r w:rsidR="00B02C4F">
        <w:t>.  You probably don't hear that often enough, but the companies that many of you represent actually build things.</w:t>
      </w:r>
      <w:r w:rsidR="00FA6D86">
        <w:t xml:space="preserve">  Infrastructure may be a current buzz word</w:t>
      </w:r>
      <w:r w:rsidR="002F25AF">
        <w:t xml:space="preserve"> in Washington, D.C.</w:t>
      </w:r>
      <w:r w:rsidR="00FA6D86">
        <w:t xml:space="preserve">, </w:t>
      </w:r>
      <w:r w:rsidR="002F25AF">
        <w:t>but you grapple with the facets of</w:t>
      </w:r>
      <w:r w:rsidR="00FA6D86">
        <w:t xml:space="preserve"> infrastructure e</w:t>
      </w:r>
      <w:r w:rsidR="002F25AF">
        <w:t>ach and every</w:t>
      </w:r>
      <w:r w:rsidR="00FA6D86">
        <w:t xml:space="preserve"> day.  </w:t>
      </w:r>
    </w:p>
    <w:p w14:paraId="02FCF89F" w14:textId="77777777" w:rsidR="00B02C4F" w:rsidRDefault="00B02C4F" w:rsidP="00B02C4F"/>
    <w:p w14:paraId="3DDAAF7F" w14:textId="70826343" w:rsidR="00B02C4F" w:rsidRDefault="00592366" w:rsidP="00B02C4F">
      <w:r>
        <w:t xml:space="preserve">As a </w:t>
      </w:r>
      <w:r w:rsidR="00B02C4F">
        <w:t>government offici</w:t>
      </w:r>
      <w:r>
        <w:t>al and a glorified paper pusher</w:t>
      </w:r>
      <w:r w:rsidR="00B02C4F">
        <w:t xml:space="preserve">, I am in awe, and somewhat envious, of those in the construction and building </w:t>
      </w:r>
      <w:r w:rsidR="00CF14B2">
        <w:t>industries</w:t>
      </w:r>
      <w:r w:rsidR="00EB43A3">
        <w:t>, such as yours</w:t>
      </w:r>
      <w:r w:rsidR="00FA6D86">
        <w:t xml:space="preserve">.  </w:t>
      </w:r>
      <w:r>
        <w:t xml:space="preserve">Watching </w:t>
      </w:r>
      <w:r w:rsidR="00DD35ED">
        <w:t xml:space="preserve">construction </w:t>
      </w:r>
      <w:r>
        <w:t xml:space="preserve">professionals </w:t>
      </w:r>
      <w:r w:rsidR="00DD35ED">
        <w:t xml:space="preserve">at </w:t>
      </w:r>
      <w:r>
        <w:t xml:space="preserve">work makes you feel like </w:t>
      </w:r>
      <w:r w:rsidR="00A47CC4">
        <w:t xml:space="preserve">a </w:t>
      </w:r>
      <w:r>
        <w:t xml:space="preserve">kid again.  </w:t>
      </w:r>
      <w:r w:rsidR="00FA6D86">
        <w:t xml:space="preserve">The end result of </w:t>
      </w:r>
      <w:r w:rsidR="00EB43A3">
        <w:t xml:space="preserve">your </w:t>
      </w:r>
      <w:r w:rsidR="00B02C4F">
        <w:t xml:space="preserve">work </w:t>
      </w:r>
      <w:r w:rsidR="00FA6D86">
        <w:t xml:space="preserve">is </w:t>
      </w:r>
      <w:r w:rsidR="00B02C4F">
        <w:t>tangible, physical structures</w:t>
      </w:r>
      <w:r w:rsidR="00C42CE5">
        <w:t xml:space="preserve"> that bring benefits to the residents of the respective communities</w:t>
      </w:r>
      <w:r w:rsidR="00B02C4F">
        <w:t xml:space="preserve">.  In your case, tens of millions of Americans will have the wonders of wireless </w:t>
      </w:r>
      <w:r w:rsidR="0025714D">
        <w:t>communications</w:t>
      </w:r>
      <w:r w:rsidR="00B02C4F">
        <w:t xml:space="preserve"> due to your </w:t>
      </w:r>
      <w:r w:rsidR="00C42CE5">
        <w:t xml:space="preserve">hard </w:t>
      </w:r>
      <w:r w:rsidR="00B02C4F">
        <w:t xml:space="preserve">work. </w:t>
      </w:r>
      <w:r w:rsidR="0091500C">
        <w:t xml:space="preserve"> </w:t>
      </w:r>
      <w:r w:rsidR="00271450">
        <w:t>So</w:t>
      </w:r>
      <w:r w:rsidR="00EB43A3">
        <w:t>,</w:t>
      </w:r>
      <w:r w:rsidR="00271450">
        <w:t xml:space="preserve"> thank you.  </w:t>
      </w:r>
    </w:p>
    <w:p w14:paraId="098B7CC6" w14:textId="77777777" w:rsidR="001F7B5A" w:rsidRPr="002136FA" w:rsidRDefault="001F7B5A"/>
    <w:p w14:paraId="473E760C" w14:textId="3A3891FF" w:rsidR="001F7B5A" w:rsidRDefault="00F650C7">
      <w:r>
        <w:t>I</w:t>
      </w:r>
      <w:r w:rsidR="00653102">
        <w:t xml:space="preserve">t’s been just over two years since my last visit </w:t>
      </w:r>
      <w:r>
        <w:t xml:space="preserve">with you all </w:t>
      </w:r>
      <w:r w:rsidR="00653102">
        <w:t xml:space="preserve">and </w:t>
      </w:r>
      <w:r w:rsidR="00CF14B2">
        <w:t xml:space="preserve">sadly </w:t>
      </w:r>
      <w:r w:rsidR="00653102">
        <w:t xml:space="preserve">the overall picture of issues of importance hasn’t changed all that much.  </w:t>
      </w:r>
      <w:r w:rsidR="00101517">
        <w:t>A few things</w:t>
      </w:r>
      <w:r w:rsidR="00C64E79">
        <w:t xml:space="preserve"> have</w:t>
      </w:r>
      <w:r w:rsidR="00184124">
        <w:t xml:space="preserve"> changed</w:t>
      </w:r>
      <w:r w:rsidR="00101517">
        <w:t xml:space="preserve"> in this time:</w:t>
      </w:r>
      <w:r w:rsidR="00184124">
        <w:t xml:space="preserve">  a new administration, </w:t>
      </w:r>
      <w:r w:rsidR="00BE1260">
        <w:t xml:space="preserve">a </w:t>
      </w:r>
      <w:r w:rsidR="00184124">
        <w:t xml:space="preserve">new Chairman, and a refreshing new outlook on communications policy.  </w:t>
      </w:r>
      <w:r w:rsidR="00C64E79">
        <w:t>Not to mention, o</w:t>
      </w:r>
      <w:r w:rsidR="00184124">
        <w:t xml:space="preserve">vernight </w:t>
      </w:r>
      <w:r w:rsidR="00694A4D">
        <w:t>old</w:t>
      </w:r>
      <w:r w:rsidR="00DD35ED">
        <w:t>er</w:t>
      </w:r>
      <w:r w:rsidR="00694A4D">
        <w:t xml:space="preserve"> </w:t>
      </w:r>
      <w:r w:rsidR="00DD35ED">
        <w:t>less nimble</w:t>
      </w:r>
      <w:r w:rsidR="00694A4D">
        <w:t xml:space="preserve"> </w:t>
      </w:r>
      <w:r w:rsidR="00184124">
        <w:t xml:space="preserve">PCIA </w:t>
      </w:r>
      <w:r w:rsidR="00101517">
        <w:t>morphed into</w:t>
      </w:r>
      <w:r w:rsidR="00184124">
        <w:t xml:space="preserve"> </w:t>
      </w:r>
      <w:r w:rsidR="00694A4D">
        <w:t xml:space="preserve">wiz-bang, modern </w:t>
      </w:r>
      <w:r w:rsidR="00184124">
        <w:t>WIA</w:t>
      </w:r>
      <w:r w:rsidR="002D4314">
        <w:t xml:space="preserve">.  </w:t>
      </w:r>
      <w:r w:rsidR="00184124">
        <w:t xml:space="preserve">While I </w:t>
      </w:r>
      <w:r w:rsidR="00101517">
        <w:t xml:space="preserve">have </w:t>
      </w:r>
      <w:r w:rsidR="00184124">
        <w:t xml:space="preserve">had success moving some </w:t>
      </w:r>
      <w:r w:rsidR="00DD35ED">
        <w:t xml:space="preserve">policy </w:t>
      </w:r>
      <w:r w:rsidR="00184124">
        <w:t xml:space="preserve">initiatives </w:t>
      </w:r>
      <w:r w:rsidR="00653102">
        <w:t>at the Commission</w:t>
      </w:r>
      <w:r w:rsidR="00184124">
        <w:t xml:space="preserve">, </w:t>
      </w:r>
      <w:r w:rsidR="002D4314" w:rsidRPr="00F260DC">
        <w:t xml:space="preserve">I </w:t>
      </w:r>
      <w:r w:rsidR="00DD35ED" w:rsidRPr="00F260DC">
        <w:t>certain</w:t>
      </w:r>
      <w:r w:rsidR="00A12D03" w:rsidRPr="00F260DC">
        <w:t>ly</w:t>
      </w:r>
      <w:r w:rsidR="00DD35ED">
        <w:t xml:space="preserve"> </w:t>
      </w:r>
      <w:r w:rsidR="002D4314">
        <w:t>would</w:t>
      </w:r>
      <w:r w:rsidR="00C64E79">
        <w:t>n’t</w:t>
      </w:r>
      <w:r w:rsidR="002D4314">
        <w:t xml:space="preserve"> use the terms “quick” or “efficient” to label our </w:t>
      </w:r>
      <w:r w:rsidR="00BE1260">
        <w:t xml:space="preserve">current </w:t>
      </w:r>
      <w:r w:rsidR="002D4314">
        <w:t>process</w:t>
      </w:r>
      <w:r w:rsidR="00724FD6">
        <w:t>es</w:t>
      </w:r>
      <w:r w:rsidR="002D4314">
        <w:t xml:space="preserve">. </w:t>
      </w:r>
      <w:r w:rsidR="00694A4D">
        <w:t xml:space="preserve"> </w:t>
      </w:r>
      <w:r w:rsidR="002D4314">
        <w:t xml:space="preserve">Every once in a while, a </w:t>
      </w:r>
      <w:r w:rsidR="00C64E79">
        <w:t xml:space="preserve">well-timed </w:t>
      </w:r>
      <w:r w:rsidR="002D4314">
        <w:t xml:space="preserve">blog or speech resulted in an item, progress or a </w:t>
      </w:r>
      <w:r w:rsidR="00724FD6">
        <w:t>worthwhile</w:t>
      </w:r>
      <w:r w:rsidR="002D4314">
        <w:t xml:space="preserve"> discussion.  </w:t>
      </w:r>
      <w:r w:rsidR="00FD799B">
        <w:t>But</w:t>
      </w:r>
      <w:r w:rsidR="00BE1260">
        <w:t>,</w:t>
      </w:r>
      <w:r w:rsidR="00FD799B">
        <w:t xml:space="preserve"> </w:t>
      </w:r>
      <w:r w:rsidR="00694A4D">
        <w:t xml:space="preserve">immense progress </w:t>
      </w:r>
      <w:r w:rsidR="00B62EF0">
        <w:t xml:space="preserve">has been </w:t>
      </w:r>
      <w:r w:rsidR="00A85B1C">
        <w:t xml:space="preserve">unfortunately </w:t>
      </w:r>
      <w:r w:rsidR="00694A4D">
        <w:t xml:space="preserve">slow afoot </w:t>
      </w:r>
      <w:r w:rsidR="00B62EF0">
        <w:t>in the infrastructure world</w:t>
      </w:r>
      <w:r w:rsidR="00FD799B">
        <w:t>.</w:t>
      </w:r>
    </w:p>
    <w:p w14:paraId="42437417" w14:textId="4CBEDEE6" w:rsidR="00EF023E" w:rsidRDefault="00EF023E"/>
    <w:p w14:paraId="30C96601" w14:textId="77777777" w:rsidR="00EF023E" w:rsidRPr="0076541C" w:rsidRDefault="00EF023E">
      <w:pPr>
        <w:rPr>
          <w:i/>
        </w:rPr>
      </w:pPr>
      <w:r w:rsidRPr="0076541C">
        <w:rPr>
          <w:i/>
        </w:rPr>
        <w:t>Twilight Towers</w:t>
      </w:r>
    </w:p>
    <w:p w14:paraId="395B116D" w14:textId="77777777" w:rsidR="00FD799B" w:rsidRDefault="00FD799B"/>
    <w:p w14:paraId="75B84D00" w14:textId="7AFDBAC1" w:rsidR="00E85441" w:rsidRDefault="00E85441">
      <w:r>
        <w:t>There was one issue in particular that I had great hopes</w:t>
      </w:r>
      <w:r w:rsidR="00694A4D">
        <w:t xml:space="preserve"> </w:t>
      </w:r>
      <w:r w:rsidR="008B7764">
        <w:t xml:space="preserve">for </w:t>
      </w:r>
      <w:r w:rsidR="00694A4D">
        <w:t>when I last spoke to this group</w:t>
      </w:r>
      <w:r>
        <w:t>.  I had the speech, the substance, and the facts were on my</w:t>
      </w:r>
      <w:r w:rsidR="003D470C">
        <w:t xml:space="preserve"> side.  It was getting done.  Alas</w:t>
      </w:r>
      <w:r>
        <w:t xml:space="preserve">, I will start my speech today by talking about how we </w:t>
      </w:r>
      <w:r w:rsidRPr="00694A4D">
        <w:rPr>
          <w:i/>
        </w:rPr>
        <w:t>still</w:t>
      </w:r>
      <w:r>
        <w:t xml:space="preserve"> have to conclude </w:t>
      </w:r>
      <w:r w:rsidR="00FD799B">
        <w:t xml:space="preserve">“twilight towers.”  </w:t>
      </w:r>
    </w:p>
    <w:p w14:paraId="3A6EE100" w14:textId="77777777" w:rsidR="00E85441" w:rsidRDefault="00E85441"/>
    <w:p w14:paraId="4ABA9B56" w14:textId="4E03C4A5" w:rsidR="00FB4771" w:rsidRDefault="00FD799B">
      <w:r>
        <w:t xml:space="preserve">It </w:t>
      </w:r>
      <w:r w:rsidR="008C151E">
        <w:t>defies explanatio</w:t>
      </w:r>
      <w:r w:rsidR="001250E3">
        <w:t>n</w:t>
      </w:r>
      <w:r>
        <w:t xml:space="preserve"> that we have not resolved an issue that we have known about for twelve years.  </w:t>
      </w:r>
      <w:r w:rsidR="00921A1D">
        <w:t xml:space="preserve">I was hopeful when I spoke to staff </w:t>
      </w:r>
      <w:r w:rsidR="00DD35ED">
        <w:t>after my last visit with you</w:t>
      </w:r>
      <w:r w:rsidR="00817311">
        <w:t xml:space="preserve">.  </w:t>
      </w:r>
      <w:r w:rsidR="00DD35ED">
        <w:t xml:space="preserve"> </w:t>
      </w:r>
      <w:r w:rsidR="00817311">
        <w:t>T</w:t>
      </w:r>
      <w:r w:rsidR="00B62EF0">
        <w:t xml:space="preserve">he Commission was </w:t>
      </w:r>
      <w:r w:rsidR="00921A1D">
        <w:t xml:space="preserve">finally </w:t>
      </w:r>
      <w:r w:rsidR="00B62EF0">
        <w:t xml:space="preserve">ready to act, but action turned into </w:t>
      </w:r>
      <w:r w:rsidR="00E85441">
        <w:t xml:space="preserve">stakeholder </w:t>
      </w:r>
      <w:r w:rsidR="00B62EF0">
        <w:t>discussions, and discussions turned into</w:t>
      </w:r>
      <w:r w:rsidR="00713B77">
        <w:t>…</w:t>
      </w:r>
      <w:r w:rsidR="00B62EF0">
        <w:t xml:space="preserve">nothing.  </w:t>
      </w:r>
    </w:p>
    <w:p w14:paraId="73E60004" w14:textId="77777777" w:rsidR="00B62EF0" w:rsidRDefault="00B62EF0"/>
    <w:p w14:paraId="599B881F" w14:textId="2E481D04" w:rsidR="00FD0702" w:rsidRDefault="00402F38">
      <w:r>
        <w:t>Regardless,</w:t>
      </w:r>
      <w:r w:rsidR="000724E6">
        <w:t xml:space="preserve"> I hope you know </w:t>
      </w:r>
      <w:r w:rsidR="004E6D9A">
        <w:t>that I appreciated your efforts to talk to</w:t>
      </w:r>
      <w:r w:rsidR="00DA6EEA">
        <w:t xml:space="preserve"> interested parties and</w:t>
      </w:r>
      <w:r w:rsidR="00B62EF0">
        <w:t xml:space="preserve"> </w:t>
      </w:r>
      <w:r w:rsidR="00DD35ED">
        <w:t xml:space="preserve">willingness to </w:t>
      </w:r>
      <w:r w:rsidR="00B62EF0">
        <w:t xml:space="preserve">negotiate a </w:t>
      </w:r>
      <w:r w:rsidR="00EF023E">
        <w:t>solution</w:t>
      </w:r>
      <w:r w:rsidR="00B24E62">
        <w:t xml:space="preserve"> for the estimated</w:t>
      </w:r>
      <w:r w:rsidR="00B62EF0">
        <w:t xml:space="preserve"> </w:t>
      </w:r>
      <w:r w:rsidR="00B24E62">
        <w:t xml:space="preserve">4,300 </w:t>
      </w:r>
      <w:r w:rsidR="00FB4771">
        <w:t>twilight towers.</w:t>
      </w:r>
      <w:r w:rsidR="007B464D">
        <w:rPr>
          <w:rStyle w:val="FootnoteReference"/>
        </w:rPr>
        <w:footnoteReference w:id="1"/>
      </w:r>
      <w:r w:rsidR="00FB4771">
        <w:t xml:space="preserve">  </w:t>
      </w:r>
      <w:r w:rsidR="00D30745">
        <w:t>You</w:t>
      </w:r>
      <w:r w:rsidR="00EF023E">
        <w:t xml:space="preserve">r work </w:t>
      </w:r>
      <w:r>
        <w:t xml:space="preserve">provided </w:t>
      </w:r>
      <w:r w:rsidR="00EF023E">
        <w:t>a</w:t>
      </w:r>
      <w:r w:rsidR="00FB4771">
        <w:t xml:space="preserve"> compelling</w:t>
      </w:r>
      <w:r w:rsidR="00EF023E">
        <w:t xml:space="preserve"> data point.  </w:t>
      </w:r>
      <w:r w:rsidR="00CF14B2">
        <w:t>Clearly, t</w:t>
      </w:r>
      <w:r w:rsidR="00EF023E">
        <w:t>he Commission’s</w:t>
      </w:r>
      <w:r w:rsidR="00FB4771">
        <w:t xml:space="preserve"> lack of action</w:t>
      </w:r>
      <w:r w:rsidR="00CF6985">
        <w:t xml:space="preserve"> </w:t>
      </w:r>
      <w:r w:rsidR="00FB4771">
        <w:t xml:space="preserve">to </w:t>
      </w:r>
      <w:r w:rsidR="00CF14B2">
        <w:t>address</w:t>
      </w:r>
      <w:r w:rsidR="00FB4771">
        <w:t xml:space="preserve"> the regulatory uncertainty around these towers</w:t>
      </w:r>
      <w:r w:rsidR="00713B77">
        <w:t xml:space="preserve"> </w:t>
      </w:r>
      <w:r w:rsidR="00FB4771">
        <w:t>is prohibiting approximately 6,500 antenna collocations.</w:t>
      </w:r>
      <w:r w:rsidR="007B464D">
        <w:rPr>
          <w:rStyle w:val="FootnoteReference"/>
        </w:rPr>
        <w:footnoteReference w:id="2"/>
      </w:r>
      <w:r w:rsidR="00FB4771">
        <w:t xml:space="preserve">  </w:t>
      </w:r>
      <w:r w:rsidR="00FD0702">
        <w:t>You know better than anyone that</w:t>
      </w:r>
      <w:r w:rsidR="0006287F">
        <w:t xml:space="preserve"> </w:t>
      </w:r>
      <w:r w:rsidR="00724FD6">
        <w:t xml:space="preserve">we need these antennas to meet </w:t>
      </w:r>
      <w:r w:rsidR="0006287F">
        <w:t>consumer expect</w:t>
      </w:r>
      <w:r w:rsidR="00724FD6">
        <w:t>ations of increased capacity and speed</w:t>
      </w:r>
      <w:r w:rsidR="0006287F">
        <w:t xml:space="preserve">.  </w:t>
      </w:r>
      <w:r w:rsidR="00694A4D">
        <w:t xml:space="preserve">  </w:t>
      </w:r>
      <w:r w:rsidR="00130EB3">
        <w:t xml:space="preserve">       </w:t>
      </w:r>
    </w:p>
    <w:p w14:paraId="3EC1F20A" w14:textId="77777777" w:rsidR="0006287F" w:rsidRDefault="0006287F"/>
    <w:p w14:paraId="316F4F3D" w14:textId="72F28834" w:rsidR="0006287F" w:rsidRDefault="0006287F">
      <w:r>
        <w:lastRenderedPageBreak/>
        <w:t>But</w:t>
      </w:r>
      <w:r w:rsidR="003F7B17">
        <w:t>,</w:t>
      </w:r>
      <w:r>
        <w:t xml:space="preserve"> there </w:t>
      </w:r>
      <w:r w:rsidR="00694A4D">
        <w:t xml:space="preserve">may </w:t>
      </w:r>
      <w:r>
        <w:t xml:space="preserve">finally </w:t>
      </w:r>
      <w:r w:rsidR="00694A4D">
        <w:t xml:space="preserve">be </w:t>
      </w:r>
      <w:r>
        <w:t xml:space="preserve">light at the end of this long tunnel, </w:t>
      </w:r>
      <w:r w:rsidR="00694A4D">
        <w:t xml:space="preserve">as </w:t>
      </w:r>
      <w:r>
        <w:t xml:space="preserve">the Commission formally </w:t>
      </w:r>
      <w:r w:rsidR="00694A4D">
        <w:t>issu</w:t>
      </w:r>
      <w:r w:rsidR="00AF3911">
        <w:t>ed</w:t>
      </w:r>
      <w:r w:rsidR="00694A4D">
        <w:t xml:space="preserve"> an item </w:t>
      </w:r>
      <w:r w:rsidR="00817311">
        <w:t>last month</w:t>
      </w:r>
      <w:r w:rsidR="00DD35ED">
        <w:t xml:space="preserve"> </w:t>
      </w:r>
      <w:r w:rsidR="00694A4D">
        <w:t xml:space="preserve">seeking official </w:t>
      </w:r>
      <w:r>
        <w:t>comment on how this issue should be resolved.</w:t>
      </w:r>
      <w:r w:rsidR="007B464D">
        <w:rPr>
          <w:rStyle w:val="FootnoteReference"/>
        </w:rPr>
        <w:footnoteReference w:id="3"/>
      </w:r>
      <w:r>
        <w:t xml:space="preserve">  </w:t>
      </w:r>
      <w:r w:rsidR="00281011">
        <w:t>While the notice tee</w:t>
      </w:r>
      <w:r w:rsidR="00921A1D">
        <w:t>s</w:t>
      </w:r>
      <w:r w:rsidR="00281011">
        <w:t xml:space="preserve"> up</w:t>
      </w:r>
      <w:r w:rsidR="00921A1D">
        <w:t xml:space="preserve"> </w:t>
      </w:r>
      <w:r w:rsidR="00694A4D">
        <w:t xml:space="preserve">the notion of </w:t>
      </w:r>
      <w:r w:rsidR="00921A1D">
        <w:t>grandfathering</w:t>
      </w:r>
      <w:r w:rsidR="00281011">
        <w:t xml:space="preserve"> </w:t>
      </w:r>
      <w:r w:rsidR="00921A1D">
        <w:t xml:space="preserve">or making corrective filings as towers are identified, </w:t>
      </w:r>
      <w:r w:rsidR="00694A4D">
        <w:t>which I doubt the necessity</w:t>
      </w:r>
      <w:r w:rsidR="008B7764">
        <w:t xml:space="preserve"> of</w:t>
      </w:r>
      <w:r w:rsidR="00694A4D">
        <w:t xml:space="preserve">, </w:t>
      </w:r>
      <w:r w:rsidR="00921A1D">
        <w:t xml:space="preserve">I am willing to hear any </w:t>
      </w:r>
      <w:r w:rsidR="00101517">
        <w:t>and all</w:t>
      </w:r>
      <w:r w:rsidR="00921A1D">
        <w:t xml:space="preserve"> suggestions.  My goal is to</w:t>
      </w:r>
      <w:r w:rsidR="001B23CC">
        <w:t xml:space="preserve"> ensure that we put</w:t>
      </w:r>
      <w:r w:rsidR="00921A1D">
        <w:t xml:space="preserve"> an end to the twilight towers issue once and for all.  </w:t>
      </w:r>
      <w:r w:rsidR="005B28BD">
        <w:t xml:space="preserve">Further, </w:t>
      </w:r>
      <w:r w:rsidR="00C26A94">
        <w:t>the notice include</w:t>
      </w:r>
      <w:r w:rsidR="005B28BD">
        <w:t>s, at my request,</w:t>
      </w:r>
      <w:r w:rsidR="00C26A94">
        <w:t xml:space="preserve"> </w:t>
      </w:r>
      <w:r w:rsidR="00E8557C">
        <w:t xml:space="preserve">a </w:t>
      </w:r>
      <w:r w:rsidR="00C26A94">
        <w:t xml:space="preserve">definitive </w:t>
      </w:r>
      <w:r w:rsidR="00E8557C">
        <w:t xml:space="preserve">statement </w:t>
      </w:r>
      <w:r w:rsidR="00C26A94">
        <w:t>that there will be no enforcement action taken on legitimate twilight towers</w:t>
      </w:r>
      <w:r w:rsidR="00BE1260">
        <w:t xml:space="preserve">, meaning </w:t>
      </w:r>
      <w:r w:rsidR="00511AA2">
        <w:t>co</w:t>
      </w:r>
      <w:r w:rsidR="00694A4D">
        <w:t>mpanies caught in th</w:t>
      </w:r>
      <w:r w:rsidR="00511AA2">
        <w:t>is</w:t>
      </w:r>
      <w:r w:rsidR="00694A4D">
        <w:t xml:space="preserve"> quagmire</w:t>
      </w:r>
      <w:r w:rsidR="00BE1260">
        <w:t xml:space="preserve"> </w:t>
      </w:r>
      <w:r w:rsidR="00694A4D">
        <w:t xml:space="preserve">will not be subject to </w:t>
      </w:r>
      <w:r w:rsidR="00511AA2">
        <w:t>any penalties by the Commission.</w:t>
      </w:r>
      <w:r w:rsidR="00CA4855">
        <w:rPr>
          <w:rStyle w:val="FootnoteReference"/>
        </w:rPr>
        <w:footnoteReference w:id="4"/>
      </w:r>
      <w:r w:rsidR="00511AA2">
        <w:t xml:space="preserve">  </w:t>
      </w:r>
      <w:r w:rsidR="00CF14B2">
        <w:t>That’s good news!</w:t>
      </w:r>
      <w:r w:rsidR="00E8557C">
        <w:t xml:space="preserve"> </w:t>
      </w:r>
      <w:r w:rsidR="00921A1D">
        <w:t xml:space="preserve"> </w:t>
      </w:r>
    </w:p>
    <w:p w14:paraId="163F9654" w14:textId="77777777" w:rsidR="00EF023E" w:rsidRDefault="00EF023E"/>
    <w:p w14:paraId="2076CCB7" w14:textId="78D850E7" w:rsidR="00EF023E" w:rsidRPr="0076541C" w:rsidRDefault="00EF023E">
      <w:pPr>
        <w:rPr>
          <w:i/>
        </w:rPr>
      </w:pPr>
      <w:r w:rsidRPr="0076541C">
        <w:rPr>
          <w:i/>
        </w:rPr>
        <w:t>Tower Marking</w:t>
      </w:r>
    </w:p>
    <w:p w14:paraId="089844CD" w14:textId="77777777" w:rsidR="00C26A94" w:rsidRDefault="00C26A94"/>
    <w:p w14:paraId="5494286A" w14:textId="5A969FE7" w:rsidR="00C26A94" w:rsidRDefault="00995306">
      <w:r>
        <w:t>When discussing</w:t>
      </w:r>
      <w:r w:rsidR="00C26A94">
        <w:t xml:space="preserve"> infrastructure issues</w:t>
      </w:r>
      <w:r>
        <w:t>, it also seems that some instances</w:t>
      </w:r>
      <w:r w:rsidR="00C26A94">
        <w:t xml:space="preserve"> </w:t>
      </w:r>
      <w:r>
        <w:t xml:space="preserve">follow a </w:t>
      </w:r>
      <w:r w:rsidR="00CF14B2">
        <w:t xml:space="preserve">consistent </w:t>
      </w:r>
      <w:r>
        <w:t xml:space="preserve">pattern of taking </w:t>
      </w:r>
      <w:r w:rsidR="00DE1E4E">
        <w:t xml:space="preserve">one step forward only to then take two steps back.  </w:t>
      </w:r>
      <w:r w:rsidR="008D28C7">
        <w:t>In 2014, the</w:t>
      </w:r>
      <w:r w:rsidR="00DE1E4E">
        <w:t xml:space="preserve"> Commission eliminat</w:t>
      </w:r>
      <w:r w:rsidR="008D28C7">
        <w:t>ed</w:t>
      </w:r>
      <w:r w:rsidR="00DE1E4E">
        <w:t xml:space="preserve"> unnecessary tower marking and lighting burdens on industry while ensuring the safety of aircraft.</w:t>
      </w:r>
      <w:r w:rsidR="00CA4855">
        <w:rPr>
          <w:rStyle w:val="FootnoteReference"/>
        </w:rPr>
        <w:footnoteReference w:id="5"/>
      </w:r>
      <w:r w:rsidR="00DE1E4E">
        <w:t xml:space="preserve">  </w:t>
      </w:r>
      <w:r w:rsidR="00EF023E">
        <w:t xml:space="preserve">Ironically enough, I discussed this very achievement the last time I addressed </w:t>
      </w:r>
      <w:r>
        <w:t>you all</w:t>
      </w:r>
      <w:r w:rsidR="00EF023E">
        <w:t xml:space="preserve">.  </w:t>
      </w:r>
      <w:r w:rsidR="00C44EBD">
        <w:t xml:space="preserve">At that time, the picture </w:t>
      </w:r>
      <w:r w:rsidR="00D84183">
        <w:t xml:space="preserve">seemed </w:t>
      </w:r>
      <w:r w:rsidR="00C44EBD">
        <w:t xml:space="preserve">to be getting better.  </w:t>
      </w:r>
      <w:r w:rsidR="00EF023E">
        <w:t>However</w:t>
      </w:r>
      <w:r w:rsidR="00EF023E" w:rsidRPr="00CF14B2">
        <w:t xml:space="preserve">, </w:t>
      </w:r>
      <w:r w:rsidR="00CA4855" w:rsidRPr="00CF14B2">
        <w:t>last</w:t>
      </w:r>
      <w:r w:rsidR="00F839D6" w:rsidRPr="00CF14B2">
        <w:t xml:space="preserve"> year, Congress</w:t>
      </w:r>
      <w:r w:rsidR="00F839D6">
        <w:t xml:space="preserve"> passed the F</w:t>
      </w:r>
      <w:r w:rsidR="00724FD6">
        <w:t>AA</w:t>
      </w:r>
      <w:r w:rsidR="00F839D6">
        <w:t xml:space="preserve"> Extension, Safety and Security Act of 2016, </w:t>
      </w:r>
      <w:r w:rsidR="00EF023E">
        <w:t>which include</w:t>
      </w:r>
      <w:r w:rsidR="00724FD6">
        <w:t>d</w:t>
      </w:r>
      <w:r w:rsidR="00EF023E">
        <w:t xml:space="preserve"> </w:t>
      </w:r>
      <w:r w:rsidR="00F839D6">
        <w:t xml:space="preserve">a provision that </w:t>
      </w:r>
      <w:r w:rsidR="0084001C">
        <w:t xml:space="preserve">basically </w:t>
      </w:r>
      <w:r w:rsidR="00EF023E">
        <w:t xml:space="preserve">mandates that </w:t>
      </w:r>
      <w:r w:rsidR="0084001C">
        <w:t xml:space="preserve">all </w:t>
      </w:r>
      <w:r w:rsidR="00EF023E">
        <w:t>towers ranging between 50 to 200 feet meet certain paint and lighting requirements.</w:t>
      </w:r>
      <w:r w:rsidR="00613FE1">
        <w:rPr>
          <w:rStyle w:val="FootnoteReference"/>
        </w:rPr>
        <w:footnoteReference w:id="6"/>
      </w:r>
      <w:r w:rsidR="00EF023E">
        <w:t xml:space="preserve">  </w:t>
      </w:r>
      <w:r w:rsidR="0084001C">
        <w:t xml:space="preserve">And two steps backward we go.  </w:t>
      </w:r>
    </w:p>
    <w:p w14:paraId="52DF5056" w14:textId="77777777" w:rsidR="005F42B6" w:rsidRDefault="005F42B6"/>
    <w:p w14:paraId="45BDA314" w14:textId="0C4AFCFF" w:rsidR="00995306" w:rsidRDefault="0084001C" w:rsidP="00795343">
      <w:r>
        <w:t>T</w:t>
      </w:r>
      <w:r w:rsidR="00EF023E">
        <w:t xml:space="preserve">he underlying reason </w:t>
      </w:r>
      <w:r w:rsidR="00795343">
        <w:t xml:space="preserve">for the </w:t>
      </w:r>
      <w:r>
        <w:t>provision, while</w:t>
      </w:r>
      <w:r w:rsidRPr="0084001C">
        <w:t xml:space="preserve"> </w:t>
      </w:r>
      <w:r>
        <w:t xml:space="preserve">admirable, </w:t>
      </w:r>
      <w:r w:rsidR="00795343">
        <w:t xml:space="preserve">appears to be based on incidents where crop dusters and other low altitude planes hit temporary meteorological testing towers.  The actual language in the statute, however, </w:t>
      </w:r>
      <w:r w:rsidR="00995306">
        <w:t xml:space="preserve">can be seen to have </w:t>
      </w:r>
      <w:r w:rsidR="000F0A70">
        <w:t>broad applicability</w:t>
      </w:r>
      <w:r w:rsidR="00795343">
        <w:t xml:space="preserve"> with </w:t>
      </w:r>
      <w:r w:rsidR="00995306">
        <w:t xml:space="preserve">narrow </w:t>
      </w:r>
      <w:r w:rsidR="00795343">
        <w:t>exceptions</w:t>
      </w:r>
      <w:r w:rsidR="00954F4A">
        <w:t xml:space="preserve">, which do not extend to </w:t>
      </w:r>
      <w:r w:rsidR="00EF023E">
        <w:t>permanent communications towers</w:t>
      </w:r>
      <w:r w:rsidR="00795343">
        <w:t>.</w:t>
      </w:r>
      <w:r w:rsidR="006C2363">
        <w:t xml:space="preserve"> </w:t>
      </w:r>
      <w:r w:rsidR="00995306">
        <w:t xml:space="preserve"> </w:t>
      </w:r>
    </w:p>
    <w:p w14:paraId="6FBBD0E2" w14:textId="77777777" w:rsidR="00995306" w:rsidRDefault="00995306" w:rsidP="00795343"/>
    <w:p w14:paraId="59A76881" w14:textId="2745A606" w:rsidR="00795343" w:rsidRDefault="00995306" w:rsidP="00795343">
      <w:r>
        <w:t xml:space="preserve">While no one disputes the desire to protect human life for those aviators whizzing planes inches from the ground, we must also recognize the real world effects of this new mandate.  Carrying out the burden as written </w:t>
      </w:r>
      <w:r w:rsidR="00FA777F">
        <w:t xml:space="preserve">will be an extremely </w:t>
      </w:r>
      <w:r w:rsidR="00795343">
        <w:t>expens</w:t>
      </w:r>
      <w:r w:rsidR="0076541C">
        <w:t>ive</w:t>
      </w:r>
      <w:r w:rsidR="00795343">
        <w:t xml:space="preserve"> undertaking due to the cost of</w:t>
      </w:r>
      <w:r w:rsidR="00155BB2">
        <w:t xml:space="preserve"> </w:t>
      </w:r>
      <w:r w:rsidR="00934122">
        <w:t xml:space="preserve">the </w:t>
      </w:r>
      <w:r w:rsidR="00155BB2">
        <w:t>specialized</w:t>
      </w:r>
      <w:r w:rsidR="00FE6AEC">
        <w:t xml:space="preserve"> labor that climbs </w:t>
      </w:r>
      <w:r w:rsidR="00795343">
        <w:t>these t</w:t>
      </w:r>
      <w:r w:rsidR="00FA777F">
        <w:t>owers</w:t>
      </w:r>
      <w:r w:rsidR="00795343">
        <w:t xml:space="preserve">.  </w:t>
      </w:r>
      <w:r w:rsidR="00446372">
        <w:t>The appropriate paint is also needed.  You</w:t>
      </w:r>
      <w:r w:rsidR="00795343">
        <w:t xml:space="preserve"> can’t just run into your local Home Dep</w:t>
      </w:r>
      <w:r w:rsidR="0076541C">
        <w:t>o</w:t>
      </w:r>
      <w:r w:rsidR="00795343">
        <w:t xml:space="preserve">t and grab a can of Benjamin Moore on sale. </w:t>
      </w:r>
      <w:r>
        <w:t xml:space="preserve"> </w:t>
      </w:r>
      <w:r w:rsidR="001876D2">
        <w:t>Together, I hear that</w:t>
      </w:r>
      <w:r w:rsidR="00584118">
        <w:t xml:space="preserve"> it runs an estimated $12,000 to $15,000</w:t>
      </w:r>
      <w:r w:rsidR="003918AC">
        <w:t xml:space="preserve"> t</w:t>
      </w:r>
      <w:r w:rsidR="001876D2">
        <w:t xml:space="preserve">o paint </w:t>
      </w:r>
      <w:r w:rsidR="002973FE">
        <w:t xml:space="preserve">and light </w:t>
      </w:r>
      <w:r w:rsidR="001876D2">
        <w:t>a tower</w:t>
      </w:r>
      <w:r w:rsidR="00795343">
        <w:t xml:space="preserve">. </w:t>
      </w:r>
      <w:r>
        <w:t xml:space="preserve"> </w:t>
      </w:r>
      <w:r w:rsidR="003918AC">
        <w:t xml:space="preserve">Not to mention, </w:t>
      </w:r>
      <w:r w:rsidR="00795343">
        <w:t xml:space="preserve">the law captures approximately 25,000 communications towers and another 25,000 broadcast towers.  </w:t>
      </w:r>
      <w:r w:rsidR="00351FB3">
        <w:t xml:space="preserve">In total, </w:t>
      </w:r>
      <w:r w:rsidR="00351FB3" w:rsidRPr="00F260DC">
        <w:t xml:space="preserve">it’s </w:t>
      </w:r>
      <w:r w:rsidR="00A12D03" w:rsidRPr="00F260DC">
        <w:t xml:space="preserve">an </w:t>
      </w:r>
      <w:r w:rsidR="00512CC9" w:rsidRPr="00F260DC">
        <w:t>e</w:t>
      </w:r>
      <w:r w:rsidR="00512CC9">
        <w:t xml:space="preserve">stimated </w:t>
      </w:r>
      <w:r w:rsidR="0076541C">
        <w:t>$750 million</w:t>
      </w:r>
      <w:r w:rsidR="00B9531B">
        <w:t xml:space="preserve"> </w:t>
      </w:r>
      <w:r w:rsidR="0076541C">
        <w:t>every five to seven years</w:t>
      </w:r>
      <w:r w:rsidR="00795343">
        <w:t>.</w:t>
      </w:r>
      <w:r w:rsidR="00351FB3">
        <w:rPr>
          <w:rStyle w:val="FootnoteReference"/>
        </w:rPr>
        <w:footnoteReference w:id="7"/>
      </w:r>
      <w:r>
        <w:t xml:space="preserve">  I am sure others have </w:t>
      </w:r>
      <w:r w:rsidR="005B28BD">
        <w:t xml:space="preserve">potentially more </w:t>
      </w:r>
      <w:r>
        <w:t>cost</w:t>
      </w:r>
      <w:r w:rsidR="005B28BD">
        <w:t>ly</w:t>
      </w:r>
      <w:r>
        <w:t xml:space="preserve"> estimate</w:t>
      </w:r>
      <w:r w:rsidR="008B7764">
        <w:t>s</w:t>
      </w:r>
      <w:r>
        <w:t xml:space="preserve"> tha</w:t>
      </w:r>
      <w:r w:rsidR="00CF14B2">
        <w:t>n</w:t>
      </w:r>
      <w:r>
        <w:t xml:space="preserve"> this.  </w:t>
      </w:r>
    </w:p>
    <w:p w14:paraId="0660FD86" w14:textId="77777777" w:rsidR="00795343" w:rsidRDefault="00795343" w:rsidP="00795343"/>
    <w:p w14:paraId="294B2F92" w14:textId="4D3C00FC" w:rsidR="00795343" w:rsidRDefault="00EA6866" w:rsidP="00795343">
      <w:r>
        <w:t>Again</w:t>
      </w:r>
      <w:r w:rsidR="00795343">
        <w:t>, I don’t want to see anyone hurt or</w:t>
      </w:r>
      <w:r w:rsidR="0083506B">
        <w:t>,</w:t>
      </w:r>
      <w:r w:rsidR="00795343">
        <w:t xml:space="preserve"> even worse</w:t>
      </w:r>
      <w:r w:rsidR="0083506B">
        <w:t>,</w:t>
      </w:r>
      <w:r w:rsidR="00795343">
        <w:t xml:space="preserve"> lose their lives.  </w:t>
      </w:r>
      <w:r w:rsidR="00F13F68">
        <w:t>It is without question that there have been</w:t>
      </w:r>
      <w:r w:rsidR="00795343">
        <w:t xml:space="preserve"> accidents involving crop dusters. </w:t>
      </w:r>
      <w:r w:rsidR="00995306">
        <w:t xml:space="preserve"> </w:t>
      </w:r>
      <w:r w:rsidR="00795343">
        <w:t>But, it doesn’t appear that communications towers are to blame</w:t>
      </w:r>
      <w:r w:rsidR="004A5AF7">
        <w:t xml:space="preserve"> one iota</w:t>
      </w:r>
      <w:r w:rsidR="00795343">
        <w:t xml:space="preserve">. </w:t>
      </w:r>
      <w:r w:rsidR="00F13F68">
        <w:t xml:space="preserve"> </w:t>
      </w:r>
      <w:r w:rsidR="00F650C7">
        <w:t>According to the requisite data,</w:t>
      </w:r>
      <w:r w:rsidR="00402C2D">
        <w:rPr>
          <w:rStyle w:val="FootnoteReference"/>
        </w:rPr>
        <w:footnoteReference w:id="8"/>
      </w:r>
      <w:r w:rsidR="00F650C7">
        <w:t xml:space="preserve"> </w:t>
      </w:r>
      <w:r w:rsidR="00795343">
        <w:t>th</w:t>
      </w:r>
      <w:r w:rsidR="00F13F68">
        <w:t>ere is a good chance that</w:t>
      </w:r>
      <w:r w:rsidR="00CF14B2">
        <w:t>,</w:t>
      </w:r>
      <w:r w:rsidR="00F13F68">
        <w:t xml:space="preserve"> </w:t>
      </w:r>
      <w:r w:rsidR="00CF14B2">
        <w:t xml:space="preserve">had </w:t>
      </w:r>
      <w:r w:rsidR="005B28BD">
        <w:t xml:space="preserve">the new </w:t>
      </w:r>
      <w:r w:rsidR="002740AD">
        <w:t xml:space="preserve">provision of </w:t>
      </w:r>
      <w:r w:rsidR="002740AD">
        <w:lastRenderedPageBreak/>
        <w:t xml:space="preserve">law </w:t>
      </w:r>
      <w:r w:rsidR="00CF14B2">
        <w:t xml:space="preserve">been in effect, it </w:t>
      </w:r>
      <w:r w:rsidR="00795343">
        <w:t>would not have save</w:t>
      </w:r>
      <w:r w:rsidR="008B7764">
        <w:t>d</w:t>
      </w:r>
      <w:r w:rsidR="00795343">
        <w:t xml:space="preserve"> </w:t>
      </w:r>
      <w:r w:rsidR="002740AD">
        <w:t xml:space="preserve">any </w:t>
      </w:r>
      <w:r w:rsidR="00B9531B">
        <w:t xml:space="preserve">pilot </w:t>
      </w:r>
      <w:r w:rsidR="00795343">
        <w:t>lives</w:t>
      </w:r>
      <w:r w:rsidR="002740AD">
        <w:t xml:space="preserve"> or prevented any crashes or incidents</w:t>
      </w:r>
      <w:r w:rsidR="00795343">
        <w:t>.</w:t>
      </w:r>
      <w:r w:rsidR="00CF14B2">
        <w:t xml:space="preserve"> </w:t>
      </w:r>
      <w:r w:rsidR="00795343">
        <w:t xml:space="preserve"> And </w:t>
      </w:r>
      <w:r>
        <w:t>as you are well aware</w:t>
      </w:r>
      <w:r w:rsidR="00795343">
        <w:t xml:space="preserve">, we </w:t>
      </w:r>
      <w:r w:rsidR="00F13F68">
        <w:t xml:space="preserve">also </w:t>
      </w:r>
      <w:r w:rsidR="00795343">
        <w:t xml:space="preserve">must consider the lives of those that will climb and paint these communications towers.  </w:t>
      </w:r>
    </w:p>
    <w:p w14:paraId="446CB23B" w14:textId="77777777" w:rsidR="00795343" w:rsidRDefault="00795343" w:rsidP="00795343"/>
    <w:p w14:paraId="28986E2D" w14:textId="2EE6E370" w:rsidR="00795343" w:rsidRDefault="004A5AF7" w:rsidP="00795343">
      <w:r>
        <w:t>T</w:t>
      </w:r>
      <w:r w:rsidR="00F13F68">
        <w:t xml:space="preserve">hen there are the </w:t>
      </w:r>
      <w:r w:rsidR="00724FD6">
        <w:t>truly</w:t>
      </w:r>
      <w:r w:rsidR="00F13F68">
        <w:t xml:space="preserve"> unintended consequences of this law.  </w:t>
      </w:r>
      <w:r>
        <w:t>Here is just one: i</w:t>
      </w:r>
      <w:r w:rsidR="00F13F68">
        <w:t xml:space="preserve">f </w:t>
      </w:r>
      <w:r>
        <w:t xml:space="preserve">companies have </w:t>
      </w:r>
      <w:r w:rsidR="00215C34">
        <w:t xml:space="preserve">limited dollars to spend, </w:t>
      </w:r>
      <w:r w:rsidR="00F13F68">
        <w:t xml:space="preserve">why would </w:t>
      </w:r>
      <w:r>
        <w:t>they</w:t>
      </w:r>
      <w:r w:rsidR="00F13F68">
        <w:t xml:space="preserve"> build out in rural A</w:t>
      </w:r>
      <w:r w:rsidR="001E6C03">
        <w:t>merica where profits are lower</w:t>
      </w:r>
      <w:r w:rsidR="00DD5296">
        <w:t>,</w:t>
      </w:r>
      <w:r w:rsidR="00F13F68">
        <w:t xml:space="preserve"> but ex</w:t>
      </w:r>
      <w:r w:rsidR="00ED23BB">
        <w:t xml:space="preserve">penses </w:t>
      </w:r>
      <w:r>
        <w:t>would skyrocket</w:t>
      </w:r>
      <w:r w:rsidR="00ED23BB">
        <w:t xml:space="preserve"> due to this</w:t>
      </w:r>
      <w:r w:rsidR="00F13F68">
        <w:t xml:space="preserve"> mandate</w:t>
      </w:r>
      <w:r w:rsidR="00CF14B2">
        <w:t>?</w:t>
      </w:r>
      <w:r w:rsidR="00F13F68">
        <w:t xml:space="preserve">  Rural America will lose out because these dollars will instead go to urban and</w:t>
      </w:r>
      <w:r w:rsidR="001E6C03">
        <w:t xml:space="preserve"> suburban communities where the</w:t>
      </w:r>
      <w:r>
        <w:t xml:space="preserve">se specific </w:t>
      </w:r>
      <w:r w:rsidR="00F13F68">
        <w:t xml:space="preserve">tower marking requirements are not in effect.  </w:t>
      </w:r>
      <w:r>
        <w:t>Overall, t</w:t>
      </w:r>
      <w:r w:rsidR="00F13F68">
        <w:t>his will seriously reduce the chances of 5G deployments in rur</w:t>
      </w:r>
      <w:r w:rsidR="00DD5296">
        <w:t>al America, stymie smart agriculture</w:t>
      </w:r>
      <w:r w:rsidR="00F13F68">
        <w:t xml:space="preserve">, and hamper our efforts to extend broadband to the most remote areas.  </w:t>
      </w:r>
    </w:p>
    <w:p w14:paraId="179D91B8" w14:textId="77777777" w:rsidR="00C9424D" w:rsidRDefault="00C9424D" w:rsidP="00795343"/>
    <w:p w14:paraId="12EBF1D3" w14:textId="6AB01029" w:rsidR="00C9424D" w:rsidRDefault="00BE1260" w:rsidP="00795343">
      <w:r>
        <w:t xml:space="preserve">I suggest improvements to this provision are in order.  </w:t>
      </w:r>
      <w:r w:rsidR="002740AD">
        <w:t>One way to do this is to</w:t>
      </w:r>
      <w:r w:rsidR="00882B6C">
        <w:t xml:space="preserve"> clarify that communications towers </w:t>
      </w:r>
      <w:r w:rsidR="00E52D83">
        <w:t>are</w:t>
      </w:r>
      <w:r w:rsidR="00882B6C">
        <w:t xml:space="preserve"> exempt</w:t>
      </w:r>
      <w:r w:rsidR="00C9424D">
        <w:t>.</w:t>
      </w:r>
      <w:r w:rsidR="002740AD">
        <w:t xml:space="preserve">  There are, of course, other ways to fix this situation but the key is to get it addressed properly and quickly, especially as we approach certain deadlines in the statute.  </w:t>
      </w:r>
    </w:p>
    <w:p w14:paraId="7AC77B4D" w14:textId="77777777" w:rsidR="00F13F68" w:rsidRDefault="00F13F68" w:rsidP="00795343"/>
    <w:p w14:paraId="51D239B3" w14:textId="06448A2E" w:rsidR="00F13F68" w:rsidRPr="008E2255" w:rsidRDefault="00F13F68" w:rsidP="00795343">
      <w:pPr>
        <w:rPr>
          <w:i/>
        </w:rPr>
      </w:pPr>
      <w:r w:rsidRPr="008E2255">
        <w:rPr>
          <w:i/>
        </w:rPr>
        <w:t>Tower Crew</w:t>
      </w:r>
      <w:r w:rsidR="00C44EBD">
        <w:rPr>
          <w:i/>
        </w:rPr>
        <w:t>s</w:t>
      </w:r>
      <w:r w:rsidRPr="008E2255">
        <w:rPr>
          <w:i/>
        </w:rPr>
        <w:t xml:space="preserve"> and the Repack </w:t>
      </w:r>
    </w:p>
    <w:p w14:paraId="08FC6445" w14:textId="77777777" w:rsidR="00F13F68" w:rsidRDefault="00F13F68" w:rsidP="00795343"/>
    <w:p w14:paraId="559F4F2E" w14:textId="579E788E" w:rsidR="00795343" w:rsidRDefault="00E20921" w:rsidP="00795343">
      <w:r>
        <w:t>We also have to keep in mind that tower crews are</w:t>
      </w:r>
      <w:r w:rsidR="00795343">
        <w:t xml:space="preserve"> in </w:t>
      </w:r>
      <w:r>
        <w:t xml:space="preserve">high </w:t>
      </w:r>
      <w:r w:rsidR="00795343">
        <w:t>demand these days.  Wireless companies will be building out AWS-3 and 600 MHz spectrum</w:t>
      </w:r>
      <w:r w:rsidR="00A12D03" w:rsidRPr="00F260DC">
        <w:t xml:space="preserve">; </w:t>
      </w:r>
      <w:r w:rsidR="00795343" w:rsidRPr="00F260DC">
        <w:t>hopefully we will auction millimeter wave and 3.5 GHz in the not to</w:t>
      </w:r>
      <w:r w:rsidR="00CF6985" w:rsidRPr="00F260DC">
        <w:t>o</w:t>
      </w:r>
      <w:r w:rsidR="00795343" w:rsidRPr="00F260DC">
        <w:t xml:space="preserve"> distant future</w:t>
      </w:r>
      <w:r w:rsidR="00A12D03" w:rsidRPr="00F260DC">
        <w:t xml:space="preserve">; </w:t>
      </w:r>
      <w:r w:rsidR="00795343" w:rsidRPr="00F260DC">
        <w:t>an</w:t>
      </w:r>
      <w:r w:rsidR="00795343">
        <w:t xml:space="preserve">d providers are </w:t>
      </w:r>
      <w:r w:rsidR="009D5EAB">
        <w:t xml:space="preserve">generally </w:t>
      </w:r>
      <w:r w:rsidR="00795343">
        <w:t>densi</w:t>
      </w:r>
      <w:r w:rsidR="005B3CC8">
        <w:t xml:space="preserve">fying their networks.  Then, </w:t>
      </w:r>
      <w:r w:rsidR="00795343">
        <w:t xml:space="preserve">there </w:t>
      </w:r>
      <w:r w:rsidR="003A45C9">
        <w:t>are the</w:t>
      </w:r>
      <w:r w:rsidR="00795343">
        <w:t xml:space="preserve"> </w:t>
      </w:r>
      <w:r w:rsidR="00B03804">
        <w:t xml:space="preserve">approximately </w:t>
      </w:r>
      <w:r w:rsidR="00093622">
        <w:t xml:space="preserve">987 </w:t>
      </w:r>
      <w:r w:rsidR="00DE5477">
        <w:t xml:space="preserve">stations </w:t>
      </w:r>
      <w:r w:rsidR="00B03804">
        <w:t xml:space="preserve">in the next 39-months </w:t>
      </w:r>
      <w:r w:rsidR="008B7764">
        <w:t xml:space="preserve">that are </w:t>
      </w:r>
      <w:r w:rsidR="00BE1260">
        <w:t>part of the broadcast spectrum incentive auction repack</w:t>
      </w:r>
      <w:r w:rsidR="00B03804">
        <w:t>.</w:t>
      </w:r>
      <w:r w:rsidR="00613FE1">
        <w:rPr>
          <w:rStyle w:val="FootnoteReference"/>
        </w:rPr>
        <w:footnoteReference w:id="9"/>
      </w:r>
      <w:r w:rsidR="00B03804">
        <w:t xml:space="preserve"> </w:t>
      </w:r>
      <w:r w:rsidR="0000740B">
        <w:t xml:space="preserve"> </w:t>
      </w:r>
    </w:p>
    <w:p w14:paraId="5BAD86AE" w14:textId="77777777" w:rsidR="00795343" w:rsidRDefault="00795343" w:rsidP="00795343"/>
    <w:p w14:paraId="768DF488" w14:textId="7EE20A24" w:rsidR="00795343" w:rsidRDefault="00EF5053" w:rsidP="00795343">
      <w:r>
        <w:t>W</w:t>
      </w:r>
      <w:r w:rsidR="00795343">
        <w:t>hile I am on the subject, I understand that tower companies have responded to the call a</w:t>
      </w:r>
      <w:r w:rsidR="0000740B">
        <w:t xml:space="preserve">nd are ready to take on this </w:t>
      </w:r>
      <w:r w:rsidR="00CA7684">
        <w:t>challenge</w:t>
      </w:r>
      <w:r w:rsidR="00795343">
        <w:t xml:space="preserve">.  </w:t>
      </w:r>
      <w:r w:rsidR="00B9531B">
        <w:t xml:space="preserve">I also have heard from broadcasters who admit that it is in their best interest to conclude the repack as quickly as possible, and obviously the winners of the 600 MHz auction are seeking the same.  Kudos to those wireless carriers who have invested in tower companies to increase tower and antenna construction, and expedite installation and deployment efforts.  </w:t>
      </w:r>
      <w:r w:rsidR="00795343">
        <w:t xml:space="preserve">While </w:t>
      </w:r>
      <w:r>
        <w:t>some</w:t>
      </w:r>
      <w:r w:rsidR="00795343">
        <w:t xml:space="preserve"> are </w:t>
      </w:r>
      <w:r>
        <w:t>rightfully concerned about the ability to meet the current deadlines</w:t>
      </w:r>
      <w:r w:rsidR="00795343">
        <w:t xml:space="preserve">, I think </w:t>
      </w:r>
      <w:r>
        <w:t xml:space="preserve">it is not irrational that </w:t>
      </w:r>
      <w:r w:rsidR="00795343">
        <w:t xml:space="preserve">we wait </w:t>
      </w:r>
      <w:r>
        <w:t xml:space="preserve">to </w:t>
      </w:r>
      <w:r w:rsidR="00795343">
        <w:t xml:space="preserve">see how the first stages go before jumping to any premature conclusions.  </w:t>
      </w:r>
      <w:r w:rsidR="00CF14B2">
        <w:t>I</w:t>
      </w:r>
      <w:r w:rsidR="00795343">
        <w:t>f it looks like we cannot meet t</w:t>
      </w:r>
      <w:r w:rsidR="00F376AE">
        <w:t>he 39-m</w:t>
      </w:r>
      <w:r w:rsidR="00795343">
        <w:t xml:space="preserve">onth timeframe, </w:t>
      </w:r>
      <w:r>
        <w:t>at some point</w:t>
      </w:r>
      <w:r w:rsidR="00506177">
        <w:t>,</w:t>
      </w:r>
      <w:r>
        <w:t xml:space="preserve"> </w:t>
      </w:r>
      <w:r w:rsidR="00F376AE">
        <w:t>we can reassess</w:t>
      </w:r>
      <w:r>
        <w:t>.  In the meantime, I suggest that everyone should take a deep breath as we head down the repack path together</w:t>
      </w:r>
      <w:r w:rsidR="00795343">
        <w:t xml:space="preserve">. </w:t>
      </w:r>
    </w:p>
    <w:p w14:paraId="3EEAFBDE" w14:textId="77777777" w:rsidR="0076541C" w:rsidRDefault="0076541C" w:rsidP="00795343"/>
    <w:p w14:paraId="57CD543B" w14:textId="77777777" w:rsidR="0076541C" w:rsidRPr="0076541C" w:rsidRDefault="0076541C" w:rsidP="00795343">
      <w:pPr>
        <w:rPr>
          <w:i/>
        </w:rPr>
      </w:pPr>
      <w:r w:rsidRPr="0076541C">
        <w:rPr>
          <w:i/>
        </w:rPr>
        <w:t>Facilities Siting</w:t>
      </w:r>
    </w:p>
    <w:p w14:paraId="7B253A70" w14:textId="77777777" w:rsidR="00795343" w:rsidRDefault="00795343" w:rsidP="00795343"/>
    <w:p w14:paraId="5E3FE72D" w14:textId="48BCDC74" w:rsidR="006114A7" w:rsidRDefault="004156C5" w:rsidP="00795343">
      <w:r>
        <w:t xml:space="preserve">Finally, </w:t>
      </w:r>
      <w:r w:rsidR="00C16A4E">
        <w:t>a</w:t>
      </w:r>
      <w:r>
        <w:t>s you know</w:t>
      </w:r>
      <w:r w:rsidR="00C16A4E">
        <w:t>,</w:t>
      </w:r>
      <w:r>
        <w:t xml:space="preserve"> the Commission </w:t>
      </w:r>
      <w:r w:rsidR="008865CE">
        <w:t xml:space="preserve">and Congress </w:t>
      </w:r>
      <w:r>
        <w:t>ha</w:t>
      </w:r>
      <w:r w:rsidR="008865CE">
        <w:t>ve</w:t>
      </w:r>
      <w:r>
        <w:t xml:space="preserve"> taken steps to minimize barriers to infrastructure deployment</w:t>
      </w:r>
      <w:r w:rsidR="004D4CE6">
        <w:t>,</w:t>
      </w:r>
      <w:r w:rsidR="00650366">
        <w:rPr>
          <w:rStyle w:val="FootnoteReference"/>
        </w:rPr>
        <w:footnoteReference w:id="10"/>
      </w:r>
      <w:r w:rsidR="00D72358">
        <w:t xml:space="preserve"> </w:t>
      </w:r>
      <w:r w:rsidR="00054335">
        <w:t xml:space="preserve">but </w:t>
      </w:r>
      <w:r w:rsidR="00BD4D2B">
        <w:t>problems still abound.</w:t>
      </w:r>
      <w:r w:rsidR="008865CE">
        <w:t xml:space="preserve">  </w:t>
      </w:r>
      <w:r w:rsidR="00C44EBD">
        <w:t>I</w:t>
      </w:r>
      <w:r w:rsidR="00BD4D2B">
        <w:t>n two separate but related procee</w:t>
      </w:r>
      <w:r w:rsidR="00905B41">
        <w:t>dings,</w:t>
      </w:r>
      <w:r w:rsidR="004816F5">
        <w:rPr>
          <w:rStyle w:val="FootnoteReference"/>
        </w:rPr>
        <w:footnoteReference w:id="11"/>
      </w:r>
      <w:r w:rsidR="00905B41">
        <w:t xml:space="preserve"> the Commission is finally </w:t>
      </w:r>
      <w:r w:rsidR="000F6489">
        <w:t xml:space="preserve">expanding our review </w:t>
      </w:r>
      <w:r w:rsidR="006B7A0C">
        <w:t xml:space="preserve">and involvement </w:t>
      </w:r>
      <w:r w:rsidR="00ED1596">
        <w:t>to</w:t>
      </w:r>
      <w:r w:rsidR="000F6489">
        <w:t xml:space="preserve"> </w:t>
      </w:r>
      <w:r w:rsidR="00ED1596">
        <w:t>look</w:t>
      </w:r>
      <w:r w:rsidR="001F416E">
        <w:t xml:space="preserve"> at this problem holistically</w:t>
      </w:r>
      <w:r w:rsidR="008865CE">
        <w:t>.</w:t>
      </w:r>
      <w:r w:rsidR="00BD4D2B">
        <w:t xml:space="preserve">  </w:t>
      </w:r>
      <w:r w:rsidR="00B9531B">
        <w:t xml:space="preserve">Let me </w:t>
      </w:r>
      <w:r w:rsidR="00D81F08">
        <w:t xml:space="preserve">talk </w:t>
      </w:r>
      <w:r w:rsidR="00B9531B">
        <w:t xml:space="preserve">today </w:t>
      </w:r>
      <w:r w:rsidR="00D81F08">
        <w:t>about the two issues I hear about most – access to the public rights of way and the tribal approval process</w:t>
      </w:r>
      <w:r w:rsidR="00BD4D2B">
        <w:t>.</w:t>
      </w:r>
      <w:r w:rsidR="008865CE">
        <w:t xml:space="preserve">  </w:t>
      </w:r>
    </w:p>
    <w:p w14:paraId="5494995D" w14:textId="77777777" w:rsidR="006114A7" w:rsidRDefault="006114A7" w:rsidP="00795343"/>
    <w:p w14:paraId="345E078F" w14:textId="531530BF" w:rsidR="0047651D" w:rsidRDefault="001F416E" w:rsidP="00795343">
      <w:r>
        <w:t>Despite</w:t>
      </w:r>
      <w:r w:rsidR="004C3D75">
        <w:t xml:space="preserve"> efforts</w:t>
      </w:r>
      <w:r>
        <w:t xml:space="preserve"> to curb such behavior</w:t>
      </w:r>
      <w:r w:rsidR="004C3D75">
        <w:t>,</w:t>
      </w:r>
      <w:r w:rsidR="00716DD8">
        <w:t xml:space="preserve"> </w:t>
      </w:r>
      <w:r w:rsidR="0047651D">
        <w:t>industry is still experiencing excessive delays and moratoria when filing sit</w:t>
      </w:r>
      <w:r w:rsidR="00D01E32">
        <w:t xml:space="preserve">ing applications </w:t>
      </w:r>
      <w:r w:rsidR="006541B3">
        <w:t>for access</w:t>
      </w:r>
      <w:r w:rsidR="009D0BE9">
        <w:t xml:space="preserve"> to locality </w:t>
      </w:r>
      <w:r w:rsidR="006541B3">
        <w:t>rights of way</w:t>
      </w:r>
      <w:r w:rsidR="0047651D">
        <w:t xml:space="preserve">. </w:t>
      </w:r>
      <w:r w:rsidR="008D28C7">
        <w:t xml:space="preserve"> </w:t>
      </w:r>
      <w:r w:rsidR="0068365B">
        <w:t>The record is replete</w:t>
      </w:r>
      <w:r w:rsidR="00F91CA2">
        <w:t xml:space="preserve"> with </w:t>
      </w:r>
      <w:r w:rsidR="006B7A0C">
        <w:t xml:space="preserve">reports </w:t>
      </w:r>
      <w:r w:rsidR="0068365B">
        <w:t xml:space="preserve">of </w:t>
      </w:r>
      <w:r w:rsidR="00402C2D">
        <w:t xml:space="preserve">long </w:t>
      </w:r>
      <w:r w:rsidR="0068365B">
        <w:t xml:space="preserve">pre-application processes before an application </w:t>
      </w:r>
      <w:r w:rsidR="00CF22F2">
        <w:t xml:space="preserve">can be filed or </w:t>
      </w:r>
      <w:r w:rsidR="0068365B">
        <w:t>is</w:t>
      </w:r>
      <w:r w:rsidR="005F5A72">
        <w:t xml:space="preserve"> </w:t>
      </w:r>
      <w:r w:rsidR="0068365B">
        <w:t>deemed complete</w:t>
      </w:r>
      <w:r w:rsidR="007F2973">
        <w:t xml:space="preserve"> and </w:t>
      </w:r>
      <w:r w:rsidR="00033B26">
        <w:t xml:space="preserve">applications going through two years or more of review before </w:t>
      </w:r>
      <w:r w:rsidR="00C41139">
        <w:t xml:space="preserve">a decision is </w:t>
      </w:r>
      <w:r w:rsidR="006B7A0C">
        <w:t xml:space="preserve">actually </w:t>
      </w:r>
      <w:r w:rsidR="00C41139">
        <w:t>made</w:t>
      </w:r>
      <w:r w:rsidR="0068365B">
        <w:t>.</w:t>
      </w:r>
      <w:r w:rsidR="00B77FFB">
        <w:rPr>
          <w:rStyle w:val="FootnoteReference"/>
        </w:rPr>
        <w:footnoteReference w:id="12"/>
      </w:r>
      <w:r w:rsidR="0068365B">
        <w:t xml:space="preserve"> </w:t>
      </w:r>
      <w:r w:rsidR="00C41139">
        <w:t xml:space="preserve"> </w:t>
      </w:r>
      <w:r w:rsidR="0038461C">
        <w:t xml:space="preserve">These long, intentional delays are </w:t>
      </w:r>
      <w:r w:rsidR="00C41139">
        <w:t>also turning</w:t>
      </w:r>
      <w:r w:rsidR="0038461C">
        <w:t xml:space="preserve"> into de facto moratoria</w:t>
      </w:r>
      <w:r w:rsidR="00C43739">
        <w:t xml:space="preserve">, with endless tolling agreements and excuses about </w:t>
      </w:r>
      <w:r w:rsidR="00D90199">
        <w:t xml:space="preserve">insufficient </w:t>
      </w:r>
      <w:r w:rsidR="0038461C">
        <w:t xml:space="preserve">resources or </w:t>
      </w:r>
      <w:r w:rsidR="00D90199">
        <w:t xml:space="preserve">the need for new </w:t>
      </w:r>
      <w:r w:rsidR="00B630BE">
        <w:t>local laws</w:t>
      </w:r>
      <w:r w:rsidR="0038461C">
        <w:t>.</w:t>
      </w:r>
      <w:r w:rsidR="00C44EBD">
        <w:t xml:space="preserve"> </w:t>
      </w:r>
      <w:r w:rsidR="00005428">
        <w:t xml:space="preserve"> </w:t>
      </w:r>
      <w:r w:rsidR="0038461C">
        <w:t>Verizon</w:t>
      </w:r>
      <w:r w:rsidR="00B630BE">
        <w:t>,</w:t>
      </w:r>
      <w:r w:rsidR="0038461C">
        <w:t xml:space="preserve"> for instance</w:t>
      </w:r>
      <w:r w:rsidR="00B630BE">
        <w:t>,</w:t>
      </w:r>
      <w:r w:rsidR="0038461C">
        <w:t xml:space="preserve"> has reported that at least 34</w:t>
      </w:r>
      <w:r w:rsidR="00DE5477">
        <w:t xml:space="preserve"> </w:t>
      </w:r>
      <w:r w:rsidR="0038461C">
        <w:t>communities either have explicit moratoria or just refuse to process applications or engage with applicants.</w:t>
      </w:r>
      <w:r w:rsidR="00357835">
        <w:rPr>
          <w:rStyle w:val="FootnoteReference"/>
        </w:rPr>
        <w:footnoteReference w:id="13"/>
      </w:r>
      <w:r w:rsidR="0038461C">
        <w:t xml:space="preserve">  </w:t>
      </w:r>
      <w:r w:rsidR="001E7CFD">
        <w:t xml:space="preserve">This is blatantly illegal.  </w:t>
      </w:r>
    </w:p>
    <w:p w14:paraId="1654BE1C" w14:textId="77777777" w:rsidR="00205000" w:rsidRDefault="00205000" w:rsidP="00795343"/>
    <w:p w14:paraId="4C0E04C0" w14:textId="21117A5E" w:rsidR="00205000" w:rsidRDefault="00205000" w:rsidP="00795343">
      <w:r>
        <w:t>Many local</w:t>
      </w:r>
      <w:r w:rsidR="007334C1">
        <w:t xml:space="preserve">ities </w:t>
      </w:r>
      <w:r w:rsidR="00F91CA2">
        <w:t xml:space="preserve">are </w:t>
      </w:r>
      <w:r w:rsidR="007334C1">
        <w:t>also imposing zoning</w:t>
      </w:r>
      <w:r w:rsidR="00D83F0D">
        <w:t>-like</w:t>
      </w:r>
      <w:r w:rsidR="007334C1">
        <w:t xml:space="preserve"> </w:t>
      </w:r>
      <w:r w:rsidR="00CF14B2">
        <w:t>procedures for</w:t>
      </w:r>
      <w:r>
        <w:t xml:space="preserve"> facil</w:t>
      </w:r>
      <w:r w:rsidR="00E35864">
        <w:t>i</w:t>
      </w:r>
      <w:r>
        <w:t>ties on rights of way</w:t>
      </w:r>
      <w:r w:rsidR="00E35864">
        <w:t>, causing</w:t>
      </w:r>
      <w:r w:rsidR="007A3F85">
        <w:t xml:space="preserve"> </w:t>
      </w:r>
      <w:r w:rsidR="00D84183">
        <w:t xml:space="preserve">extensive </w:t>
      </w:r>
      <w:r w:rsidR="006273FC">
        <w:t xml:space="preserve">delays </w:t>
      </w:r>
      <w:r w:rsidR="00E35864">
        <w:t xml:space="preserve">and </w:t>
      </w:r>
      <w:r w:rsidR="006273FC">
        <w:t xml:space="preserve">some </w:t>
      </w:r>
      <w:r>
        <w:t xml:space="preserve">ridiculous outcomes.  For instance, localities are contemplating such things as network design and performance, </w:t>
      </w:r>
      <w:r w:rsidR="00283146">
        <w:t>including</w:t>
      </w:r>
      <w:r w:rsidR="004B33A6">
        <w:t xml:space="preserve"> inserting their judgment as to</w:t>
      </w:r>
      <w:r w:rsidR="00283146">
        <w:t xml:space="preserve"> whether a macro or small cell should be used to cover an area; </w:t>
      </w:r>
      <w:r w:rsidR="004B33A6">
        <w:t>equipment placement;</w:t>
      </w:r>
      <w:r>
        <w:t xml:space="preserve"> and </w:t>
      </w:r>
      <w:r w:rsidR="00B77FFB">
        <w:t>radiofrequency (</w:t>
      </w:r>
      <w:r>
        <w:t>RF</w:t>
      </w:r>
      <w:r w:rsidR="00B77FFB">
        <w:t>)</w:t>
      </w:r>
      <w:r>
        <w:t xml:space="preserve"> exposure issues.</w:t>
      </w:r>
      <w:r w:rsidR="00357835">
        <w:rPr>
          <w:rStyle w:val="FootnoteReference"/>
        </w:rPr>
        <w:footnoteReference w:id="14"/>
      </w:r>
      <w:r>
        <w:t xml:space="preserve">  I have heard of </w:t>
      </w:r>
      <w:r w:rsidR="006F02DE">
        <w:t>local</w:t>
      </w:r>
      <w:r w:rsidR="005621A9">
        <w:t>iti</w:t>
      </w:r>
      <w:r w:rsidR="006F02DE">
        <w:t xml:space="preserve">es denying </w:t>
      </w:r>
      <w:r w:rsidR="002E23AE">
        <w:t>applications</w:t>
      </w:r>
      <w:r w:rsidR="00752748">
        <w:t xml:space="preserve"> </w:t>
      </w:r>
      <w:r w:rsidR="00EF019E">
        <w:t xml:space="preserve">for </w:t>
      </w:r>
      <w:r w:rsidR="006F02DE">
        <w:t xml:space="preserve">infrastructure upgrades, </w:t>
      </w:r>
      <w:r w:rsidR="002E23AE">
        <w:t xml:space="preserve">because </w:t>
      </w:r>
      <w:r>
        <w:t xml:space="preserve">the provider </w:t>
      </w:r>
      <w:r w:rsidR="001E7CFD">
        <w:t xml:space="preserve">offers existing </w:t>
      </w:r>
      <w:r>
        <w:t>service</w:t>
      </w:r>
      <w:r w:rsidR="00D6558F">
        <w:t xml:space="preserve"> and</w:t>
      </w:r>
      <w:r w:rsidR="000E186D">
        <w:t>, therefore,</w:t>
      </w:r>
      <w:r w:rsidR="00D6558F">
        <w:t xml:space="preserve"> </w:t>
      </w:r>
      <w:r w:rsidR="00765276">
        <w:t>additional</w:t>
      </w:r>
      <w:r>
        <w:t xml:space="preserve"> </w:t>
      </w:r>
      <w:r w:rsidR="00BB558F">
        <w:t>facilities are deemed unnecessary</w:t>
      </w:r>
      <w:r w:rsidR="00CC5147">
        <w:t>.</w:t>
      </w:r>
      <w:r w:rsidR="004728E5">
        <w:t xml:space="preserve">  </w:t>
      </w:r>
      <w:r>
        <w:t>Some even go so far a</w:t>
      </w:r>
      <w:r w:rsidR="0062647E">
        <w:t xml:space="preserve">s saying that </w:t>
      </w:r>
      <w:r w:rsidR="00384231">
        <w:t xml:space="preserve">the infrastructure </w:t>
      </w:r>
      <w:r w:rsidR="0062647E">
        <w:t>should</w:t>
      </w:r>
      <w:r>
        <w:t xml:space="preserve"> be located underground, as if that would ever work for wireless services.  </w:t>
      </w:r>
      <w:r w:rsidR="001B6C70">
        <w:t>L</w:t>
      </w:r>
      <w:r>
        <w:t xml:space="preserve">ocalities </w:t>
      </w:r>
      <w:r w:rsidR="001B6C70">
        <w:t xml:space="preserve">should not be making such </w:t>
      </w:r>
      <w:r w:rsidR="001E6483">
        <w:t>decisions</w:t>
      </w:r>
      <w:r w:rsidR="00AC32DA">
        <w:t>, and, in fact, they are expressly prohibited</w:t>
      </w:r>
      <w:r w:rsidR="00351FB3">
        <w:t>,</w:t>
      </w:r>
      <w:r w:rsidR="00AC32DA">
        <w:t xml:space="preserve"> </w:t>
      </w:r>
      <w:r w:rsidR="00351FB3">
        <w:t xml:space="preserve">under the law, </w:t>
      </w:r>
      <w:r w:rsidR="00AC32DA">
        <w:t>from basing decisions</w:t>
      </w:r>
      <w:r w:rsidR="006D0729">
        <w:t xml:space="preserve"> </w:t>
      </w:r>
      <w:r w:rsidR="00BD3AA1">
        <w:t>o</w:t>
      </w:r>
      <w:r w:rsidR="006D0729">
        <w:t>n</w:t>
      </w:r>
      <w:r w:rsidR="00BD3AA1">
        <w:t xml:space="preserve"> </w:t>
      </w:r>
      <w:r w:rsidR="006D0729">
        <w:t>RF exposure</w:t>
      </w:r>
      <w:r>
        <w:t>.</w:t>
      </w:r>
      <w:r w:rsidR="001E7CFD">
        <w:t xml:space="preserve">  </w:t>
      </w:r>
    </w:p>
    <w:p w14:paraId="50D905A7" w14:textId="77777777" w:rsidR="00EE7F1B" w:rsidRDefault="00EE7F1B" w:rsidP="00795343"/>
    <w:p w14:paraId="30BAB195" w14:textId="40ABF047" w:rsidR="00EE7F1B" w:rsidRDefault="00EA4646" w:rsidP="00795343">
      <w:r>
        <w:t>These are</w:t>
      </w:r>
      <w:r w:rsidR="00CA0ACE">
        <w:t xml:space="preserve"> not</w:t>
      </w:r>
      <w:r>
        <w:t xml:space="preserve"> acceptable response</w:t>
      </w:r>
      <w:r w:rsidR="00CA0ACE">
        <w:t>s to new small cell technologies</w:t>
      </w:r>
      <w:r>
        <w:t xml:space="preserve"> that nee</w:t>
      </w:r>
      <w:r w:rsidR="00CA0ACE">
        <w:t>d</w:t>
      </w:r>
      <w:r>
        <w:t xml:space="preserve"> to be deployed for the U.S. t</w:t>
      </w:r>
      <w:r w:rsidR="00CA69B8">
        <w:t>o maintain its position as the</w:t>
      </w:r>
      <w:r w:rsidR="00C37037">
        <w:t xml:space="preserve"> </w:t>
      </w:r>
      <w:r>
        <w:t>leader</w:t>
      </w:r>
      <w:r w:rsidR="00C37037">
        <w:t xml:space="preserve"> in wireless communications</w:t>
      </w:r>
      <w:r>
        <w:t xml:space="preserve">.  </w:t>
      </w:r>
      <w:r w:rsidR="006D77CC">
        <w:t>T</w:t>
      </w:r>
      <w:r w:rsidR="0062647E">
        <w:t>he Commission should</w:t>
      </w:r>
      <w:r w:rsidR="00E510BD">
        <w:t xml:space="preserve"> clarify that such behavior </w:t>
      </w:r>
      <w:r w:rsidR="0023700C">
        <w:t>is not consistent with</w:t>
      </w:r>
      <w:r w:rsidR="00EE7F1B">
        <w:t xml:space="preserve"> the Communications Act</w:t>
      </w:r>
      <w:r w:rsidR="0023700C">
        <w:t>, which</w:t>
      </w:r>
      <w:r w:rsidR="00EE7F1B">
        <w:t xml:space="preserve"> clearly </w:t>
      </w:r>
      <w:r w:rsidR="00D84183">
        <w:t xml:space="preserve">reads </w:t>
      </w:r>
      <w:r w:rsidR="00EE7F1B">
        <w:t xml:space="preserve">that </w:t>
      </w:r>
      <w:r w:rsidR="001F458E">
        <w:t>state and local regulations</w:t>
      </w:r>
      <w:r w:rsidR="00EE7F1B">
        <w:t xml:space="preserve"> may </w:t>
      </w:r>
      <w:r w:rsidR="00F8008B">
        <w:t>not “</w:t>
      </w:r>
      <w:r w:rsidR="00EE7F1B">
        <w:t>have the effect of prohibiting the ability of any entity to provide any interstate or intr</w:t>
      </w:r>
      <w:r w:rsidR="00041442">
        <w:t>a</w:t>
      </w:r>
      <w:r w:rsidR="00EE7F1B">
        <w:t>state telecommunications service.”</w:t>
      </w:r>
      <w:r w:rsidR="003737D0">
        <w:rPr>
          <w:rStyle w:val="FootnoteReference"/>
        </w:rPr>
        <w:footnoteReference w:id="15"/>
      </w:r>
      <w:r w:rsidR="00EE7F1B">
        <w:t xml:space="preserve">  </w:t>
      </w:r>
      <w:r w:rsidR="00960D45">
        <w:t>It should also be clear</w:t>
      </w:r>
      <w:r w:rsidR="00C86529">
        <w:t xml:space="preserve"> that</w:t>
      </w:r>
      <w:r w:rsidR="000B3687" w:rsidRPr="000B3687">
        <w:t xml:space="preserve"> </w:t>
      </w:r>
      <w:r w:rsidR="00533D55">
        <w:t>dictating provider</w:t>
      </w:r>
      <w:r w:rsidR="000B3687">
        <w:t>s</w:t>
      </w:r>
      <w:r w:rsidR="00533D55">
        <w:t>’</w:t>
      </w:r>
      <w:r w:rsidR="000B3687">
        <w:t xml:space="preserve"> technologies and network design does not fall within </w:t>
      </w:r>
      <w:r w:rsidR="003B6364">
        <w:t xml:space="preserve">their authority to </w:t>
      </w:r>
      <w:r w:rsidR="000B3687">
        <w:t>manag</w:t>
      </w:r>
      <w:r w:rsidR="00DE5477">
        <w:t>e</w:t>
      </w:r>
      <w:r w:rsidR="000B3687">
        <w:t xml:space="preserve"> their public rights of way</w:t>
      </w:r>
      <w:r w:rsidR="0094726E">
        <w:t xml:space="preserve">.  </w:t>
      </w:r>
      <w:r w:rsidR="00D31F89">
        <w:t xml:space="preserve">And if this </w:t>
      </w:r>
      <w:r w:rsidR="0016579E">
        <w:t>is not resolved quickly and satisfactorily</w:t>
      </w:r>
      <w:r w:rsidR="00D31F89">
        <w:t xml:space="preserve">, the Commission </w:t>
      </w:r>
      <w:r w:rsidR="0016579E">
        <w:t xml:space="preserve">must be willing to </w:t>
      </w:r>
      <w:r w:rsidR="00D31F89">
        <w:t>use its preemption authority.</w:t>
      </w:r>
      <w:r w:rsidR="00506177">
        <w:rPr>
          <w:rStyle w:val="FootnoteReference"/>
        </w:rPr>
        <w:footnoteReference w:id="16"/>
      </w:r>
      <w:r w:rsidR="00D31F89">
        <w:t xml:space="preserve">  </w:t>
      </w:r>
    </w:p>
    <w:p w14:paraId="053B79C6" w14:textId="77777777" w:rsidR="0047651D" w:rsidRDefault="0047651D" w:rsidP="00795343"/>
    <w:p w14:paraId="55BB4FD5" w14:textId="5BB7F47C" w:rsidR="003F7B1C" w:rsidRDefault="001355F6" w:rsidP="00795343">
      <w:r>
        <w:t xml:space="preserve">It is also hard to argue that the excessive </w:t>
      </w:r>
      <w:r w:rsidR="004D36F6">
        <w:t>fees</w:t>
      </w:r>
      <w:r>
        <w:t xml:space="preserve"> c</w:t>
      </w:r>
      <w:r w:rsidR="004D36F6">
        <w:t xml:space="preserve">harged are </w:t>
      </w:r>
      <w:r w:rsidR="000C460A">
        <w:t xml:space="preserve">fair and </w:t>
      </w:r>
      <w:r w:rsidR="004D36F6">
        <w:t>reasonable compensation for the u</w:t>
      </w:r>
      <w:r w:rsidR="00C51F2C">
        <w:t>se of the public rights of way</w:t>
      </w:r>
      <w:r w:rsidR="003F7B1C">
        <w:t>.</w:t>
      </w:r>
      <w:r w:rsidR="00506177">
        <w:rPr>
          <w:rStyle w:val="FootnoteReference"/>
        </w:rPr>
        <w:footnoteReference w:id="17"/>
      </w:r>
      <w:r w:rsidR="003F7B1C">
        <w:t xml:space="preserve">  </w:t>
      </w:r>
      <w:r w:rsidR="00DE712D">
        <w:t xml:space="preserve">Fees </w:t>
      </w:r>
      <w:r w:rsidR="00D84183">
        <w:t xml:space="preserve">typically </w:t>
      </w:r>
      <w:r w:rsidR="00DE712D">
        <w:t xml:space="preserve">include </w:t>
      </w:r>
      <w:r w:rsidR="00E52D83">
        <w:t>a</w:t>
      </w:r>
      <w:r w:rsidR="00D84183">
        <w:t xml:space="preserve">n </w:t>
      </w:r>
      <w:r w:rsidR="00506177">
        <w:t>exorbitant</w:t>
      </w:r>
      <w:r w:rsidR="00E52D83">
        <w:t xml:space="preserve"> one-</w:t>
      </w:r>
      <w:r w:rsidR="00CE2905">
        <w:t xml:space="preserve">time payment </w:t>
      </w:r>
      <w:r w:rsidR="00C51F2C">
        <w:t>–</w:t>
      </w:r>
      <w:r w:rsidR="00C44EBD">
        <w:t xml:space="preserve"> </w:t>
      </w:r>
      <w:r w:rsidR="0016579E">
        <w:t xml:space="preserve">we have seen some localities charge </w:t>
      </w:r>
      <w:r w:rsidR="00C51F2C">
        <w:t xml:space="preserve">as </w:t>
      </w:r>
      <w:r w:rsidR="00AF3911">
        <w:t xml:space="preserve">much </w:t>
      </w:r>
      <w:r w:rsidR="00DE712D">
        <w:t>as $5</w:t>
      </w:r>
      <w:r w:rsidR="00FB1E8F">
        <w:t>,</w:t>
      </w:r>
      <w:r w:rsidR="00DE712D">
        <w:t>000 or $10</w:t>
      </w:r>
      <w:r w:rsidR="00C51F2C">
        <w:t>,</w:t>
      </w:r>
      <w:r w:rsidR="00DE712D">
        <w:t>000</w:t>
      </w:r>
      <w:r w:rsidR="008D2EA0">
        <w:t xml:space="preserve"> per site</w:t>
      </w:r>
      <w:r w:rsidR="00025770">
        <w:t xml:space="preserve"> – to </w:t>
      </w:r>
      <w:r w:rsidR="00DE712D">
        <w:t>review antenna structure applicatio</w:t>
      </w:r>
      <w:r w:rsidR="008D2EA0">
        <w:t>ns and agreements</w:t>
      </w:r>
      <w:r w:rsidR="00FB6608">
        <w:t>.</w:t>
      </w:r>
      <w:r w:rsidR="00596C81">
        <w:rPr>
          <w:rStyle w:val="FootnoteReference"/>
        </w:rPr>
        <w:footnoteReference w:id="18"/>
      </w:r>
      <w:r w:rsidR="00FB6608">
        <w:t xml:space="preserve">  Some l</w:t>
      </w:r>
      <w:r w:rsidR="008D2EA0">
        <w:t>ocalities also charge for the consultants</w:t>
      </w:r>
      <w:r w:rsidR="00FB6608">
        <w:t xml:space="preserve"> review</w:t>
      </w:r>
      <w:r w:rsidR="0074612C">
        <w:t xml:space="preserve">ing siting </w:t>
      </w:r>
      <w:r w:rsidR="00235C66">
        <w:t>applications, which can be</w:t>
      </w:r>
      <w:r w:rsidR="00FB6608">
        <w:t xml:space="preserve"> </w:t>
      </w:r>
      <w:r w:rsidR="00235C66">
        <w:t>$8,500 per pole with additional</w:t>
      </w:r>
      <w:r w:rsidR="00FB6608">
        <w:t xml:space="preserve"> inspection fees after installation.</w:t>
      </w:r>
      <w:r w:rsidR="00FB1E8F">
        <w:rPr>
          <w:rStyle w:val="FootnoteReference"/>
        </w:rPr>
        <w:footnoteReference w:id="19"/>
      </w:r>
      <w:r w:rsidR="0074612C">
        <w:t xml:space="preserve"> </w:t>
      </w:r>
      <w:r w:rsidR="0016579E">
        <w:t xml:space="preserve"> </w:t>
      </w:r>
      <w:r w:rsidR="00FB6608">
        <w:t xml:space="preserve">Some </w:t>
      </w:r>
      <w:r w:rsidR="0074612C">
        <w:t xml:space="preserve">also charge </w:t>
      </w:r>
      <w:r w:rsidR="00235C66">
        <w:t>recurring yearly fees</w:t>
      </w:r>
      <w:r w:rsidR="006E4238">
        <w:t xml:space="preserve"> </w:t>
      </w:r>
      <w:r w:rsidR="00DE712D">
        <w:t xml:space="preserve">of $6000 </w:t>
      </w:r>
      <w:r w:rsidR="004E6040">
        <w:t>per pole,</w:t>
      </w:r>
      <w:r w:rsidR="006E4238">
        <w:t xml:space="preserve"> while others</w:t>
      </w:r>
      <w:r w:rsidR="00940BFB">
        <w:t xml:space="preserve"> take</w:t>
      </w:r>
      <w:r w:rsidR="00FB6608">
        <w:t xml:space="preserve"> a percentage of gross revenues</w:t>
      </w:r>
      <w:r w:rsidR="00C44EBD">
        <w:t>.</w:t>
      </w:r>
      <w:r w:rsidR="00FB1E8F">
        <w:rPr>
          <w:rStyle w:val="FootnoteReference"/>
        </w:rPr>
        <w:footnoteReference w:id="20"/>
      </w:r>
      <w:r w:rsidR="00C44EBD">
        <w:t xml:space="preserve">  </w:t>
      </w:r>
      <w:r w:rsidR="0016579E">
        <w:t>But this entire fee structure does not add up for</w:t>
      </w:r>
      <w:r w:rsidR="00E7093F">
        <w:t xml:space="preserve"> small cell system</w:t>
      </w:r>
      <w:r w:rsidR="00C44EBD">
        <w:t>s that</w:t>
      </w:r>
      <w:r w:rsidR="00E7093F">
        <w:t xml:space="preserve"> can </w:t>
      </w:r>
      <w:r w:rsidR="006D2940">
        <w:t xml:space="preserve">require a site every few blocks.  </w:t>
      </w:r>
      <w:r w:rsidR="0016579E">
        <w:t>There needs to be a declaration that f</w:t>
      </w:r>
      <w:r w:rsidR="006D2940">
        <w:t xml:space="preserve">ees similar to those imposed on macro towers are not appropriate or </w:t>
      </w:r>
      <w:r w:rsidR="006950A3">
        <w:t xml:space="preserve">sustainable for small cell networks. </w:t>
      </w:r>
    </w:p>
    <w:p w14:paraId="7187A40A" w14:textId="77777777" w:rsidR="00B826AE" w:rsidRDefault="00B826AE" w:rsidP="00795343"/>
    <w:p w14:paraId="4EDAC0B0" w14:textId="77777777" w:rsidR="0017603F" w:rsidRPr="00FB016F" w:rsidRDefault="0017603F" w:rsidP="0017603F">
      <w:pPr>
        <w:rPr>
          <w:i/>
        </w:rPr>
      </w:pPr>
      <w:r w:rsidRPr="00FB016F">
        <w:rPr>
          <w:i/>
        </w:rPr>
        <w:t>Tribal Review Process</w:t>
      </w:r>
    </w:p>
    <w:p w14:paraId="391EF9B4" w14:textId="77777777" w:rsidR="0017603F" w:rsidRDefault="0017603F" w:rsidP="0017603F"/>
    <w:p w14:paraId="745E3917" w14:textId="1D7576BE" w:rsidR="0017603F" w:rsidRDefault="00512CC9" w:rsidP="0017603F">
      <w:r>
        <w:t xml:space="preserve">The </w:t>
      </w:r>
      <w:r w:rsidR="0017603F">
        <w:t>problems</w:t>
      </w:r>
      <w:r w:rsidR="00D84183">
        <w:t xml:space="preserve"> I just discussed</w:t>
      </w:r>
      <w:r w:rsidR="0017603F">
        <w:t xml:space="preserve"> are </w:t>
      </w:r>
      <w:r>
        <w:t>c</w:t>
      </w:r>
      <w:r w:rsidR="0017603F">
        <w:t>ompounded by the</w:t>
      </w:r>
      <w:r w:rsidR="00F354A3">
        <w:t xml:space="preserve"> escalating</w:t>
      </w:r>
      <w:r w:rsidR="0017603F">
        <w:t xml:space="preserve"> </w:t>
      </w:r>
      <w:r w:rsidR="00F354A3">
        <w:t xml:space="preserve">costs of the </w:t>
      </w:r>
      <w:r w:rsidR="0017603F">
        <w:t xml:space="preserve">tribal approval process.  One provider reports that, in 2011, they were paying an average of $439 in tribal review fees per site, and now they pay on average $6754.  </w:t>
      </w:r>
      <w:r w:rsidR="00351FB3">
        <w:t xml:space="preserve">That’s almost a 1500 percent increase.  </w:t>
      </w:r>
      <w:r w:rsidR="0017603F">
        <w:t xml:space="preserve">And, more tribes have been expressing interest.  For instance, 19 tribes </w:t>
      </w:r>
      <w:r w:rsidR="00EA6866">
        <w:t xml:space="preserve">responded </w:t>
      </w:r>
      <w:r w:rsidR="0017603F">
        <w:t xml:space="preserve">to an application to add </w:t>
      </w:r>
      <w:r w:rsidR="00EA6866">
        <w:t>an</w:t>
      </w:r>
      <w:r w:rsidR="0017603F">
        <w:t xml:space="preserve"> antenna to a building in Cleveland and 39 tribes, of which 27 demanded fees, wanted to review sites in suburban Chicago.</w:t>
      </w:r>
      <w:r w:rsidR="0017603F" w:rsidRPr="00E27BD3">
        <w:t xml:space="preserve"> </w:t>
      </w:r>
      <w:r w:rsidR="0017603F">
        <w:t xml:space="preserve"> This is not economically sustainable.  Further, tribes are receiving</w:t>
      </w:r>
      <w:r w:rsidR="00990A31">
        <w:t xml:space="preserve"> the</w:t>
      </w:r>
      <w:r w:rsidR="0017603F">
        <w:t xml:space="preserve"> payments, but then never respond as to whether there is actual concern, causing endless delays.</w:t>
      </w:r>
    </w:p>
    <w:p w14:paraId="3939EF79" w14:textId="77777777" w:rsidR="00BE1260" w:rsidRDefault="00BE1260" w:rsidP="0017603F"/>
    <w:p w14:paraId="1BB5779B" w14:textId="5D35671D" w:rsidR="00BE1260" w:rsidRDefault="0017603F" w:rsidP="00BE1260">
      <w:r>
        <w:t>Once again, I understand that the majority of tribes are acting in good faith but, if the others do not act reasonably, the Commission will need to look at more drastic alternatives.</w:t>
      </w:r>
      <w:r w:rsidR="00CF6985">
        <w:t xml:space="preserve">  </w:t>
      </w:r>
      <w:r w:rsidR="00BE1260">
        <w:t xml:space="preserve">I have a number of ideas on how best to effectuate change if needed, and I plan to review recent comments in the record and forge a </w:t>
      </w:r>
      <w:r w:rsidR="00D84183">
        <w:t>proposal</w:t>
      </w:r>
      <w:r w:rsidR="00BE1260">
        <w:t xml:space="preserve">, in consultation with the Chairman on the topic, in the very near future.  I will certainly welcome your thoughts on the matter.  </w:t>
      </w:r>
    </w:p>
    <w:p w14:paraId="2E0B5F33" w14:textId="61A1276C" w:rsidR="007B14B9" w:rsidRDefault="007B14B9" w:rsidP="00D0416E"/>
    <w:p w14:paraId="3F4F0FCB" w14:textId="77777777" w:rsidR="00EA6866" w:rsidRDefault="00EA6866" w:rsidP="00EA6866">
      <w:pPr>
        <w:jc w:val="center"/>
      </w:pPr>
      <w:r>
        <w:t>*             *             *</w:t>
      </w:r>
    </w:p>
    <w:p w14:paraId="571DAEFE" w14:textId="77777777" w:rsidR="00EA6866" w:rsidRDefault="00EA6866" w:rsidP="00EA6866"/>
    <w:p w14:paraId="28CF34B8" w14:textId="77777777" w:rsidR="00EA6866" w:rsidRDefault="00EA6866" w:rsidP="00EA6866">
      <w:r>
        <w:t>So, there you have my take on a number of critical issues at the FCC.  While I may not have mentioned your favorite policy issue or topic, please do not take it as an indication that I am not supportive of fixing those as well, whatever they may be.  But, I’ve only been provided so much time!</w:t>
      </w:r>
    </w:p>
    <w:p w14:paraId="302646A5" w14:textId="77777777" w:rsidR="00EA6866" w:rsidRDefault="00EA6866" w:rsidP="00EA6866"/>
    <w:p w14:paraId="4770EC93" w14:textId="77777777" w:rsidR="00EA6866" w:rsidRDefault="00EA6866" w:rsidP="00EA6866">
      <w:r>
        <w:t xml:space="preserve">Before I exit, I think it is important to acknowledge the excellent participants for your next panel for all of their hard work within WIA and to bring wireless broadband to our nation: Stephen Marshall from American Tower, Jay Brown from Crown Castle, Jeffrey Stoops from SBA Communications, Alexander Gellman from Vertical Bridge, and David Weisman from InSite Wireless.  </w:t>
      </w:r>
    </w:p>
    <w:p w14:paraId="5230ABED" w14:textId="77777777" w:rsidR="00EA6866" w:rsidRDefault="00EA6866" w:rsidP="00EA6866"/>
    <w:p w14:paraId="6372FEFB" w14:textId="64C1B427" w:rsidR="001F7B5A" w:rsidRDefault="00EA6866" w:rsidP="00453838">
      <w:r>
        <w:t>Thank you very much</w:t>
      </w:r>
      <w:r w:rsidR="00D84183">
        <w:t xml:space="preserve"> to the upcoming panel.  And, thank you so much for having me join your conference today</w:t>
      </w:r>
      <w:r>
        <w:t>.</w:t>
      </w:r>
      <w:r w:rsidR="00D84183">
        <w:t xml:space="preserve">  I’m happy to take a few questions, time permitting.</w:t>
      </w:r>
    </w:p>
    <w:sectPr w:rsidR="001F7B5A" w:rsidSect="00D8725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74080" w14:textId="77777777" w:rsidR="009A1024" w:rsidRDefault="009A1024" w:rsidP="0068365B">
      <w:r>
        <w:separator/>
      </w:r>
    </w:p>
  </w:endnote>
  <w:endnote w:type="continuationSeparator" w:id="0">
    <w:p w14:paraId="1645FB01" w14:textId="77777777" w:rsidR="009A1024" w:rsidRDefault="009A1024" w:rsidP="0068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674CD" w14:textId="77777777" w:rsidR="00FB2F02" w:rsidRDefault="00FB2F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051452"/>
      <w:docPartObj>
        <w:docPartGallery w:val="Page Numbers (Bottom of Page)"/>
        <w:docPartUnique/>
      </w:docPartObj>
    </w:sdtPr>
    <w:sdtEndPr>
      <w:rPr>
        <w:noProof/>
      </w:rPr>
    </w:sdtEndPr>
    <w:sdtContent>
      <w:p w14:paraId="10FC345F" w14:textId="36A56624" w:rsidR="00D8725F" w:rsidRDefault="00D8725F">
        <w:pPr>
          <w:pStyle w:val="Footer"/>
          <w:jc w:val="center"/>
        </w:pPr>
        <w:r>
          <w:fldChar w:fldCharType="begin"/>
        </w:r>
        <w:r>
          <w:instrText xml:space="preserve"> PAGE   \* MERGEFORMAT </w:instrText>
        </w:r>
        <w:r>
          <w:fldChar w:fldCharType="separate"/>
        </w:r>
        <w:r w:rsidR="00C22DAE">
          <w:rPr>
            <w:noProof/>
          </w:rPr>
          <w:t>2</w:t>
        </w:r>
        <w:r>
          <w:rPr>
            <w:noProof/>
          </w:rPr>
          <w:fldChar w:fldCharType="end"/>
        </w:r>
      </w:p>
    </w:sdtContent>
  </w:sdt>
  <w:p w14:paraId="5B805ACD" w14:textId="77777777" w:rsidR="00D8725F" w:rsidRDefault="00D872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6C3C8" w14:textId="77777777" w:rsidR="00FB2F02" w:rsidRDefault="00FB2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74239" w14:textId="77777777" w:rsidR="009A1024" w:rsidRDefault="009A1024" w:rsidP="0068365B">
      <w:r>
        <w:separator/>
      </w:r>
    </w:p>
  </w:footnote>
  <w:footnote w:type="continuationSeparator" w:id="0">
    <w:p w14:paraId="5AA86AC5" w14:textId="77777777" w:rsidR="009A1024" w:rsidRDefault="009A1024" w:rsidP="0068365B">
      <w:r>
        <w:continuationSeparator/>
      </w:r>
    </w:p>
  </w:footnote>
  <w:footnote w:id="1">
    <w:p w14:paraId="33D6C5D0" w14:textId="182FFFE4" w:rsidR="007B464D" w:rsidRDefault="007B464D" w:rsidP="002A0D49">
      <w:pPr>
        <w:pStyle w:val="FootnoteText"/>
        <w:spacing w:after="120"/>
      </w:pPr>
      <w:r>
        <w:rPr>
          <w:rStyle w:val="FootnoteReference"/>
        </w:rPr>
        <w:footnoteRef/>
      </w:r>
      <w:r>
        <w:t xml:space="preserve"> Letter from Brian Josef, Assistant Vice President, Regulatory Affairs, CTIA, and D. Zachary Champ, Director, Government Affairs, PCIA, to Chad Breckinridge, Associate Chief, Wireless Telecommunications Bureau, Federal Communications Commission, June 4, 2015.</w:t>
      </w:r>
    </w:p>
  </w:footnote>
  <w:footnote w:id="2">
    <w:p w14:paraId="1FB4A29D" w14:textId="3A3EA10D" w:rsidR="007B464D" w:rsidRDefault="007B464D" w:rsidP="002A0D49">
      <w:pPr>
        <w:pStyle w:val="FootnoteText"/>
        <w:spacing w:after="120"/>
      </w:pPr>
      <w:r>
        <w:rPr>
          <w:rStyle w:val="FootnoteReference"/>
        </w:rPr>
        <w:footnoteRef/>
      </w:r>
      <w:r>
        <w:t xml:space="preserve"> </w:t>
      </w:r>
      <w:r w:rsidRPr="00402C2D">
        <w:rPr>
          <w:i/>
        </w:rPr>
        <w:t>Id</w:t>
      </w:r>
      <w:r>
        <w:t>.</w:t>
      </w:r>
    </w:p>
  </w:footnote>
  <w:footnote w:id="3">
    <w:p w14:paraId="39412612" w14:textId="78740254" w:rsidR="007B464D" w:rsidRDefault="007B464D" w:rsidP="002A0D49">
      <w:pPr>
        <w:pStyle w:val="FootnoteText"/>
        <w:spacing w:after="120"/>
      </w:pPr>
      <w:r>
        <w:rPr>
          <w:rStyle w:val="FootnoteReference"/>
        </w:rPr>
        <w:footnoteRef/>
      </w:r>
      <w:r>
        <w:t xml:space="preserve"> </w:t>
      </w:r>
      <w:r w:rsidRPr="004816F5">
        <w:rPr>
          <w:i/>
        </w:rPr>
        <w:t>Accelerating Wireless Broadband Deployment by Removing Barriers to Infrastructure Investment</w:t>
      </w:r>
      <w:r>
        <w:t>, Notice of Proposed Rulemaking and Notice of Inquiry, WT Docket No. 17-79, FCC 17-38 (Apr. 21, 2017)</w:t>
      </w:r>
      <w:r w:rsidR="004816F5">
        <w:t xml:space="preserve"> (“</w:t>
      </w:r>
      <w:r w:rsidR="004816F5" w:rsidRPr="004816F5">
        <w:rPr>
          <w:i/>
        </w:rPr>
        <w:t>Wireless Infrastructure Notice</w:t>
      </w:r>
      <w:r w:rsidR="004816F5">
        <w:t>”)</w:t>
      </w:r>
      <w:r>
        <w:t>.</w:t>
      </w:r>
    </w:p>
  </w:footnote>
  <w:footnote w:id="4">
    <w:p w14:paraId="3D356FB1" w14:textId="7204D280" w:rsidR="00CA4855" w:rsidRDefault="00CA4855" w:rsidP="002A0D49">
      <w:pPr>
        <w:pStyle w:val="FootnoteText"/>
        <w:spacing w:after="120"/>
      </w:pPr>
      <w:r>
        <w:rPr>
          <w:rStyle w:val="FootnoteReference"/>
        </w:rPr>
        <w:footnoteRef/>
      </w:r>
      <w:r>
        <w:t xml:space="preserve"> </w:t>
      </w:r>
      <w:r w:rsidRPr="004816F5">
        <w:rPr>
          <w:i/>
        </w:rPr>
        <w:t>Id</w:t>
      </w:r>
      <w:r>
        <w:t>. ¶ 84.</w:t>
      </w:r>
    </w:p>
  </w:footnote>
  <w:footnote w:id="5">
    <w:p w14:paraId="7FA3860E" w14:textId="6E6DC70D" w:rsidR="00CA4855" w:rsidRDefault="00CA4855" w:rsidP="002A0D49">
      <w:pPr>
        <w:pStyle w:val="FootnoteText"/>
        <w:spacing w:after="120"/>
      </w:pPr>
      <w:r>
        <w:rPr>
          <w:rStyle w:val="FootnoteReference"/>
        </w:rPr>
        <w:footnoteRef/>
      </w:r>
      <w:r>
        <w:t xml:space="preserve"> </w:t>
      </w:r>
      <w:r w:rsidRPr="00B56272">
        <w:rPr>
          <w:i/>
        </w:rPr>
        <w:t>2004 and 2006 Biennial Regulatory Reviews – Streamlining and Other Revisions of Parts 1 and 17 of the Commission’s Rules Governing Construction, Marking and Lighting of Antenna Structures</w:t>
      </w:r>
      <w:r>
        <w:t xml:space="preserve">, </w:t>
      </w:r>
      <w:r w:rsidRPr="00E62FF7">
        <w:t>WT Docket No. 10-88</w:t>
      </w:r>
      <w:r>
        <w:t>, Report and Order, 29 FCC Rcd 9787 (2014).</w:t>
      </w:r>
    </w:p>
  </w:footnote>
  <w:footnote w:id="6">
    <w:p w14:paraId="3873E074" w14:textId="178D52A0" w:rsidR="00613FE1" w:rsidRDefault="00613FE1" w:rsidP="002A0D49">
      <w:pPr>
        <w:pStyle w:val="FootnoteText"/>
        <w:spacing w:after="120"/>
      </w:pPr>
      <w:r>
        <w:rPr>
          <w:rStyle w:val="FootnoteReference"/>
        </w:rPr>
        <w:footnoteRef/>
      </w:r>
      <w:r>
        <w:t xml:space="preserve"> FAA Extension, Safety and Security Act of 2016, Pub. L. No. 114-190, §</w:t>
      </w:r>
      <w:r w:rsidR="004816F5">
        <w:t xml:space="preserve"> </w:t>
      </w:r>
      <w:r>
        <w:t>2110</w:t>
      </w:r>
      <w:r w:rsidR="004816F5">
        <w:t>, 130 Stat. 615, 623-25</w:t>
      </w:r>
      <w:r>
        <w:t xml:space="preserve"> (2016).</w:t>
      </w:r>
    </w:p>
  </w:footnote>
  <w:footnote w:id="7">
    <w:p w14:paraId="5A8B5318" w14:textId="3D30E449" w:rsidR="00351FB3" w:rsidRDefault="00351FB3" w:rsidP="008B1CCE">
      <w:pPr>
        <w:pStyle w:val="FootnoteText"/>
        <w:spacing w:after="120"/>
      </w:pPr>
      <w:r>
        <w:rPr>
          <w:rStyle w:val="FootnoteReference"/>
        </w:rPr>
        <w:footnoteRef/>
      </w:r>
      <w:r>
        <w:t xml:space="preserve"> It is estimated that a tower needs to be repainted every five to seven years.</w:t>
      </w:r>
    </w:p>
  </w:footnote>
  <w:footnote w:id="8">
    <w:p w14:paraId="583FDD86" w14:textId="59076F46" w:rsidR="00402C2D" w:rsidRDefault="00402C2D" w:rsidP="002A0D49">
      <w:pPr>
        <w:pStyle w:val="FootnoteText"/>
        <w:spacing w:after="120"/>
      </w:pPr>
      <w:r>
        <w:rPr>
          <w:rStyle w:val="FootnoteReference"/>
        </w:rPr>
        <w:footnoteRef/>
      </w:r>
      <w:r>
        <w:t xml:space="preserve"> </w:t>
      </w:r>
      <w:r w:rsidRPr="00DF02B3">
        <w:rPr>
          <w:i/>
        </w:rPr>
        <w:t>See, e.g.,</w:t>
      </w:r>
      <w:r w:rsidR="00DF02B3">
        <w:t xml:space="preserve"> Special Investigation Report on the Safety of Agricultural Aircraft Operations,</w:t>
      </w:r>
      <w:r w:rsidR="00DF02B3" w:rsidRPr="00DF02B3">
        <w:t xml:space="preserve"> </w:t>
      </w:r>
      <w:r w:rsidR="008B02D6" w:rsidRPr="002A0D49">
        <w:t>https://www.ntsb.gov/safety/safety-studies/Pages/SIR1401.aspx</w:t>
      </w:r>
      <w:r w:rsidR="00DF02B3">
        <w:t xml:space="preserve"> (last visited May 22, 2017) (stating that, i</w:t>
      </w:r>
      <w:r>
        <w:t>n 2013, there were 78 small aircraft accidents of which only 16 involved an in-flight collision with an obstacle</w:t>
      </w:r>
      <w:r w:rsidR="00DF02B3">
        <w:t xml:space="preserve">; </w:t>
      </w:r>
      <w:r>
        <w:t>only 2 were with communications towers</w:t>
      </w:r>
      <w:r w:rsidR="00DF02B3">
        <w:t>, but</w:t>
      </w:r>
      <w:r>
        <w:t xml:space="preserve"> these numbers include obstacles known to the pilot</w:t>
      </w:r>
      <w:r w:rsidR="00DF02B3">
        <w:t>)</w:t>
      </w:r>
      <w:r>
        <w:t>.</w:t>
      </w:r>
    </w:p>
  </w:footnote>
  <w:footnote w:id="9">
    <w:p w14:paraId="041D655F" w14:textId="69FCA1B3" w:rsidR="00613FE1" w:rsidRDefault="00613FE1" w:rsidP="002A0D49">
      <w:pPr>
        <w:pStyle w:val="FootnoteText"/>
        <w:spacing w:after="120"/>
      </w:pPr>
      <w:r>
        <w:rPr>
          <w:rStyle w:val="FootnoteReference"/>
        </w:rPr>
        <w:footnoteRef/>
      </w:r>
      <w:r>
        <w:t xml:space="preserve"> </w:t>
      </w:r>
      <w:r w:rsidR="004816F5">
        <w:t>This number includes 30 stations that are changing bands, along with the 957 that are being repacked.</w:t>
      </w:r>
      <w:r w:rsidR="00CF22F2">
        <w:t xml:space="preserve">  See, e.g., Incentive Auction by the Numbers, </w:t>
      </w:r>
      <w:r w:rsidR="00650366" w:rsidRPr="00650366">
        <w:t>https://apps.fcc.gov/edocs_public/attachmatch/DOC-344398A1.pdf</w:t>
      </w:r>
      <w:r w:rsidR="00CF22F2">
        <w:t xml:space="preserve"> (stating 30 stations will be moving to high- or low-VHF)</w:t>
      </w:r>
      <w:r w:rsidR="004617A8">
        <w:t>; FCC Announces Results of World’s First Broadcast Incentive Auction, Press Release</w:t>
      </w:r>
      <w:r w:rsidR="00155E55">
        <w:t xml:space="preserve"> (Apr. 13, 2017), </w:t>
      </w:r>
      <w:r w:rsidR="00155E55" w:rsidRPr="00155E55">
        <w:t>https://apps.fcc.gov/edocs_public/attachmatch/DOC-344397A1.pdf</w:t>
      </w:r>
      <w:r w:rsidR="00CF22F2">
        <w:t>.</w:t>
      </w:r>
    </w:p>
  </w:footnote>
  <w:footnote w:id="10">
    <w:p w14:paraId="10622057" w14:textId="426DDD4A" w:rsidR="00650366" w:rsidRDefault="00650366" w:rsidP="002A0D49">
      <w:pPr>
        <w:pStyle w:val="FootnoteText"/>
        <w:spacing w:after="120"/>
      </w:pPr>
      <w:r>
        <w:rPr>
          <w:rStyle w:val="FootnoteReference"/>
        </w:rPr>
        <w:footnoteRef/>
      </w:r>
      <w:r>
        <w:t xml:space="preserve"> See, e.g., </w:t>
      </w:r>
      <w:r w:rsidR="008B02D6" w:rsidRPr="002A0D49">
        <w:rPr>
          <w:i/>
        </w:rPr>
        <w:t xml:space="preserve">Wireless Telecommunications Bureau Announces Execution of </w:t>
      </w:r>
      <w:r w:rsidRPr="002A0D49">
        <w:rPr>
          <w:i/>
        </w:rPr>
        <w:t>Amendment to Nationwide Programmatic Agreement for the Collocation of Wireless</w:t>
      </w:r>
      <w:r w:rsidR="008B02D6" w:rsidRPr="002A0D49">
        <w:rPr>
          <w:i/>
        </w:rPr>
        <w:t xml:space="preserve"> Antennas</w:t>
      </w:r>
      <w:r w:rsidR="008B02D6">
        <w:t>, WT Docket No. 15-180, Public Notice, 31 FCC Rcd 8824 (WTB 2016);</w:t>
      </w:r>
      <w:r w:rsidR="008B02D6" w:rsidRPr="008B02D6">
        <w:rPr>
          <w:i/>
        </w:rPr>
        <w:t xml:space="preserve"> </w:t>
      </w:r>
      <w:r w:rsidR="008B02D6" w:rsidRPr="00B56272">
        <w:rPr>
          <w:i/>
        </w:rPr>
        <w:t>Acceleration of Broadband Deployment by Improving Wireless Facilities Siting Policies; Acceleration of Broadband Deployment: Expanding the Reach and Reducing the Cost of Broadband Deployment by Improving Policies Regarding Public Rights of Way and Wireless Facilities Siting; 2012 Biennial Review of Telecommunications Regulations</w:t>
      </w:r>
      <w:r w:rsidR="008B02D6" w:rsidRPr="008703D1">
        <w:t>, WT Docket No. 13-238, Report and Order,</w:t>
      </w:r>
      <w:r w:rsidR="008B02D6">
        <w:t xml:space="preserve"> 29 FCC Rcd</w:t>
      </w:r>
      <w:r w:rsidR="008B02D6" w:rsidRPr="008703D1">
        <w:t xml:space="preserve"> 12865</w:t>
      </w:r>
      <w:r w:rsidR="008B02D6">
        <w:t xml:space="preserve"> (2014).</w:t>
      </w:r>
    </w:p>
  </w:footnote>
  <w:footnote w:id="11">
    <w:p w14:paraId="401CEE48" w14:textId="0D42610F" w:rsidR="004816F5" w:rsidRPr="004816F5" w:rsidRDefault="004816F5" w:rsidP="002A0D49">
      <w:pPr>
        <w:pStyle w:val="FootnoteText"/>
        <w:spacing w:after="120"/>
      </w:pPr>
      <w:r>
        <w:rPr>
          <w:rStyle w:val="FootnoteReference"/>
        </w:rPr>
        <w:footnoteRef/>
      </w:r>
      <w:r>
        <w:t xml:space="preserve"> </w:t>
      </w:r>
      <w:r w:rsidRPr="004816F5">
        <w:rPr>
          <w:i/>
        </w:rPr>
        <w:t>Wireless Infrastructure Notice</w:t>
      </w:r>
      <w:r>
        <w:t xml:space="preserve">, FCC 17-38; </w:t>
      </w:r>
      <w:r w:rsidRPr="004816F5">
        <w:rPr>
          <w:i/>
        </w:rPr>
        <w:t>Comment Sought on Streamlining Deployment of Small Cell Infrastructure by Improving Wireless Facilities Siting Policies; Mobilitie, LLC Petition for Declaratory Ruling</w:t>
      </w:r>
      <w:r>
        <w:t>, WT Docket No. 16-421, Public Notice, 31 FCC Rcd 13360 (2016).</w:t>
      </w:r>
    </w:p>
  </w:footnote>
  <w:footnote w:id="12">
    <w:p w14:paraId="4875FFC5" w14:textId="523D0342" w:rsidR="00B77FFB" w:rsidRDefault="00B77FFB" w:rsidP="002A0D49">
      <w:pPr>
        <w:pStyle w:val="FootnoteText"/>
        <w:spacing w:after="120"/>
      </w:pPr>
      <w:r>
        <w:rPr>
          <w:rStyle w:val="FootnoteReference"/>
        </w:rPr>
        <w:footnoteRef/>
      </w:r>
      <w:r>
        <w:t xml:space="preserve"> </w:t>
      </w:r>
      <w:r w:rsidR="00717E27" w:rsidRPr="00650366">
        <w:rPr>
          <w:i/>
        </w:rPr>
        <w:t>See, e.g.,</w:t>
      </w:r>
      <w:r w:rsidR="00717E27">
        <w:t xml:space="preserve"> T-Mobile Comments, WT Docket No. 16-421, at 6 (Mar. 8, 2017) (discussing prolonged pre-application agreement negotiations); WIA Reply Comments, WT Docket No. 16-421, at 5-6 (Apr. 7, 2017).</w:t>
      </w:r>
    </w:p>
  </w:footnote>
  <w:footnote w:id="13">
    <w:p w14:paraId="0A070D00" w14:textId="3C1807C0" w:rsidR="00357835" w:rsidRDefault="00357835" w:rsidP="002A0D49">
      <w:pPr>
        <w:pStyle w:val="FootnoteText"/>
        <w:spacing w:after="120"/>
      </w:pPr>
      <w:r>
        <w:rPr>
          <w:rStyle w:val="FootnoteReference"/>
        </w:rPr>
        <w:footnoteRef/>
      </w:r>
      <w:r>
        <w:t xml:space="preserve"> </w:t>
      </w:r>
      <w:r w:rsidR="00650366" w:rsidRPr="00650366">
        <w:rPr>
          <w:i/>
        </w:rPr>
        <w:t>See, e.g.,</w:t>
      </w:r>
      <w:r w:rsidR="00650366">
        <w:t xml:space="preserve"> </w:t>
      </w:r>
      <w:r w:rsidR="00717E27">
        <w:t>Verizon Comments</w:t>
      </w:r>
      <w:r w:rsidR="004617A8">
        <w:t>, WT Docket No. 16-421,</w:t>
      </w:r>
      <w:r w:rsidR="00717E27">
        <w:t xml:space="preserve"> at Exhibit A</w:t>
      </w:r>
      <w:r w:rsidR="004617A8">
        <w:t xml:space="preserve"> (Mar. 8, 2017)</w:t>
      </w:r>
      <w:r w:rsidR="00717E27">
        <w:t>.</w:t>
      </w:r>
    </w:p>
  </w:footnote>
  <w:footnote w:id="14">
    <w:p w14:paraId="10A1E9F8" w14:textId="5A40054C" w:rsidR="00357835" w:rsidRDefault="00357835" w:rsidP="002A0D49">
      <w:pPr>
        <w:pStyle w:val="FootnoteText"/>
        <w:spacing w:after="120"/>
      </w:pPr>
      <w:r>
        <w:rPr>
          <w:rStyle w:val="FootnoteReference"/>
        </w:rPr>
        <w:footnoteRef/>
      </w:r>
      <w:r>
        <w:t xml:space="preserve"> </w:t>
      </w:r>
      <w:r w:rsidR="00650366" w:rsidRPr="00650366">
        <w:rPr>
          <w:i/>
        </w:rPr>
        <w:t>See, e.g.,</w:t>
      </w:r>
      <w:r w:rsidR="00650366">
        <w:t xml:space="preserve"> </w:t>
      </w:r>
      <w:r w:rsidR="00AE2A17">
        <w:t xml:space="preserve">WIA Reply Comments at </w:t>
      </w:r>
      <w:r w:rsidR="001E6151">
        <w:t xml:space="preserve">6, </w:t>
      </w:r>
      <w:r w:rsidR="00AE2A17">
        <w:t>11-12.</w:t>
      </w:r>
    </w:p>
  </w:footnote>
  <w:footnote w:id="15">
    <w:p w14:paraId="4B974496" w14:textId="2C58C075" w:rsidR="003737D0" w:rsidRDefault="003737D0" w:rsidP="002A0D49">
      <w:pPr>
        <w:pStyle w:val="FootnoteText"/>
        <w:spacing w:after="120"/>
      </w:pPr>
      <w:r>
        <w:rPr>
          <w:rStyle w:val="FootnoteReference"/>
        </w:rPr>
        <w:footnoteRef/>
      </w:r>
      <w:r>
        <w:t xml:space="preserve"> </w:t>
      </w:r>
      <w:r w:rsidR="00277174">
        <w:t xml:space="preserve">47 U.S.C. § 253(a).  </w:t>
      </w:r>
      <w:r w:rsidR="00506E2A">
        <w:t xml:space="preserve">Section 332 similarly states that regulations </w:t>
      </w:r>
      <w:r w:rsidR="00277174">
        <w:t>“</w:t>
      </w:r>
      <w:r w:rsidR="00506E2A">
        <w:t>shall not prohibit</w:t>
      </w:r>
      <w:r w:rsidR="00D83F0D">
        <w:t xml:space="preserve"> or have the effect of prohibiting the provision of personal wireless services.</w:t>
      </w:r>
      <w:r w:rsidR="00277174">
        <w:t>”  47</w:t>
      </w:r>
      <w:r w:rsidR="00D83F0D">
        <w:t xml:space="preserve"> </w:t>
      </w:r>
      <w:r w:rsidR="00AE2A17">
        <w:t>U.S.C. §332(c)(7)(B)(i)(II).</w:t>
      </w:r>
    </w:p>
  </w:footnote>
  <w:footnote w:id="16">
    <w:p w14:paraId="1F2DAE89" w14:textId="7970EDA5" w:rsidR="00506177" w:rsidRDefault="00506177" w:rsidP="002A0D49">
      <w:pPr>
        <w:pStyle w:val="FootnoteText"/>
        <w:spacing w:after="120"/>
      </w:pPr>
      <w:r>
        <w:rPr>
          <w:rStyle w:val="FootnoteReference"/>
        </w:rPr>
        <w:footnoteRef/>
      </w:r>
      <w:r>
        <w:t xml:space="preserve"> </w:t>
      </w:r>
      <w:r w:rsidRPr="00650366">
        <w:rPr>
          <w:i/>
        </w:rPr>
        <w:t>Id</w:t>
      </w:r>
      <w:r>
        <w:t>. § 253(d).</w:t>
      </w:r>
    </w:p>
  </w:footnote>
  <w:footnote w:id="17">
    <w:p w14:paraId="3749CE89" w14:textId="7C59C07C" w:rsidR="00506177" w:rsidRDefault="00506177" w:rsidP="002A0D49">
      <w:pPr>
        <w:pStyle w:val="FootnoteText"/>
        <w:spacing w:after="120"/>
      </w:pPr>
      <w:r>
        <w:rPr>
          <w:rStyle w:val="FootnoteReference"/>
        </w:rPr>
        <w:footnoteRef/>
      </w:r>
      <w:r>
        <w:t xml:space="preserve"> </w:t>
      </w:r>
      <w:r w:rsidRPr="00650366">
        <w:rPr>
          <w:i/>
        </w:rPr>
        <w:t>Id</w:t>
      </w:r>
      <w:r>
        <w:t>. § 253(c).</w:t>
      </w:r>
    </w:p>
  </w:footnote>
  <w:footnote w:id="18">
    <w:p w14:paraId="01487941" w14:textId="6F1F5DB7" w:rsidR="00596C81" w:rsidRDefault="00596C81" w:rsidP="002A0D49">
      <w:pPr>
        <w:pStyle w:val="FootnoteText"/>
        <w:spacing w:after="120"/>
      </w:pPr>
      <w:r>
        <w:rPr>
          <w:rStyle w:val="FootnoteReference"/>
        </w:rPr>
        <w:footnoteRef/>
      </w:r>
      <w:r>
        <w:t xml:space="preserve"> </w:t>
      </w:r>
      <w:r w:rsidR="00650366" w:rsidRPr="00A02F2C">
        <w:rPr>
          <w:i/>
        </w:rPr>
        <w:t>See, e.g.,</w:t>
      </w:r>
      <w:r w:rsidR="00650366">
        <w:t xml:space="preserve"> </w:t>
      </w:r>
      <w:r>
        <w:t>WIA Comments</w:t>
      </w:r>
      <w:r w:rsidR="00FB1E8F">
        <w:t xml:space="preserve">, WT Docket No. 16-421, </w:t>
      </w:r>
      <w:r>
        <w:t>at 18-19 (Mar. 8, 2017).</w:t>
      </w:r>
    </w:p>
  </w:footnote>
  <w:footnote w:id="19">
    <w:p w14:paraId="08211D62" w14:textId="6B8F6EDA" w:rsidR="00FB1E8F" w:rsidRDefault="00FB1E8F" w:rsidP="002A0D49">
      <w:pPr>
        <w:pStyle w:val="FootnoteText"/>
        <w:spacing w:after="120"/>
      </w:pPr>
      <w:r>
        <w:rPr>
          <w:rStyle w:val="FootnoteReference"/>
        </w:rPr>
        <w:footnoteRef/>
      </w:r>
      <w:r>
        <w:t xml:space="preserve"> </w:t>
      </w:r>
      <w:r w:rsidR="00650366" w:rsidRPr="00A02F2C">
        <w:rPr>
          <w:i/>
        </w:rPr>
        <w:t>See, e.g.,</w:t>
      </w:r>
      <w:r w:rsidR="00650366">
        <w:t xml:space="preserve"> </w:t>
      </w:r>
      <w:r w:rsidR="00650366">
        <w:rPr>
          <w:i/>
        </w:rPr>
        <w:t>i</w:t>
      </w:r>
      <w:r w:rsidRPr="00650366">
        <w:rPr>
          <w:i/>
        </w:rPr>
        <w:t>d</w:t>
      </w:r>
      <w:r>
        <w:t>. at 13.</w:t>
      </w:r>
    </w:p>
  </w:footnote>
  <w:footnote w:id="20">
    <w:p w14:paraId="574D2221" w14:textId="789C9DA6" w:rsidR="00FB1E8F" w:rsidRDefault="00FB1E8F" w:rsidP="002A0D49">
      <w:pPr>
        <w:pStyle w:val="FootnoteText"/>
        <w:spacing w:after="120"/>
      </w:pPr>
      <w:r>
        <w:rPr>
          <w:rStyle w:val="FootnoteReference"/>
        </w:rPr>
        <w:footnoteRef/>
      </w:r>
      <w:r>
        <w:t xml:space="preserve"> </w:t>
      </w:r>
      <w:r w:rsidR="00650366" w:rsidRPr="00A02F2C">
        <w:rPr>
          <w:i/>
        </w:rPr>
        <w:t>See, e.g.,</w:t>
      </w:r>
      <w:r w:rsidR="00650366">
        <w:t xml:space="preserve"> </w:t>
      </w:r>
      <w:r w:rsidR="00650366">
        <w:rPr>
          <w:i/>
        </w:rPr>
        <w:t>i</w:t>
      </w:r>
      <w:r w:rsidRPr="00650366">
        <w:rPr>
          <w:i/>
        </w:rPr>
        <w:t>d</w:t>
      </w:r>
      <w:r>
        <w:t>. at 18-19.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A8365" w14:textId="77777777" w:rsidR="00FB2F02" w:rsidRDefault="00FB2F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C20DC" w14:textId="77777777" w:rsidR="00FB2F02" w:rsidRDefault="00FB2F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460AB" w14:textId="77777777" w:rsidR="00FB2F02" w:rsidRDefault="00FB2F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B5D83"/>
    <w:multiLevelType w:val="hybridMultilevel"/>
    <w:tmpl w:val="6112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80F"/>
    <w:rsid w:val="00005428"/>
    <w:rsid w:val="0000740B"/>
    <w:rsid w:val="00025770"/>
    <w:rsid w:val="00033B26"/>
    <w:rsid w:val="000347F2"/>
    <w:rsid w:val="00041442"/>
    <w:rsid w:val="0004570D"/>
    <w:rsid w:val="00054335"/>
    <w:rsid w:val="0006287F"/>
    <w:rsid w:val="000724E6"/>
    <w:rsid w:val="00072FFD"/>
    <w:rsid w:val="00083A4E"/>
    <w:rsid w:val="00093622"/>
    <w:rsid w:val="000B3687"/>
    <w:rsid w:val="000B77C0"/>
    <w:rsid w:val="000C460A"/>
    <w:rsid w:val="000D4BBE"/>
    <w:rsid w:val="000E186D"/>
    <w:rsid w:val="000F0A70"/>
    <w:rsid w:val="000F6489"/>
    <w:rsid w:val="00101517"/>
    <w:rsid w:val="00110F89"/>
    <w:rsid w:val="00116A94"/>
    <w:rsid w:val="001239E1"/>
    <w:rsid w:val="001250E3"/>
    <w:rsid w:val="00130EB3"/>
    <w:rsid w:val="001355F6"/>
    <w:rsid w:val="00155BB2"/>
    <w:rsid w:val="00155E55"/>
    <w:rsid w:val="0016579E"/>
    <w:rsid w:val="0017603F"/>
    <w:rsid w:val="00184124"/>
    <w:rsid w:val="001876D2"/>
    <w:rsid w:val="001B23CC"/>
    <w:rsid w:val="001B49B1"/>
    <w:rsid w:val="001B6C70"/>
    <w:rsid w:val="001D257A"/>
    <w:rsid w:val="001D6519"/>
    <w:rsid w:val="001E5C7A"/>
    <w:rsid w:val="001E6151"/>
    <w:rsid w:val="001E6483"/>
    <w:rsid w:val="001E6C03"/>
    <w:rsid w:val="001E7497"/>
    <w:rsid w:val="001E7CFD"/>
    <w:rsid w:val="001F416E"/>
    <w:rsid w:val="001F458E"/>
    <w:rsid w:val="001F7B5A"/>
    <w:rsid w:val="00205000"/>
    <w:rsid w:val="002136FA"/>
    <w:rsid w:val="00215C34"/>
    <w:rsid w:val="00235C66"/>
    <w:rsid w:val="0023700C"/>
    <w:rsid w:val="0025714D"/>
    <w:rsid w:val="0026766E"/>
    <w:rsid w:val="00271450"/>
    <w:rsid w:val="002740AD"/>
    <w:rsid w:val="00277174"/>
    <w:rsid w:val="00277ABF"/>
    <w:rsid w:val="00281011"/>
    <w:rsid w:val="00283146"/>
    <w:rsid w:val="00291CFF"/>
    <w:rsid w:val="002973FE"/>
    <w:rsid w:val="002A0145"/>
    <w:rsid w:val="002A0D49"/>
    <w:rsid w:val="002A2756"/>
    <w:rsid w:val="002D1577"/>
    <w:rsid w:val="002D4314"/>
    <w:rsid w:val="002E23AE"/>
    <w:rsid w:val="002F25AF"/>
    <w:rsid w:val="00310095"/>
    <w:rsid w:val="003312A1"/>
    <w:rsid w:val="00351FB3"/>
    <w:rsid w:val="00357835"/>
    <w:rsid w:val="003737D0"/>
    <w:rsid w:val="00384231"/>
    <w:rsid w:val="0038461C"/>
    <w:rsid w:val="003918AC"/>
    <w:rsid w:val="003A45C9"/>
    <w:rsid w:val="003B6364"/>
    <w:rsid w:val="003C5247"/>
    <w:rsid w:val="003D470C"/>
    <w:rsid w:val="003F7B17"/>
    <w:rsid w:val="003F7B1C"/>
    <w:rsid w:val="00402C2D"/>
    <w:rsid w:val="00402F38"/>
    <w:rsid w:val="00407FEF"/>
    <w:rsid w:val="004156C5"/>
    <w:rsid w:val="0042280C"/>
    <w:rsid w:val="00433F73"/>
    <w:rsid w:val="00446372"/>
    <w:rsid w:val="00453838"/>
    <w:rsid w:val="004617A8"/>
    <w:rsid w:val="004636C8"/>
    <w:rsid w:val="004728E5"/>
    <w:rsid w:val="0047651D"/>
    <w:rsid w:val="004816F5"/>
    <w:rsid w:val="004A5AF7"/>
    <w:rsid w:val="004B09C4"/>
    <w:rsid w:val="004B33A6"/>
    <w:rsid w:val="004C3D75"/>
    <w:rsid w:val="004D36F6"/>
    <w:rsid w:val="004D4CE6"/>
    <w:rsid w:val="004E6040"/>
    <w:rsid w:val="004E6D9A"/>
    <w:rsid w:val="00506177"/>
    <w:rsid w:val="00506E2A"/>
    <w:rsid w:val="00510203"/>
    <w:rsid w:val="00511AA2"/>
    <w:rsid w:val="00512CC9"/>
    <w:rsid w:val="00533D55"/>
    <w:rsid w:val="00536B8A"/>
    <w:rsid w:val="005621A9"/>
    <w:rsid w:val="00584118"/>
    <w:rsid w:val="00590200"/>
    <w:rsid w:val="00592366"/>
    <w:rsid w:val="00596C81"/>
    <w:rsid w:val="005B28BD"/>
    <w:rsid w:val="005B3CC8"/>
    <w:rsid w:val="005C17BC"/>
    <w:rsid w:val="005E073B"/>
    <w:rsid w:val="005F071A"/>
    <w:rsid w:val="005F205B"/>
    <w:rsid w:val="005F42B6"/>
    <w:rsid w:val="005F5A72"/>
    <w:rsid w:val="0060502B"/>
    <w:rsid w:val="006114A7"/>
    <w:rsid w:val="00613FE1"/>
    <w:rsid w:val="0062647E"/>
    <w:rsid w:val="006273FC"/>
    <w:rsid w:val="006374B8"/>
    <w:rsid w:val="00650366"/>
    <w:rsid w:val="00653102"/>
    <w:rsid w:val="006541B3"/>
    <w:rsid w:val="0068365B"/>
    <w:rsid w:val="006852E2"/>
    <w:rsid w:val="00694A4D"/>
    <w:rsid w:val="006950A3"/>
    <w:rsid w:val="006A3B48"/>
    <w:rsid w:val="006B16CB"/>
    <w:rsid w:val="006B7A0C"/>
    <w:rsid w:val="006C2363"/>
    <w:rsid w:val="006C3D1E"/>
    <w:rsid w:val="006D0729"/>
    <w:rsid w:val="006D2940"/>
    <w:rsid w:val="006D346E"/>
    <w:rsid w:val="006D77CC"/>
    <w:rsid w:val="006E4238"/>
    <w:rsid w:val="006E7306"/>
    <w:rsid w:val="006F02DE"/>
    <w:rsid w:val="00713B77"/>
    <w:rsid w:val="00716DD8"/>
    <w:rsid w:val="00717E27"/>
    <w:rsid w:val="00724FD6"/>
    <w:rsid w:val="007334C1"/>
    <w:rsid w:val="0074315B"/>
    <w:rsid w:val="0074612C"/>
    <w:rsid w:val="00752748"/>
    <w:rsid w:val="00763DFC"/>
    <w:rsid w:val="00765276"/>
    <w:rsid w:val="0076541C"/>
    <w:rsid w:val="00785A88"/>
    <w:rsid w:val="00795343"/>
    <w:rsid w:val="00797176"/>
    <w:rsid w:val="007A3F85"/>
    <w:rsid w:val="007B14B9"/>
    <w:rsid w:val="007B464D"/>
    <w:rsid w:val="007D2F89"/>
    <w:rsid w:val="007F2762"/>
    <w:rsid w:val="007F2973"/>
    <w:rsid w:val="007F2CD6"/>
    <w:rsid w:val="007F34DE"/>
    <w:rsid w:val="00802D87"/>
    <w:rsid w:val="00817311"/>
    <w:rsid w:val="00820F23"/>
    <w:rsid w:val="0083506B"/>
    <w:rsid w:val="0084001C"/>
    <w:rsid w:val="00846C2F"/>
    <w:rsid w:val="00882B6C"/>
    <w:rsid w:val="008865CE"/>
    <w:rsid w:val="008B02D6"/>
    <w:rsid w:val="008B1CCE"/>
    <w:rsid w:val="008B1E9A"/>
    <w:rsid w:val="008B7764"/>
    <w:rsid w:val="008C151E"/>
    <w:rsid w:val="008D28C7"/>
    <w:rsid w:val="008D2EA0"/>
    <w:rsid w:val="008D706E"/>
    <w:rsid w:val="008E2255"/>
    <w:rsid w:val="008E6212"/>
    <w:rsid w:val="008E6CEA"/>
    <w:rsid w:val="008F2F44"/>
    <w:rsid w:val="00905B41"/>
    <w:rsid w:val="0091500C"/>
    <w:rsid w:val="00921A1D"/>
    <w:rsid w:val="00933F0D"/>
    <w:rsid w:val="00934122"/>
    <w:rsid w:val="00940BFB"/>
    <w:rsid w:val="0094726E"/>
    <w:rsid w:val="00954F4A"/>
    <w:rsid w:val="00960D45"/>
    <w:rsid w:val="00960FF4"/>
    <w:rsid w:val="00973747"/>
    <w:rsid w:val="009743DD"/>
    <w:rsid w:val="00987EA9"/>
    <w:rsid w:val="00990A31"/>
    <w:rsid w:val="00995306"/>
    <w:rsid w:val="009A1024"/>
    <w:rsid w:val="009C69DF"/>
    <w:rsid w:val="009D0BE9"/>
    <w:rsid w:val="009D3F01"/>
    <w:rsid w:val="009D5EAB"/>
    <w:rsid w:val="009D64A2"/>
    <w:rsid w:val="00A12D03"/>
    <w:rsid w:val="00A228E4"/>
    <w:rsid w:val="00A31D1F"/>
    <w:rsid w:val="00A3275F"/>
    <w:rsid w:val="00A47CC4"/>
    <w:rsid w:val="00A65E46"/>
    <w:rsid w:val="00A72DA1"/>
    <w:rsid w:val="00A73B8A"/>
    <w:rsid w:val="00A77534"/>
    <w:rsid w:val="00A85B1C"/>
    <w:rsid w:val="00AC32DA"/>
    <w:rsid w:val="00AD6855"/>
    <w:rsid w:val="00AE2A17"/>
    <w:rsid w:val="00AF3911"/>
    <w:rsid w:val="00B02C4F"/>
    <w:rsid w:val="00B03804"/>
    <w:rsid w:val="00B100ED"/>
    <w:rsid w:val="00B24E62"/>
    <w:rsid w:val="00B337AE"/>
    <w:rsid w:val="00B62EF0"/>
    <w:rsid w:val="00B630BE"/>
    <w:rsid w:val="00B6396A"/>
    <w:rsid w:val="00B65E2C"/>
    <w:rsid w:val="00B77FFB"/>
    <w:rsid w:val="00B826AE"/>
    <w:rsid w:val="00B9531B"/>
    <w:rsid w:val="00BA4DF5"/>
    <w:rsid w:val="00BB558F"/>
    <w:rsid w:val="00BC2836"/>
    <w:rsid w:val="00BD3AA1"/>
    <w:rsid w:val="00BD4D2B"/>
    <w:rsid w:val="00BE1260"/>
    <w:rsid w:val="00C00CA2"/>
    <w:rsid w:val="00C16A4E"/>
    <w:rsid w:val="00C22DAE"/>
    <w:rsid w:val="00C26A94"/>
    <w:rsid w:val="00C37037"/>
    <w:rsid w:val="00C41139"/>
    <w:rsid w:val="00C42CE5"/>
    <w:rsid w:val="00C43739"/>
    <w:rsid w:val="00C44EBD"/>
    <w:rsid w:val="00C51F2C"/>
    <w:rsid w:val="00C64E79"/>
    <w:rsid w:val="00C86529"/>
    <w:rsid w:val="00C9181D"/>
    <w:rsid w:val="00C9424D"/>
    <w:rsid w:val="00C96AB3"/>
    <w:rsid w:val="00CA0ACE"/>
    <w:rsid w:val="00CA4855"/>
    <w:rsid w:val="00CA69B8"/>
    <w:rsid w:val="00CA7684"/>
    <w:rsid w:val="00CA7F18"/>
    <w:rsid w:val="00CC5147"/>
    <w:rsid w:val="00CE2905"/>
    <w:rsid w:val="00CE7CCA"/>
    <w:rsid w:val="00CF14B2"/>
    <w:rsid w:val="00CF22F2"/>
    <w:rsid w:val="00CF6985"/>
    <w:rsid w:val="00CF70A6"/>
    <w:rsid w:val="00D00A04"/>
    <w:rsid w:val="00D01E32"/>
    <w:rsid w:val="00D0416E"/>
    <w:rsid w:val="00D16C2B"/>
    <w:rsid w:val="00D30745"/>
    <w:rsid w:val="00D31F89"/>
    <w:rsid w:val="00D522C9"/>
    <w:rsid w:val="00D56BCD"/>
    <w:rsid w:val="00D6558F"/>
    <w:rsid w:val="00D66616"/>
    <w:rsid w:val="00D72358"/>
    <w:rsid w:val="00D81F08"/>
    <w:rsid w:val="00D83F0D"/>
    <w:rsid w:val="00D84183"/>
    <w:rsid w:val="00D8725F"/>
    <w:rsid w:val="00D90169"/>
    <w:rsid w:val="00D90199"/>
    <w:rsid w:val="00D9180F"/>
    <w:rsid w:val="00DA6EEA"/>
    <w:rsid w:val="00DB0D52"/>
    <w:rsid w:val="00DC7254"/>
    <w:rsid w:val="00DD35ED"/>
    <w:rsid w:val="00DD5296"/>
    <w:rsid w:val="00DE1E4E"/>
    <w:rsid w:val="00DE5477"/>
    <w:rsid w:val="00DE712D"/>
    <w:rsid w:val="00DF02B3"/>
    <w:rsid w:val="00DF58E6"/>
    <w:rsid w:val="00E12EA8"/>
    <w:rsid w:val="00E20921"/>
    <w:rsid w:val="00E32354"/>
    <w:rsid w:val="00E35864"/>
    <w:rsid w:val="00E510BD"/>
    <w:rsid w:val="00E52D83"/>
    <w:rsid w:val="00E7093F"/>
    <w:rsid w:val="00E709A7"/>
    <w:rsid w:val="00E85441"/>
    <w:rsid w:val="00E8557C"/>
    <w:rsid w:val="00EA4646"/>
    <w:rsid w:val="00EA6866"/>
    <w:rsid w:val="00EB43A3"/>
    <w:rsid w:val="00ED1596"/>
    <w:rsid w:val="00ED23BB"/>
    <w:rsid w:val="00EE4D35"/>
    <w:rsid w:val="00EE7F1B"/>
    <w:rsid w:val="00EF019E"/>
    <w:rsid w:val="00EF023E"/>
    <w:rsid w:val="00EF5053"/>
    <w:rsid w:val="00EF5F60"/>
    <w:rsid w:val="00F13F68"/>
    <w:rsid w:val="00F24CC5"/>
    <w:rsid w:val="00F260DC"/>
    <w:rsid w:val="00F354A3"/>
    <w:rsid w:val="00F376AE"/>
    <w:rsid w:val="00F650C7"/>
    <w:rsid w:val="00F8008B"/>
    <w:rsid w:val="00F839D6"/>
    <w:rsid w:val="00F91CA2"/>
    <w:rsid w:val="00F96DF4"/>
    <w:rsid w:val="00FA6D86"/>
    <w:rsid w:val="00FA777F"/>
    <w:rsid w:val="00FB1E8F"/>
    <w:rsid w:val="00FB2F02"/>
    <w:rsid w:val="00FB4771"/>
    <w:rsid w:val="00FB6608"/>
    <w:rsid w:val="00FD0702"/>
    <w:rsid w:val="00FD69DA"/>
    <w:rsid w:val="00FD799B"/>
    <w:rsid w:val="00FE6AEC"/>
    <w:rsid w:val="00FF5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2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E79"/>
    <w:rPr>
      <w:rFonts w:ascii="Segoe UI" w:hAnsi="Segoe UI" w:cs="Segoe UI"/>
      <w:sz w:val="18"/>
      <w:szCs w:val="18"/>
    </w:rPr>
  </w:style>
  <w:style w:type="paragraph" w:styleId="FootnoteText">
    <w:name w:val="footnote text"/>
    <w:basedOn w:val="Normal"/>
    <w:link w:val="FootnoteTextChar"/>
    <w:uiPriority w:val="99"/>
    <w:unhideWhenUsed/>
    <w:rsid w:val="0068365B"/>
    <w:rPr>
      <w:sz w:val="20"/>
      <w:szCs w:val="20"/>
    </w:rPr>
  </w:style>
  <w:style w:type="character" w:customStyle="1" w:styleId="FootnoteTextChar">
    <w:name w:val="Footnote Text Char"/>
    <w:basedOn w:val="DefaultParagraphFont"/>
    <w:link w:val="FootnoteText"/>
    <w:uiPriority w:val="99"/>
    <w:rsid w:val="0068365B"/>
    <w:rPr>
      <w:sz w:val="20"/>
      <w:szCs w:val="20"/>
    </w:rPr>
  </w:style>
  <w:style w:type="character" w:styleId="FootnoteReference">
    <w:name w:val="footnote reference"/>
    <w:basedOn w:val="DefaultParagraphFont"/>
    <w:uiPriority w:val="99"/>
    <w:unhideWhenUsed/>
    <w:rsid w:val="0068365B"/>
    <w:rPr>
      <w:vertAlign w:val="superscript"/>
    </w:rPr>
  </w:style>
  <w:style w:type="paragraph" w:styleId="Header">
    <w:name w:val="header"/>
    <w:basedOn w:val="Normal"/>
    <w:link w:val="HeaderChar"/>
    <w:uiPriority w:val="99"/>
    <w:unhideWhenUsed/>
    <w:rsid w:val="00D8725F"/>
    <w:pPr>
      <w:tabs>
        <w:tab w:val="center" w:pos="4680"/>
        <w:tab w:val="right" w:pos="9360"/>
      </w:tabs>
    </w:pPr>
  </w:style>
  <w:style w:type="character" w:customStyle="1" w:styleId="HeaderChar">
    <w:name w:val="Header Char"/>
    <w:basedOn w:val="DefaultParagraphFont"/>
    <w:link w:val="Header"/>
    <w:uiPriority w:val="99"/>
    <w:rsid w:val="00D8725F"/>
  </w:style>
  <w:style w:type="paragraph" w:styleId="Footer">
    <w:name w:val="footer"/>
    <w:basedOn w:val="Normal"/>
    <w:link w:val="FooterChar"/>
    <w:uiPriority w:val="99"/>
    <w:unhideWhenUsed/>
    <w:rsid w:val="00D8725F"/>
    <w:pPr>
      <w:tabs>
        <w:tab w:val="center" w:pos="4680"/>
        <w:tab w:val="right" w:pos="9360"/>
      </w:tabs>
    </w:pPr>
  </w:style>
  <w:style w:type="character" w:customStyle="1" w:styleId="FooterChar">
    <w:name w:val="Footer Char"/>
    <w:basedOn w:val="DefaultParagraphFont"/>
    <w:link w:val="Footer"/>
    <w:uiPriority w:val="99"/>
    <w:rsid w:val="00D8725F"/>
  </w:style>
  <w:style w:type="character" w:styleId="CommentReference">
    <w:name w:val="annotation reference"/>
    <w:basedOn w:val="DefaultParagraphFont"/>
    <w:uiPriority w:val="99"/>
    <w:semiHidden/>
    <w:unhideWhenUsed/>
    <w:rsid w:val="00DE5477"/>
    <w:rPr>
      <w:sz w:val="16"/>
      <w:szCs w:val="16"/>
    </w:rPr>
  </w:style>
  <w:style w:type="paragraph" w:styleId="CommentText">
    <w:name w:val="annotation text"/>
    <w:basedOn w:val="Normal"/>
    <w:link w:val="CommentTextChar"/>
    <w:uiPriority w:val="99"/>
    <w:semiHidden/>
    <w:unhideWhenUsed/>
    <w:rsid w:val="00DE5477"/>
    <w:rPr>
      <w:sz w:val="20"/>
      <w:szCs w:val="20"/>
    </w:rPr>
  </w:style>
  <w:style w:type="character" w:customStyle="1" w:styleId="CommentTextChar">
    <w:name w:val="Comment Text Char"/>
    <w:basedOn w:val="DefaultParagraphFont"/>
    <w:link w:val="CommentText"/>
    <w:uiPriority w:val="99"/>
    <w:semiHidden/>
    <w:rsid w:val="00DE5477"/>
    <w:rPr>
      <w:sz w:val="20"/>
      <w:szCs w:val="20"/>
    </w:rPr>
  </w:style>
  <w:style w:type="paragraph" w:styleId="CommentSubject">
    <w:name w:val="annotation subject"/>
    <w:basedOn w:val="CommentText"/>
    <w:next w:val="CommentText"/>
    <w:link w:val="CommentSubjectChar"/>
    <w:uiPriority w:val="99"/>
    <w:semiHidden/>
    <w:unhideWhenUsed/>
    <w:rsid w:val="00DE5477"/>
    <w:rPr>
      <w:b/>
      <w:bCs/>
    </w:rPr>
  </w:style>
  <w:style w:type="character" w:customStyle="1" w:styleId="CommentSubjectChar">
    <w:name w:val="Comment Subject Char"/>
    <w:basedOn w:val="CommentTextChar"/>
    <w:link w:val="CommentSubject"/>
    <w:uiPriority w:val="99"/>
    <w:semiHidden/>
    <w:rsid w:val="00DE5477"/>
    <w:rPr>
      <w:b/>
      <w:bCs/>
      <w:sz w:val="20"/>
      <w:szCs w:val="20"/>
    </w:rPr>
  </w:style>
  <w:style w:type="paragraph" w:styleId="ListParagraph">
    <w:name w:val="List Paragraph"/>
    <w:basedOn w:val="Normal"/>
    <w:uiPriority w:val="34"/>
    <w:qFormat/>
    <w:rsid w:val="0017603F"/>
    <w:pPr>
      <w:ind w:left="720"/>
      <w:contextualSpacing/>
    </w:pPr>
  </w:style>
  <w:style w:type="character" w:styleId="PlaceholderText">
    <w:name w:val="Placeholder Text"/>
    <w:basedOn w:val="DefaultParagraphFont"/>
    <w:uiPriority w:val="99"/>
    <w:semiHidden/>
    <w:rsid w:val="00AE2A17"/>
    <w:rPr>
      <w:color w:val="808080"/>
    </w:rPr>
  </w:style>
  <w:style w:type="character" w:styleId="Hyperlink">
    <w:name w:val="Hyperlink"/>
    <w:basedOn w:val="DefaultParagraphFont"/>
    <w:uiPriority w:val="99"/>
    <w:unhideWhenUsed/>
    <w:rsid w:val="00DF02B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E79"/>
    <w:rPr>
      <w:rFonts w:ascii="Segoe UI" w:hAnsi="Segoe UI" w:cs="Segoe UI"/>
      <w:sz w:val="18"/>
      <w:szCs w:val="18"/>
    </w:rPr>
  </w:style>
  <w:style w:type="paragraph" w:styleId="FootnoteText">
    <w:name w:val="footnote text"/>
    <w:basedOn w:val="Normal"/>
    <w:link w:val="FootnoteTextChar"/>
    <w:uiPriority w:val="99"/>
    <w:unhideWhenUsed/>
    <w:rsid w:val="0068365B"/>
    <w:rPr>
      <w:sz w:val="20"/>
      <w:szCs w:val="20"/>
    </w:rPr>
  </w:style>
  <w:style w:type="character" w:customStyle="1" w:styleId="FootnoteTextChar">
    <w:name w:val="Footnote Text Char"/>
    <w:basedOn w:val="DefaultParagraphFont"/>
    <w:link w:val="FootnoteText"/>
    <w:uiPriority w:val="99"/>
    <w:rsid w:val="0068365B"/>
    <w:rPr>
      <w:sz w:val="20"/>
      <w:szCs w:val="20"/>
    </w:rPr>
  </w:style>
  <w:style w:type="character" w:styleId="FootnoteReference">
    <w:name w:val="footnote reference"/>
    <w:basedOn w:val="DefaultParagraphFont"/>
    <w:uiPriority w:val="99"/>
    <w:unhideWhenUsed/>
    <w:rsid w:val="0068365B"/>
    <w:rPr>
      <w:vertAlign w:val="superscript"/>
    </w:rPr>
  </w:style>
  <w:style w:type="paragraph" w:styleId="Header">
    <w:name w:val="header"/>
    <w:basedOn w:val="Normal"/>
    <w:link w:val="HeaderChar"/>
    <w:uiPriority w:val="99"/>
    <w:unhideWhenUsed/>
    <w:rsid w:val="00D8725F"/>
    <w:pPr>
      <w:tabs>
        <w:tab w:val="center" w:pos="4680"/>
        <w:tab w:val="right" w:pos="9360"/>
      </w:tabs>
    </w:pPr>
  </w:style>
  <w:style w:type="character" w:customStyle="1" w:styleId="HeaderChar">
    <w:name w:val="Header Char"/>
    <w:basedOn w:val="DefaultParagraphFont"/>
    <w:link w:val="Header"/>
    <w:uiPriority w:val="99"/>
    <w:rsid w:val="00D8725F"/>
  </w:style>
  <w:style w:type="paragraph" w:styleId="Footer">
    <w:name w:val="footer"/>
    <w:basedOn w:val="Normal"/>
    <w:link w:val="FooterChar"/>
    <w:uiPriority w:val="99"/>
    <w:unhideWhenUsed/>
    <w:rsid w:val="00D8725F"/>
    <w:pPr>
      <w:tabs>
        <w:tab w:val="center" w:pos="4680"/>
        <w:tab w:val="right" w:pos="9360"/>
      </w:tabs>
    </w:pPr>
  </w:style>
  <w:style w:type="character" w:customStyle="1" w:styleId="FooterChar">
    <w:name w:val="Footer Char"/>
    <w:basedOn w:val="DefaultParagraphFont"/>
    <w:link w:val="Footer"/>
    <w:uiPriority w:val="99"/>
    <w:rsid w:val="00D8725F"/>
  </w:style>
  <w:style w:type="character" w:styleId="CommentReference">
    <w:name w:val="annotation reference"/>
    <w:basedOn w:val="DefaultParagraphFont"/>
    <w:uiPriority w:val="99"/>
    <w:semiHidden/>
    <w:unhideWhenUsed/>
    <w:rsid w:val="00DE5477"/>
    <w:rPr>
      <w:sz w:val="16"/>
      <w:szCs w:val="16"/>
    </w:rPr>
  </w:style>
  <w:style w:type="paragraph" w:styleId="CommentText">
    <w:name w:val="annotation text"/>
    <w:basedOn w:val="Normal"/>
    <w:link w:val="CommentTextChar"/>
    <w:uiPriority w:val="99"/>
    <w:semiHidden/>
    <w:unhideWhenUsed/>
    <w:rsid w:val="00DE5477"/>
    <w:rPr>
      <w:sz w:val="20"/>
      <w:szCs w:val="20"/>
    </w:rPr>
  </w:style>
  <w:style w:type="character" w:customStyle="1" w:styleId="CommentTextChar">
    <w:name w:val="Comment Text Char"/>
    <w:basedOn w:val="DefaultParagraphFont"/>
    <w:link w:val="CommentText"/>
    <w:uiPriority w:val="99"/>
    <w:semiHidden/>
    <w:rsid w:val="00DE5477"/>
    <w:rPr>
      <w:sz w:val="20"/>
      <w:szCs w:val="20"/>
    </w:rPr>
  </w:style>
  <w:style w:type="paragraph" w:styleId="CommentSubject">
    <w:name w:val="annotation subject"/>
    <w:basedOn w:val="CommentText"/>
    <w:next w:val="CommentText"/>
    <w:link w:val="CommentSubjectChar"/>
    <w:uiPriority w:val="99"/>
    <w:semiHidden/>
    <w:unhideWhenUsed/>
    <w:rsid w:val="00DE5477"/>
    <w:rPr>
      <w:b/>
      <w:bCs/>
    </w:rPr>
  </w:style>
  <w:style w:type="character" w:customStyle="1" w:styleId="CommentSubjectChar">
    <w:name w:val="Comment Subject Char"/>
    <w:basedOn w:val="CommentTextChar"/>
    <w:link w:val="CommentSubject"/>
    <w:uiPriority w:val="99"/>
    <w:semiHidden/>
    <w:rsid w:val="00DE5477"/>
    <w:rPr>
      <w:b/>
      <w:bCs/>
      <w:sz w:val="20"/>
      <w:szCs w:val="20"/>
    </w:rPr>
  </w:style>
  <w:style w:type="paragraph" w:styleId="ListParagraph">
    <w:name w:val="List Paragraph"/>
    <w:basedOn w:val="Normal"/>
    <w:uiPriority w:val="34"/>
    <w:qFormat/>
    <w:rsid w:val="0017603F"/>
    <w:pPr>
      <w:ind w:left="720"/>
      <w:contextualSpacing/>
    </w:pPr>
  </w:style>
  <w:style w:type="character" w:styleId="PlaceholderText">
    <w:name w:val="Placeholder Text"/>
    <w:basedOn w:val="DefaultParagraphFont"/>
    <w:uiPriority w:val="99"/>
    <w:semiHidden/>
    <w:rsid w:val="00AE2A17"/>
    <w:rPr>
      <w:color w:val="808080"/>
    </w:rPr>
  </w:style>
  <w:style w:type="character" w:styleId="Hyperlink">
    <w:name w:val="Hyperlink"/>
    <w:basedOn w:val="DefaultParagraphFont"/>
    <w:uiPriority w:val="99"/>
    <w:unhideWhenUsed/>
    <w:rsid w:val="00DF02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827213">
      <w:bodyDiv w:val="1"/>
      <w:marLeft w:val="0"/>
      <w:marRight w:val="0"/>
      <w:marTop w:val="0"/>
      <w:marBottom w:val="0"/>
      <w:divBdr>
        <w:top w:val="none" w:sz="0" w:space="0" w:color="auto"/>
        <w:left w:val="none" w:sz="0" w:space="0" w:color="auto"/>
        <w:bottom w:val="none" w:sz="0" w:space="0" w:color="auto"/>
        <w:right w:val="none" w:sz="0" w:space="0" w:color="auto"/>
      </w:divBdr>
    </w:div>
    <w:div w:id="150412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2293</Words>
  <Characters>11638</Characters>
  <Application>Microsoft Office Word</Application>
  <DocSecurity>0</DocSecurity>
  <Lines>185</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2017-05-22T21:01:00Z</cp:lastPrinted>
  <dcterms:created xsi:type="dcterms:W3CDTF">2017-05-23T18:12:00Z</dcterms:created>
  <dcterms:modified xsi:type="dcterms:W3CDTF">2017-05-23T18:12:00Z</dcterms:modified>
  <cp:category> </cp:category>
  <cp:contentStatus> </cp:contentStatus>
</cp:coreProperties>
</file>