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34E3F" w:rsidRPr="00B47F70" w:rsidRDefault="00E34E3F" w:rsidP="00A41840">
            <w:pPr>
              <w:widowControl w:val="0"/>
              <w:autoSpaceDE w:val="0"/>
              <w:autoSpaceDN w:val="0"/>
              <w:adjustRightInd w:val="0"/>
              <w:jc w:val="center"/>
              <w:rPr>
                <w:b/>
                <w:bCs/>
                <w:caps/>
              </w:rPr>
            </w:pPr>
            <w:r w:rsidRPr="00B47F70">
              <w:rPr>
                <w:b/>
                <w:bCs/>
                <w:caps/>
              </w:rPr>
              <w:t xml:space="preserve">FCC </w:t>
            </w:r>
            <w:r w:rsidR="00A41840" w:rsidRPr="00B47F70">
              <w:rPr>
                <w:b/>
                <w:bCs/>
                <w:caps/>
              </w:rPr>
              <w:t xml:space="preserve">ANNOUNCES TENTATIVE AGENDA FOR </w:t>
            </w:r>
            <w:r w:rsidR="0022440C">
              <w:rPr>
                <w:b/>
                <w:bCs/>
                <w:caps/>
              </w:rPr>
              <w:t>JUNE</w:t>
            </w:r>
            <w:r w:rsidR="00A41840" w:rsidRPr="00B47F70">
              <w:rPr>
                <w:b/>
                <w:bCs/>
                <w:caps/>
              </w:rPr>
              <w:t xml:space="preserve"> OPEN 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Pr="00A41840" w:rsidRDefault="00FF1C0B" w:rsidP="00A41840">
            <w:pPr>
              <w:tabs>
                <w:tab w:val="left" w:pos="8640"/>
              </w:tabs>
              <w:rPr>
                <w:sz w:val="22"/>
                <w:szCs w:val="22"/>
              </w:rPr>
            </w:pPr>
            <w:r w:rsidRPr="008A3940">
              <w:rPr>
                <w:sz w:val="22"/>
                <w:szCs w:val="22"/>
              </w:rPr>
              <w:t xml:space="preserve">WASHINGTON, </w:t>
            </w:r>
            <w:r w:rsidR="00A41840" w:rsidRPr="0022440C">
              <w:rPr>
                <w:sz w:val="22"/>
                <w:szCs w:val="22"/>
              </w:rPr>
              <w:t xml:space="preserve">June </w:t>
            </w:r>
            <w:r w:rsidR="0022440C">
              <w:rPr>
                <w:sz w:val="22"/>
                <w:szCs w:val="22"/>
              </w:rPr>
              <w:t>1</w:t>
            </w:r>
            <w:r w:rsidR="00D148D6">
              <w:rPr>
                <w:sz w:val="22"/>
                <w:szCs w:val="22"/>
              </w:rPr>
              <w:t>, 201</w:t>
            </w:r>
            <w:r w:rsidR="00A27E96">
              <w:rPr>
                <w:sz w:val="22"/>
                <w:szCs w:val="22"/>
              </w:rPr>
              <w:t>7</w:t>
            </w:r>
            <w:r w:rsidR="002B1013" w:rsidRPr="008A3940">
              <w:rPr>
                <w:sz w:val="22"/>
                <w:szCs w:val="22"/>
              </w:rPr>
              <w:t xml:space="preserve"> –</w:t>
            </w:r>
            <w:r w:rsidR="00E34E3F">
              <w:rPr>
                <w:sz w:val="22"/>
                <w:szCs w:val="22"/>
              </w:rPr>
              <w:t xml:space="preserve"> </w:t>
            </w:r>
            <w:r w:rsidR="00A41840" w:rsidRPr="00A41840">
              <w:rPr>
                <w:sz w:val="22"/>
                <w:szCs w:val="22"/>
              </w:rPr>
              <w:t xml:space="preserve">Federal Communications Commission Chairman </w:t>
            </w:r>
            <w:r w:rsidR="00A27E96">
              <w:rPr>
                <w:sz w:val="22"/>
                <w:szCs w:val="22"/>
              </w:rPr>
              <w:t xml:space="preserve">Ajit Pai </w:t>
            </w:r>
            <w:r w:rsidR="00A41840" w:rsidRPr="00A41840">
              <w:rPr>
                <w:sz w:val="22"/>
                <w:szCs w:val="22"/>
              </w:rPr>
              <w:t xml:space="preserve">announced that the following items are tentatively on the agenda for the </w:t>
            </w:r>
            <w:r w:rsidR="0022440C">
              <w:rPr>
                <w:sz w:val="22"/>
                <w:szCs w:val="22"/>
              </w:rPr>
              <w:t>June</w:t>
            </w:r>
            <w:r w:rsidR="00A41840" w:rsidRPr="00A41840">
              <w:rPr>
                <w:sz w:val="22"/>
                <w:szCs w:val="22"/>
              </w:rPr>
              <w:t xml:space="preserve"> Open Commission Meeting scheduled for </w:t>
            </w:r>
            <w:r w:rsidR="00D148D6" w:rsidRPr="004E0545">
              <w:rPr>
                <w:sz w:val="22"/>
                <w:szCs w:val="22"/>
              </w:rPr>
              <w:t xml:space="preserve">Thursday, </w:t>
            </w:r>
            <w:r w:rsidR="004E0545" w:rsidRPr="004E0545">
              <w:rPr>
                <w:sz w:val="22"/>
                <w:szCs w:val="22"/>
              </w:rPr>
              <w:t>June 22</w:t>
            </w:r>
            <w:r w:rsidR="00D148D6" w:rsidRPr="004E0545">
              <w:rPr>
                <w:sz w:val="22"/>
                <w:szCs w:val="22"/>
              </w:rPr>
              <w:t>, 201</w:t>
            </w:r>
            <w:r w:rsidR="00A27E96" w:rsidRPr="004E0545">
              <w:rPr>
                <w:sz w:val="22"/>
                <w:szCs w:val="22"/>
              </w:rPr>
              <w:t>7</w:t>
            </w:r>
            <w:r w:rsidR="00A41840" w:rsidRPr="004E0545">
              <w:rPr>
                <w:sz w:val="22"/>
                <w:szCs w:val="22"/>
              </w:rPr>
              <w:t>:</w:t>
            </w:r>
          </w:p>
          <w:p w:rsidR="0037297C" w:rsidRPr="0037297C" w:rsidRDefault="00420017" w:rsidP="0037297C">
            <w:pPr>
              <w:tabs>
                <w:tab w:val="left" w:pos="8640"/>
              </w:tabs>
              <w:rPr>
                <w:sz w:val="22"/>
                <w:szCs w:val="22"/>
              </w:rPr>
            </w:pPr>
            <w:r w:rsidRPr="00420017">
              <w:rPr>
                <w:sz w:val="22"/>
                <w:szCs w:val="22"/>
              </w:rPr>
              <w:tab/>
            </w:r>
          </w:p>
          <w:p w:rsidR="0037297C" w:rsidRPr="0037297C" w:rsidRDefault="002C3A77" w:rsidP="0037297C">
            <w:pPr>
              <w:tabs>
                <w:tab w:val="left" w:pos="8640"/>
              </w:tabs>
              <w:rPr>
                <w:sz w:val="22"/>
                <w:szCs w:val="22"/>
              </w:rPr>
            </w:pPr>
            <w:r w:rsidRPr="002C3A77">
              <w:rPr>
                <w:b/>
                <w:bCs/>
                <w:sz w:val="22"/>
                <w:szCs w:val="22"/>
              </w:rPr>
              <w:t>New Emergency Alert System Event Code For Blue Alerts</w:t>
            </w:r>
            <w:r>
              <w:rPr>
                <w:bCs/>
                <w:sz w:val="22"/>
                <w:szCs w:val="22"/>
              </w:rPr>
              <w:t xml:space="preserve"> – </w:t>
            </w:r>
            <w:r w:rsidRPr="002C3A77">
              <w:rPr>
                <w:bCs/>
                <w:sz w:val="22"/>
                <w:szCs w:val="22"/>
              </w:rPr>
              <w:t>The Commission will consider a Notice of Proposed Rulemaking that would amend the Commission’s Emergency Alert System (EAS) rules to add a dedicated event code, “BLU,” for Blue Alerts, so that EAS alerts can deliver actionable information to the public when a law enforcement officer is killed, seriously injured, missing in connection with his or her official duties, or if there is an imminent and credible threat to a law enforcement officer.</w:t>
            </w:r>
            <w:r w:rsidRPr="002C3A77">
              <w:rPr>
                <w:b/>
                <w:bCs/>
                <w:sz w:val="22"/>
                <w:szCs w:val="22"/>
              </w:rPr>
              <w:t>  </w:t>
            </w:r>
            <w:r w:rsidR="0037297C" w:rsidRPr="0037297C">
              <w:rPr>
                <w:sz w:val="22"/>
                <w:szCs w:val="22"/>
              </w:rPr>
              <w:t>(PS Docket No. 15-94)</w:t>
            </w:r>
          </w:p>
          <w:p w:rsidR="0037297C" w:rsidRPr="0037297C" w:rsidRDefault="0037297C" w:rsidP="0037297C">
            <w:pPr>
              <w:tabs>
                <w:tab w:val="left" w:pos="8640"/>
              </w:tabs>
              <w:rPr>
                <w:sz w:val="22"/>
                <w:szCs w:val="22"/>
              </w:rPr>
            </w:pPr>
          </w:p>
          <w:p w:rsidR="0037297C" w:rsidRPr="0037297C" w:rsidRDefault="0037297C" w:rsidP="0037297C">
            <w:pPr>
              <w:tabs>
                <w:tab w:val="left" w:pos="8640"/>
              </w:tabs>
              <w:rPr>
                <w:sz w:val="22"/>
                <w:szCs w:val="22"/>
              </w:rPr>
            </w:pPr>
            <w:r w:rsidRPr="0037297C">
              <w:rPr>
                <w:b/>
                <w:bCs/>
                <w:sz w:val="22"/>
                <w:szCs w:val="22"/>
              </w:rPr>
              <w:t xml:space="preserve">First Responder Network Authority </w:t>
            </w:r>
            <w:r>
              <w:rPr>
                <w:b/>
                <w:bCs/>
                <w:sz w:val="22"/>
                <w:szCs w:val="22"/>
              </w:rPr>
              <w:t>–</w:t>
            </w:r>
            <w:r w:rsidRPr="0037297C">
              <w:rPr>
                <w:b/>
                <w:bCs/>
                <w:sz w:val="22"/>
                <w:szCs w:val="22"/>
              </w:rPr>
              <w:t> </w:t>
            </w:r>
            <w:r w:rsidRPr="0037297C">
              <w:rPr>
                <w:sz w:val="22"/>
                <w:szCs w:val="22"/>
              </w:rPr>
              <w:t xml:space="preserve">The Commission will consider a Report and Order that establishes the procedures and standards the Commission will use to review alternative plans submitted by states seeking to "opt-out" of the FirstNet network and to build their own Radio Access Networks that are interoperable with FirstNet. </w:t>
            </w:r>
            <w:r>
              <w:rPr>
                <w:sz w:val="22"/>
                <w:szCs w:val="22"/>
              </w:rPr>
              <w:t xml:space="preserve"> </w:t>
            </w:r>
            <w:r w:rsidRPr="0037297C">
              <w:rPr>
                <w:sz w:val="22"/>
                <w:szCs w:val="22"/>
              </w:rPr>
              <w:t>(PS Docket No. 16-269)</w:t>
            </w:r>
          </w:p>
          <w:p w:rsidR="0037297C" w:rsidRPr="0037297C" w:rsidRDefault="00420017" w:rsidP="0037297C">
            <w:pPr>
              <w:tabs>
                <w:tab w:val="left" w:pos="8640"/>
              </w:tabs>
              <w:rPr>
                <w:b/>
                <w:bCs/>
                <w:sz w:val="22"/>
                <w:szCs w:val="22"/>
              </w:rPr>
            </w:pPr>
            <w:r w:rsidRPr="00420017">
              <w:rPr>
                <w:sz w:val="22"/>
                <w:szCs w:val="22"/>
              </w:rPr>
              <w:tab/>
            </w:r>
          </w:p>
          <w:p w:rsidR="004E0545" w:rsidRDefault="00730A14" w:rsidP="00AB6B96">
            <w:pPr>
              <w:tabs>
                <w:tab w:val="left" w:pos="8640"/>
              </w:tabs>
              <w:rPr>
                <w:b/>
                <w:sz w:val="22"/>
                <w:szCs w:val="22"/>
              </w:rPr>
            </w:pPr>
            <w:r w:rsidRPr="00730A14">
              <w:rPr>
                <w:b/>
                <w:bCs/>
                <w:sz w:val="22"/>
                <w:szCs w:val="22"/>
              </w:rPr>
              <w:t xml:space="preserve">Exemption to Calling Number Identification Service – </w:t>
            </w:r>
            <w:r w:rsidRPr="00730A14">
              <w:rPr>
                <w:bCs/>
                <w:sz w:val="22"/>
                <w:szCs w:val="22"/>
              </w:rPr>
              <w:t>The Commission will consider a Notice of Proposed Rulemaking that would amend the Caller ID rules to allow disclosure of blocked Caller ID information to aid law enforcement in investigating threatening calls and continue the waiver of those rules that is currently in effect for Jewish Community Centers.</w:t>
            </w:r>
            <w:r w:rsidRPr="00730A14">
              <w:rPr>
                <w:b/>
                <w:bCs/>
                <w:sz w:val="22"/>
                <w:szCs w:val="22"/>
              </w:rPr>
              <w:t xml:space="preserve">  </w:t>
            </w:r>
            <w:r w:rsidR="0037297C" w:rsidRPr="0037297C">
              <w:rPr>
                <w:sz w:val="22"/>
                <w:szCs w:val="22"/>
              </w:rPr>
              <w:t>(CG Docket No. 91-281)</w:t>
            </w:r>
          </w:p>
          <w:p w:rsidR="004E0545" w:rsidRDefault="004E0545" w:rsidP="00AB6B96">
            <w:pPr>
              <w:tabs>
                <w:tab w:val="left" w:pos="8640"/>
              </w:tabs>
              <w:rPr>
                <w:b/>
                <w:sz w:val="22"/>
                <w:szCs w:val="22"/>
              </w:rPr>
            </w:pPr>
          </w:p>
          <w:p w:rsidR="004E0545" w:rsidRDefault="00407789" w:rsidP="00AB6B96">
            <w:pPr>
              <w:tabs>
                <w:tab w:val="left" w:pos="8640"/>
              </w:tabs>
              <w:rPr>
                <w:b/>
                <w:sz w:val="22"/>
                <w:szCs w:val="22"/>
              </w:rPr>
            </w:pPr>
            <w:r w:rsidRPr="00407789">
              <w:rPr>
                <w:b/>
                <w:sz w:val="22"/>
                <w:szCs w:val="22"/>
              </w:rPr>
              <w:t xml:space="preserve">OneWeb Market Access Request – </w:t>
            </w:r>
            <w:r w:rsidRPr="00407789">
              <w:rPr>
                <w:sz w:val="22"/>
                <w:szCs w:val="22"/>
              </w:rPr>
              <w:t>The Commission will consider an Order and Declaratory Ruling that recommends granting OneWeb’s request to be permitted to access the U.S. market using its proposed global non-geostationary satellite constellation for the provision of broadband communications services in the United States.  (IBFS SAT-LOI-20160428-0041)</w:t>
            </w:r>
          </w:p>
          <w:p w:rsidR="00AB6B96" w:rsidRPr="00420017" w:rsidRDefault="00AB6B96" w:rsidP="00AB6B96">
            <w:pPr>
              <w:tabs>
                <w:tab w:val="left" w:pos="8640"/>
              </w:tabs>
              <w:rPr>
                <w:b/>
                <w:sz w:val="22"/>
                <w:szCs w:val="22"/>
              </w:rPr>
            </w:pPr>
          </w:p>
          <w:p w:rsidR="00E25AAC" w:rsidRDefault="00420017" w:rsidP="00AB6B96">
            <w:pPr>
              <w:tabs>
                <w:tab w:val="left" w:pos="8640"/>
              </w:tabs>
              <w:rPr>
                <w:sz w:val="22"/>
                <w:szCs w:val="22"/>
              </w:rPr>
            </w:pPr>
            <w:r w:rsidRPr="00420017">
              <w:rPr>
                <w:b/>
                <w:sz w:val="22"/>
                <w:szCs w:val="22"/>
              </w:rPr>
              <w:t>Improving Competitive Broadband Access to Multiple Tenant Environments</w:t>
            </w:r>
            <w:r w:rsidRPr="00420017">
              <w:rPr>
                <w:sz w:val="22"/>
                <w:szCs w:val="22"/>
              </w:rPr>
              <w:t xml:space="preserve"> </w:t>
            </w:r>
            <w:r>
              <w:rPr>
                <w:sz w:val="22"/>
                <w:szCs w:val="22"/>
              </w:rPr>
              <w:t xml:space="preserve">– </w:t>
            </w:r>
            <w:r w:rsidRPr="00420017">
              <w:rPr>
                <w:sz w:val="22"/>
                <w:szCs w:val="22"/>
              </w:rPr>
              <w:t>The Commission will consider a Notice of Inquiry that seeks comment on ways to facilitate greater consumer choice and enhance broadband deployment in multiple tenant environments such as apartment buildings, condominium buildings, shopping malls, or cooperatives.  The Notice of Inquiry further seeks comment on the current state of broadband competition in such locations and whether additional Commission action in this area is warranted to eliminate or reduce barriers faced by broadband providers that seek to serve the occupants of multiple tenant environments.</w:t>
            </w:r>
            <w:r>
              <w:rPr>
                <w:sz w:val="22"/>
                <w:szCs w:val="22"/>
              </w:rPr>
              <w:t xml:space="preserve"> </w:t>
            </w:r>
            <w:r w:rsidR="0037297C">
              <w:rPr>
                <w:sz w:val="22"/>
                <w:szCs w:val="22"/>
              </w:rPr>
              <w:t xml:space="preserve"> </w:t>
            </w:r>
            <w:r>
              <w:rPr>
                <w:sz w:val="22"/>
                <w:szCs w:val="22"/>
              </w:rPr>
              <w:t>(</w:t>
            </w:r>
            <w:r w:rsidRPr="00420017">
              <w:rPr>
                <w:sz w:val="22"/>
                <w:szCs w:val="22"/>
              </w:rPr>
              <w:t>GN Docket No. 17-</w:t>
            </w:r>
            <w:r w:rsidR="00D87849">
              <w:rPr>
                <w:sz w:val="22"/>
                <w:szCs w:val="22"/>
              </w:rPr>
              <w:t>142</w:t>
            </w:r>
            <w:r>
              <w:rPr>
                <w:sz w:val="22"/>
                <w:szCs w:val="22"/>
              </w:rPr>
              <w:t>)</w:t>
            </w:r>
          </w:p>
          <w:p w:rsidR="004E0545" w:rsidRDefault="004E0545" w:rsidP="004E0545">
            <w:pPr>
              <w:tabs>
                <w:tab w:val="left" w:pos="8640"/>
              </w:tabs>
              <w:rPr>
                <w:sz w:val="22"/>
                <w:szCs w:val="22"/>
              </w:rPr>
            </w:pPr>
          </w:p>
          <w:p w:rsidR="004E0545" w:rsidRDefault="004E0545" w:rsidP="004E0545">
            <w:pPr>
              <w:tabs>
                <w:tab w:val="left" w:pos="8640"/>
              </w:tabs>
              <w:rPr>
                <w:sz w:val="22"/>
                <w:szCs w:val="22"/>
              </w:rPr>
            </w:pPr>
            <w:r w:rsidRPr="004E0545">
              <w:rPr>
                <w:b/>
                <w:sz w:val="22"/>
                <w:szCs w:val="22"/>
              </w:rPr>
              <w:t xml:space="preserve">Electronic Annual Notice Declaratory Ruling – </w:t>
            </w:r>
            <w:r w:rsidRPr="004E0545">
              <w:rPr>
                <w:sz w:val="22"/>
                <w:szCs w:val="22"/>
              </w:rPr>
              <w:t>The Commission will consider a Declaratory Ruling which would clarify that the “written information” that cable operators must provide to their subscribers via annual notices pursuant to Section 76.1602(b) of the Commission’s rules may be provided via e-mail.  (MB Docket No. 16-126)</w:t>
            </w:r>
          </w:p>
          <w:p w:rsidR="004E0545" w:rsidRDefault="004E0545" w:rsidP="004E0545">
            <w:pPr>
              <w:tabs>
                <w:tab w:val="left" w:pos="8640"/>
              </w:tabs>
              <w:rPr>
                <w:sz w:val="22"/>
                <w:szCs w:val="22"/>
              </w:rPr>
            </w:pPr>
          </w:p>
          <w:p w:rsidR="004E0545" w:rsidRDefault="00747E01" w:rsidP="004E0545">
            <w:pPr>
              <w:tabs>
                <w:tab w:val="left" w:pos="8640"/>
              </w:tabs>
              <w:rPr>
                <w:sz w:val="22"/>
                <w:szCs w:val="22"/>
              </w:rPr>
            </w:pPr>
            <w:r w:rsidRPr="00747E01">
              <w:rPr>
                <w:b/>
                <w:sz w:val="22"/>
                <w:szCs w:val="22"/>
              </w:rPr>
              <w:t>Modernization of Payphone Compensation Rules</w:t>
            </w:r>
            <w:r>
              <w:rPr>
                <w:b/>
                <w:sz w:val="22"/>
                <w:szCs w:val="22"/>
              </w:rPr>
              <w:t xml:space="preserve"> </w:t>
            </w:r>
            <w:r w:rsidR="004E0545" w:rsidRPr="004E0545">
              <w:rPr>
                <w:sz w:val="22"/>
                <w:szCs w:val="22"/>
              </w:rPr>
              <w:t>– The Commission will consider a Notice of Proposed Rulemaking and Order that (1) proposes to eliminate the requirement that carriers that complete payphone calls conduct an annual audit of their payphone call tracking systems and file an associated annual audit report with the Commission, and (2) waives the annual audit and associated reporting requirement for 2017.  (WC</w:t>
            </w:r>
            <w:r w:rsidR="004F491A">
              <w:rPr>
                <w:sz w:val="22"/>
                <w:szCs w:val="22"/>
              </w:rPr>
              <w:t xml:space="preserve"> Docket Nos. 17- 141 and 16-132; </w:t>
            </w:r>
            <w:r w:rsidR="004E0545" w:rsidRPr="004E0545">
              <w:rPr>
                <w:sz w:val="22"/>
                <w:szCs w:val="22"/>
              </w:rPr>
              <w:t>CC Docket No. 96-128).</w:t>
            </w:r>
          </w:p>
          <w:p w:rsidR="004E0545" w:rsidRDefault="004E0545" w:rsidP="004E0545">
            <w:pPr>
              <w:tabs>
                <w:tab w:val="left" w:pos="8640"/>
              </w:tabs>
              <w:rPr>
                <w:sz w:val="22"/>
                <w:szCs w:val="22"/>
              </w:rPr>
            </w:pPr>
          </w:p>
          <w:p w:rsidR="004E0545" w:rsidRPr="004E0545" w:rsidRDefault="004E0545" w:rsidP="004E0545">
            <w:pPr>
              <w:tabs>
                <w:tab w:val="left" w:pos="8640"/>
              </w:tabs>
              <w:rPr>
                <w:sz w:val="22"/>
                <w:szCs w:val="22"/>
              </w:rPr>
            </w:pPr>
            <w:r w:rsidRPr="004E0545">
              <w:rPr>
                <w:b/>
                <w:sz w:val="22"/>
                <w:szCs w:val="22"/>
              </w:rPr>
              <w:t>Enforcement Bureau Action</w:t>
            </w:r>
            <w:r w:rsidRPr="004E0545">
              <w:rPr>
                <w:sz w:val="22"/>
                <w:szCs w:val="22"/>
              </w:rPr>
              <w:t xml:space="preserve"> - The Commission will consider an enforcement action.</w:t>
            </w:r>
          </w:p>
          <w:p w:rsidR="004E0545" w:rsidRDefault="004E0545" w:rsidP="004E0545">
            <w:pPr>
              <w:tabs>
                <w:tab w:val="left" w:pos="8640"/>
              </w:tabs>
              <w:rPr>
                <w:sz w:val="22"/>
                <w:szCs w:val="22"/>
              </w:rPr>
            </w:pPr>
          </w:p>
          <w:p w:rsidR="004E0545" w:rsidRPr="00A41840" w:rsidRDefault="004E0545" w:rsidP="004E0545">
            <w:pPr>
              <w:tabs>
                <w:tab w:val="left" w:pos="8640"/>
              </w:tabs>
              <w:rPr>
                <w:sz w:val="22"/>
                <w:szCs w:val="22"/>
              </w:rPr>
            </w:pPr>
          </w:p>
          <w:p w:rsidR="002819BC" w:rsidRDefault="002819BC" w:rsidP="002819BC">
            <w:pPr>
              <w:tabs>
                <w:tab w:val="left" w:pos="8640"/>
              </w:tabs>
            </w:pPr>
            <w:r w:rsidRPr="00E25AAC">
              <w:rPr>
                <w:bCs/>
                <w:sz w:val="22"/>
                <w:szCs w:val="22"/>
              </w:rPr>
              <w:t xml:space="preserve">Public Drafts of Meeting Items – </w:t>
            </w:r>
            <w:r w:rsidR="00CA05ED" w:rsidRPr="00CA05ED">
              <w:rPr>
                <w:bCs/>
                <w:sz w:val="22"/>
                <w:szCs w:val="22"/>
              </w:rPr>
              <w:t>Continuing the Chairman’s pilot program, the FCC is publicly releasing the draft text of each non-enforcement item expected to be considered at the next Open Commission Meeting.  For law enforcement reasons, the draft text of the enforcement item cannot be released prior to its adoption.  One-page cover sheets are included in the public drafts to help summarize each item.  All these materials will be available on the e</w:t>
            </w:r>
            <w:r w:rsidR="00CA05ED">
              <w:rPr>
                <w:bCs/>
                <w:sz w:val="22"/>
                <w:szCs w:val="22"/>
              </w:rPr>
              <w:t>vent page for the Open Meeting:</w:t>
            </w:r>
            <w:r w:rsidRPr="007B3A48">
              <w:rPr>
                <w:bCs/>
                <w:sz w:val="22"/>
                <w:szCs w:val="22"/>
              </w:rPr>
              <w:t xml:space="preserve"> </w:t>
            </w:r>
            <w:hyperlink r:id="rId9" w:history="1">
              <w:r w:rsidRPr="007B3A48">
                <w:rPr>
                  <w:rStyle w:val="Hyperlink"/>
                  <w:sz w:val="22"/>
                  <w:szCs w:val="22"/>
                </w:rPr>
                <w:t>https://go.usa.gov/xX5Qn</w:t>
              </w:r>
            </w:hyperlink>
          </w:p>
          <w:p w:rsidR="002819BC" w:rsidRPr="00A41840" w:rsidRDefault="002819BC" w:rsidP="002819BC">
            <w:pPr>
              <w:tabs>
                <w:tab w:val="left" w:pos="8640"/>
              </w:tabs>
              <w:rPr>
                <w:sz w:val="22"/>
                <w:szCs w:val="22"/>
              </w:rPr>
            </w:pPr>
          </w:p>
          <w:p w:rsidR="002819BC" w:rsidRPr="00604211" w:rsidRDefault="002819BC" w:rsidP="002819BC">
            <w:pPr>
              <w:tabs>
                <w:tab w:val="left" w:pos="8640"/>
              </w:tabs>
              <w:rPr>
                <w:rStyle w:val="Hyperlink"/>
                <w:color w:val="auto"/>
                <w:sz w:val="22"/>
                <w:szCs w:val="22"/>
                <w:u w:val="none"/>
              </w:rPr>
            </w:pPr>
            <w:r w:rsidRPr="00A41840">
              <w:rPr>
                <w:sz w:val="22"/>
                <w:szCs w:val="22"/>
              </w:rPr>
              <w:t xml:space="preserve">The Open Meeting is scheduled to commence at 10:30 a.m. in Room TW-C305 of the Federal Communications Commission, 445 12th Street, S.W., Washington, D.C. </w:t>
            </w:r>
            <w:r>
              <w:rPr>
                <w:sz w:val="22"/>
                <w:szCs w:val="22"/>
              </w:rPr>
              <w:t xml:space="preserve"> Open Meetings are steamed live at </w:t>
            </w:r>
            <w:hyperlink r:id="rId10" w:history="1">
              <w:r w:rsidRPr="00413E9C">
                <w:rPr>
                  <w:rStyle w:val="Hyperlink"/>
                  <w:sz w:val="22"/>
                  <w:szCs w:val="22"/>
                </w:rPr>
                <w:t>www.fcc.gov/live</w:t>
              </w:r>
            </w:hyperlink>
            <w:r>
              <w:rPr>
                <w:sz w:val="22"/>
                <w:szCs w:val="22"/>
              </w:rPr>
              <w:t xml:space="preserve"> and can be followed on social media with #OpenMtgFCC.</w:t>
            </w:r>
          </w:p>
          <w:p w:rsidR="00BD19E8" w:rsidRPr="008A3940" w:rsidRDefault="00BD19E8" w:rsidP="00E349AA">
            <w:pPr>
              <w:jc w:val="both"/>
              <w:rPr>
                <w:rStyle w:val="Hyperlink"/>
                <w:sz w:val="22"/>
                <w:szCs w:val="22"/>
              </w:rPr>
            </w:pPr>
          </w:p>
          <w:p w:rsidR="004F0F1F" w:rsidRPr="008A3940" w:rsidRDefault="00F708E3" w:rsidP="00B47F70">
            <w:pPr>
              <w:ind w:right="72"/>
              <w:jc w:val="center"/>
              <w:rPr>
                <w:sz w:val="22"/>
                <w:szCs w:val="22"/>
              </w:rPr>
            </w:pPr>
            <w:r w:rsidRPr="008A3940">
              <w:rPr>
                <w:sz w:val="22"/>
                <w:szCs w:val="22"/>
              </w:rPr>
              <w:t>###</w:t>
            </w:r>
          </w:p>
          <w:p w:rsidR="00E644FE" w:rsidRPr="006B0A70" w:rsidRDefault="00E644FE" w:rsidP="00B47F70">
            <w:pPr>
              <w:ind w:right="72"/>
              <w:jc w:val="center"/>
              <w:rPr>
                <w:b/>
                <w:bCs/>
                <w:sz w:val="18"/>
                <w:szCs w:val="18"/>
              </w:rPr>
            </w:pPr>
            <w:r w:rsidRPr="006B0A70">
              <w:rPr>
                <w:b/>
                <w:bCs/>
                <w:sz w:val="32"/>
                <w:szCs w:val="32"/>
              </w:rPr>
              <w:br/>
            </w:r>
            <w:r w:rsidRPr="006B0A70">
              <w:rPr>
                <w:b/>
                <w:bCs/>
                <w:sz w:val="18"/>
                <w:szCs w:val="18"/>
              </w:rPr>
              <w:t>Office of Media Relations: 202.418.0500</w:t>
            </w:r>
          </w:p>
          <w:p w:rsidR="002819BC" w:rsidRDefault="002819BC" w:rsidP="00B47F70">
            <w:pPr>
              <w:ind w:right="72"/>
              <w:jc w:val="center"/>
              <w:rPr>
                <w:b/>
                <w:bCs/>
                <w:sz w:val="18"/>
                <w:szCs w:val="18"/>
              </w:rPr>
            </w:pPr>
            <w:r>
              <w:rPr>
                <w:b/>
                <w:bCs/>
                <w:sz w:val="18"/>
                <w:szCs w:val="18"/>
              </w:rPr>
              <w:t xml:space="preserve">ASL Videophone: </w:t>
            </w:r>
            <w:r w:rsidRPr="00D9464F">
              <w:rPr>
                <w:b/>
                <w:bCs/>
                <w:sz w:val="18"/>
                <w:szCs w:val="18"/>
              </w:rPr>
              <w:t>844-432-2275</w:t>
            </w:r>
          </w:p>
          <w:p w:rsidR="002819BC" w:rsidRDefault="002819BC" w:rsidP="00B47F70">
            <w:pPr>
              <w:ind w:right="72"/>
              <w:jc w:val="center"/>
              <w:rPr>
                <w:b/>
                <w:bCs/>
                <w:sz w:val="18"/>
                <w:szCs w:val="18"/>
              </w:rPr>
            </w:pPr>
            <w:r>
              <w:rPr>
                <w:b/>
                <w:bCs/>
                <w:sz w:val="18"/>
                <w:szCs w:val="18"/>
              </w:rPr>
              <w:t>Twitter: @FCC</w:t>
            </w:r>
          </w:p>
          <w:p w:rsidR="002819BC" w:rsidRDefault="002819BC" w:rsidP="00B47F70">
            <w:pPr>
              <w:ind w:right="72"/>
              <w:jc w:val="center"/>
              <w:rPr>
                <w:b/>
                <w:bCs/>
                <w:sz w:val="18"/>
                <w:szCs w:val="18"/>
              </w:rPr>
            </w:pPr>
            <w:r>
              <w:rPr>
                <w:b/>
                <w:bCs/>
                <w:sz w:val="18"/>
                <w:szCs w:val="18"/>
              </w:rPr>
              <w:t>#OpenMtgFCC</w:t>
            </w:r>
          </w:p>
          <w:p w:rsidR="002819BC" w:rsidRPr="00EE0E90" w:rsidRDefault="002819BC" w:rsidP="00B47F70">
            <w:pPr>
              <w:ind w:right="72"/>
              <w:jc w:val="center"/>
              <w:rPr>
                <w:b/>
                <w:bCs/>
                <w:sz w:val="18"/>
                <w:szCs w:val="18"/>
              </w:rPr>
            </w:pPr>
            <w:r w:rsidRPr="007B3A48">
              <w:rPr>
                <w:b/>
                <w:bCs/>
                <w:sz w:val="18"/>
                <w:szCs w:val="18"/>
              </w:rPr>
              <w:t>www.fcc.gov/office-media-relations</w:t>
            </w:r>
          </w:p>
          <w:p w:rsidR="00EE0E90" w:rsidRDefault="00EE0E90" w:rsidP="00B47F70">
            <w:pPr>
              <w:ind w:right="72"/>
              <w:jc w:val="center"/>
              <w:rPr>
                <w:b/>
                <w:bCs/>
                <w:sz w:val="18"/>
                <w:szCs w:val="18"/>
              </w:rPr>
            </w:pPr>
          </w:p>
          <w:p w:rsidR="00EE0E90" w:rsidRPr="00986C92" w:rsidRDefault="00EE0E90"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4E" w:rsidRDefault="00E83C4E" w:rsidP="008C225C">
      <w:r>
        <w:separator/>
      </w:r>
    </w:p>
  </w:endnote>
  <w:endnote w:type="continuationSeparator" w:id="0">
    <w:p w:rsidR="00E83C4E" w:rsidRDefault="00E83C4E"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F8" w:rsidRDefault="00556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F8" w:rsidRDefault="00556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F8" w:rsidRDefault="00556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4E" w:rsidRDefault="00E83C4E" w:rsidP="008C225C">
      <w:r>
        <w:separator/>
      </w:r>
    </w:p>
  </w:footnote>
  <w:footnote w:type="continuationSeparator" w:id="0">
    <w:p w:rsidR="00E83C4E" w:rsidRDefault="00E83C4E"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F8" w:rsidRDefault="00556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F8" w:rsidRDefault="00556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F8" w:rsidRDefault="00556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4E"/>
    <w:rsid w:val="0002500C"/>
    <w:rsid w:val="000311FC"/>
    <w:rsid w:val="00081232"/>
    <w:rsid w:val="00091E65"/>
    <w:rsid w:val="00096D4A"/>
    <w:rsid w:val="000A38EA"/>
    <w:rsid w:val="000A56AE"/>
    <w:rsid w:val="000C1E47"/>
    <w:rsid w:val="000C26F3"/>
    <w:rsid w:val="0010799B"/>
    <w:rsid w:val="00117DB2"/>
    <w:rsid w:val="00123ED2"/>
    <w:rsid w:val="00125BE0"/>
    <w:rsid w:val="00142384"/>
    <w:rsid w:val="00142C13"/>
    <w:rsid w:val="00152776"/>
    <w:rsid w:val="00153222"/>
    <w:rsid w:val="001577D3"/>
    <w:rsid w:val="001733A6"/>
    <w:rsid w:val="00181905"/>
    <w:rsid w:val="001865A9"/>
    <w:rsid w:val="00187DB2"/>
    <w:rsid w:val="001B20BB"/>
    <w:rsid w:val="001C4370"/>
    <w:rsid w:val="001D3779"/>
    <w:rsid w:val="001F0469"/>
    <w:rsid w:val="00203A98"/>
    <w:rsid w:val="00206EDD"/>
    <w:rsid w:val="0021247E"/>
    <w:rsid w:val="002146F6"/>
    <w:rsid w:val="0022440C"/>
    <w:rsid w:val="00231C32"/>
    <w:rsid w:val="00240345"/>
    <w:rsid w:val="002421F0"/>
    <w:rsid w:val="00247274"/>
    <w:rsid w:val="00266966"/>
    <w:rsid w:val="002819BC"/>
    <w:rsid w:val="00294C0C"/>
    <w:rsid w:val="002A0934"/>
    <w:rsid w:val="002B1013"/>
    <w:rsid w:val="002C3A77"/>
    <w:rsid w:val="002D03E5"/>
    <w:rsid w:val="002E3F1D"/>
    <w:rsid w:val="002F31D0"/>
    <w:rsid w:val="00300359"/>
    <w:rsid w:val="0031773E"/>
    <w:rsid w:val="00347716"/>
    <w:rsid w:val="003506E1"/>
    <w:rsid w:val="0037297C"/>
    <w:rsid w:val="00385A93"/>
    <w:rsid w:val="003910F1"/>
    <w:rsid w:val="003E42FC"/>
    <w:rsid w:val="003E5991"/>
    <w:rsid w:val="003F344A"/>
    <w:rsid w:val="00403FF0"/>
    <w:rsid w:val="00407789"/>
    <w:rsid w:val="00420017"/>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0545"/>
    <w:rsid w:val="004E2BD8"/>
    <w:rsid w:val="004F0F1F"/>
    <w:rsid w:val="004F491A"/>
    <w:rsid w:val="005022AA"/>
    <w:rsid w:val="00504845"/>
    <w:rsid w:val="0050757F"/>
    <w:rsid w:val="00516AD2"/>
    <w:rsid w:val="00545DAE"/>
    <w:rsid w:val="005563F8"/>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67DD"/>
    <w:rsid w:val="0072478B"/>
    <w:rsid w:val="00730A14"/>
    <w:rsid w:val="0073414D"/>
    <w:rsid w:val="00747E01"/>
    <w:rsid w:val="0075235E"/>
    <w:rsid w:val="00767BA3"/>
    <w:rsid w:val="007732CC"/>
    <w:rsid w:val="00774079"/>
    <w:rsid w:val="0077752B"/>
    <w:rsid w:val="00793D6F"/>
    <w:rsid w:val="00794090"/>
    <w:rsid w:val="007A44F8"/>
    <w:rsid w:val="007D21BF"/>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64F4"/>
    <w:rsid w:val="008D7214"/>
    <w:rsid w:val="008D7ABD"/>
    <w:rsid w:val="008E55A2"/>
    <w:rsid w:val="008F1609"/>
    <w:rsid w:val="008F78D8"/>
    <w:rsid w:val="00922D85"/>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B6B96"/>
    <w:rsid w:val="00AC4E0E"/>
    <w:rsid w:val="00AC517B"/>
    <w:rsid w:val="00AE4A3A"/>
    <w:rsid w:val="00AF051B"/>
    <w:rsid w:val="00B037A2"/>
    <w:rsid w:val="00B31870"/>
    <w:rsid w:val="00B35EE2"/>
    <w:rsid w:val="00B36DEF"/>
    <w:rsid w:val="00B47F70"/>
    <w:rsid w:val="00B57131"/>
    <w:rsid w:val="00B62F2C"/>
    <w:rsid w:val="00B727C9"/>
    <w:rsid w:val="00B735C8"/>
    <w:rsid w:val="00B76A63"/>
    <w:rsid w:val="00BA6350"/>
    <w:rsid w:val="00BB4E29"/>
    <w:rsid w:val="00BB74C9"/>
    <w:rsid w:val="00BC3AB6"/>
    <w:rsid w:val="00BD19E8"/>
    <w:rsid w:val="00BD4273"/>
    <w:rsid w:val="00C26DBB"/>
    <w:rsid w:val="00C432E4"/>
    <w:rsid w:val="00C70C26"/>
    <w:rsid w:val="00C72001"/>
    <w:rsid w:val="00C772B7"/>
    <w:rsid w:val="00C80347"/>
    <w:rsid w:val="00C95FFD"/>
    <w:rsid w:val="00CA05ED"/>
    <w:rsid w:val="00CB7C1A"/>
    <w:rsid w:val="00CC5E08"/>
    <w:rsid w:val="00CF6860"/>
    <w:rsid w:val="00D02AC6"/>
    <w:rsid w:val="00D03F0C"/>
    <w:rsid w:val="00D04312"/>
    <w:rsid w:val="00D148D6"/>
    <w:rsid w:val="00D16A7F"/>
    <w:rsid w:val="00D16AD2"/>
    <w:rsid w:val="00D22596"/>
    <w:rsid w:val="00D22691"/>
    <w:rsid w:val="00D24C3D"/>
    <w:rsid w:val="00D46CB1"/>
    <w:rsid w:val="00D53EF3"/>
    <w:rsid w:val="00D723F0"/>
    <w:rsid w:val="00D8133F"/>
    <w:rsid w:val="00D87849"/>
    <w:rsid w:val="00D95B05"/>
    <w:rsid w:val="00D97E2D"/>
    <w:rsid w:val="00DA103D"/>
    <w:rsid w:val="00DA45D3"/>
    <w:rsid w:val="00DA4772"/>
    <w:rsid w:val="00DB2667"/>
    <w:rsid w:val="00DB67B7"/>
    <w:rsid w:val="00DC15A9"/>
    <w:rsid w:val="00DC40AA"/>
    <w:rsid w:val="00DD1750"/>
    <w:rsid w:val="00E25AAC"/>
    <w:rsid w:val="00E349AA"/>
    <w:rsid w:val="00E34E3F"/>
    <w:rsid w:val="00E41390"/>
    <w:rsid w:val="00E41CA0"/>
    <w:rsid w:val="00E4366B"/>
    <w:rsid w:val="00E50A4A"/>
    <w:rsid w:val="00E606DE"/>
    <w:rsid w:val="00E644FE"/>
    <w:rsid w:val="00E72733"/>
    <w:rsid w:val="00E742FA"/>
    <w:rsid w:val="00E83C4E"/>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43EBF"/>
    <w:rsid w:val="00F50D25"/>
    <w:rsid w:val="00F535D8"/>
    <w:rsid w:val="00F61155"/>
    <w:rsid w:val="00F669BE"/>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5563F8"/>
    <w:rPr>
      <w:rFonts w:ascii="Tahoma" w:hAnsi="Tahoma" w:cs="Tahoma"/>
      <w:sz w:val="16"/>
      <w:szCs w:val="16"/>
    </w:rPr>
  </w:style>
  <w:style w:type="character" w:customStyle="1" w:styleId="BalloonTextChar">
    <w:name w:val="Balloon Text Char"/>
    <w:basedOn w:val="DefaultParagraphFont"/>
    <w:link w:val="BalloonText"/>
    <w:semiHidden/>
    <w:rsid w:val="005563F8"/>
    <w:rPr>
      <w:rFonts w:ascii="Tahoma" w:hAnsi="Tahoma" w:cs="Tahoma"/>
      <w:sz w:val="16"/>
      <w:szCs w:val="16"/>
    </w:rPr>
  </w:style>
  <w:style w:type="paragraph" w:styleId="Header">
    <w:name w:val="header"/>
    <w:basedOn w:val="Normal"/>
    <w:link w:val="HeaderChar"/>
    <w:unhideWhenUsed/>
    <w:rsid w:val="005563F8"/>
    <w:pPr>
      <w:tabs>
        <w:tab w:val="center" w:pos="4680"/>
        <w:tab w:val="right" w:pos="9360"/>
      </w:tabs>
    </w:pPr>
  </w:style>
  <w:style w:type="character" w:customStyle="1" w:styleId="HeaderChar">
    <w:name w:val="Header Char"/>
    <w:basedOn w:val="DefaultParagraphFont"/>
    <w:link w:val="Header"/>
    <w:rsid w:val="005563F8"/>
    <w:rPr>
      <w:sz w:val="24"/>
      <w:szCs w:val="24"/>
    </w:rPr>
  </w:style>
  <w:style w:type="paragraph" w:styleId="Footer">
    <w:name w:val="footer"/>
    <w:basedOn w:val="Normal"/>
    <w:link w:val="FooterChar"/>
    <w:unhideWhenUsed/>
    <w:rsid w:val="005563F8"/>
    <w:pPr>
      <w:tabs>
        <w:tab w:val="center" w:pos="4680"/>
        <w:tab w:val="right" w:pos="9360"/>
      </w:tabs>
    </w:pPr>
  </w:style>
  <w:style w:type="character" w:customStyle="1" w:styleId="FooterChar">
    <w:name w:val="Footer Char"/>
    <w:basedOn w:val="DefaultParagraphFont"/>
    <w:link w:val="Footer"/>
    <w:rsid w:val="005563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5563F8"/>
    <w:rPr>
      <w:rFonts w:ascii="Tahoma" w:hAnsi="Tahoma" w:cs="Tahoma"/>
      <w:sz w:val="16"/>
      <w:szCs w:val="16"/>
    </w:rPr>
  </w:style>
  <w:style w:type="character" w:customStyle="1" w:styleId="BalloonTextChar">
    <w:name w:val="Balloon Text Char"/>
    <w:basedOn w:val="DefaultParagraphFont"/>
    <w:link w:val="BalloonText"/>
    <w:semiHidden/>
    <w:rsid w:val="005563F8"/>
    <w:rPr>
      <w:rFonts w:ascii="Tahoma" w:hAnsi="Tahoma" w:cs="Tahoma"/>
      <w:sz w:val="16"/>
      <w:szCs w:val="16"/>
    </w:rPr>
  </w:style>
  <w:style w:type="paragraph" w:styleId="Header">
    <w:name w:val="header"/>
    <w:basedOn w:val="Normal"/>
    <w:link w:val="HeaderChar"/>
    <w:unhideWhenUsed/>
    <w:rsid w:val="005563F8"/>
    <w:pPr>
      <w:tabs>
        <w:tab w:val="center" w:pos="4680"/>
        <w:tab w:val="right" w:pos="9360"/>
      </w:tabs>
    </w:pPr>
  </w:style>
  <w:style w:type="character" w:customStyle="1" w:styleId="HeaderChar">
    <w:name w:val="Header Char"/>
    <w:basedOn w:val="DefaultParagraphFont"/>
    <w:link w:val="Header"/>
    <w:rsid w:val="005563F8"/>
    <w:rPr>
      <w:sz w:val="24"/>
      <w:szCs w:val="24"/>
    </w:rPr>
  </w:style>
  <w:style w:type="paragraph" w:styleId="Footer">
    <w:name w:val="footer"/>
    <w:basedOn w:val="Normal"/>
    <w:link w:val="FooterChar"/>
    <w:unhideWhenUsed/>
    <w:rsid w:val="005563F8"/>
    <w:pPr>
      <w:tabs>
        <w:tab w:val="center" w:pos="4680"/>
        <w:tab w:val="right" w:pos="9360"/>
      </w:tabs>
    </w:pPr>
  </w:style>
  <w:style w:type="character" w:customStyle="1" w:styleId="FooterChar">
    <w:name w:val="Footer Char"/>
    <w:basedOn w:val="DefaultParagraphFont"/>
    <w:link w:val="Footer"/>
    <w:rsid w:val="005563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94947">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07846391">
      <w:bodyDiv w:val="1"/>
      <w:marLeft w:val="0"/>
      <w:marRight w:val="0"/>
      <w:marTop w:val="0"/>
      <w:marBottom w:val="0"/>
      <w:divBdr>
        <w:top w:val="none" w:sz="0" w:space="0" w:color="auto"/>
        <w:left w:val="none" w:sz="0" w:space="0" w:color="auto"/>
        <w:bottom w:val="none" w:sz="0" w:space="0" w:color="auto"/>
        <w:right w:val="none" w:sz="0" w:space="0" w:color="auto"/>
      </w:divBdr>
    </w:div>
    <w:div w:id="4484735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510169">
      <w:bodyDiv w:val="1"/>
      <w:marLeft w:val="0"/>
      <w:marRight w:val="0"/>
      <w:marTop w:val="0"/>
      <w:marBottom w:val="0"/>
      <w:divBdr>
        <w:top w:val="none" w:sz="0" w:space="0" w:color="auto"/>
        <w:left w:val="none" w:sz="0" w:space="0" w:color="auto"/>
        <w:bottom w:val="none" w:sz="0" w:space="0" w:color="auto"/>
        <w:right w:val="none" w:sz="0" w:space="0" w:color="auto"/>
      </w:divBdr>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891841">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24907">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22875072">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88631457">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live" TargetMode="External"/><Relationship Id="rId4" Type="http://schemas.openxmlformats.org/officeDocument/2006/relationships/settings" Target="settings.xml"/><Relationship Id="rId9" Type="http://schemas.openxmlformats.org/officeDocument/2006/relationships/hyperlink" Target="https://go.usa.gov/xX5Q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3909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2017-06-01T17:43:00Z</dcterms:created>
  <dcterms:modified xsi:type="dcterms:W3CDTF">2017-06-01T17:43:00Z</dcterms:modified>
  <cp:category> </cp:category>
  <cp:contentStatus> </cp:contentStatus>
</cp:coreProperties>
</file>