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w:t>
            </w:r>
            <w:r w:rsidR="00A41840" w:rsidRPr="00CA1E5E">
              <w:rPr>
                <w:b/>
                <w:bCs/>
                <w:caps/>
              </w:rPr>
              <w:t>FOR JULY OPEN</w:t>
            </w:r>
            <w:r w:rsidR="00A41840" w:rsidRPr="00B47F70">
              <w:rPr>
                <w:b/>
                <w:bCs/>
                <w:caps/>
              </w:rPr>
              <w:t xml:space="preserve">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A41840" w:rsidRPr="00CA1E5E">
              <w:rPr>
                <w:sz w:val="22"/>
                <w:szCs w:val="22"/>
              </w:rPr>
              <w:t>June 2</w:t>
            </w:r>
            <w:r w:rsidR="00CA1E5E" w:rsidRPr="00CA1E5E">
              <w:rPr>
                <w:sz w:val="22"/>
                <w:szCs w:val="22"/>
              </w:rPr>
              <w:t>2</w:t>
            </w:r>
            <w:r w:rsidR="00D148D6" w:rsidRPr="00CA1E5E">
              <w:rPr>
                <w:sz w:val="22"/>
                <w:szCs w:val="22"/>
              </w:rPr>
              <w:t>,</w:t>
            </w:r>
            <w:r w:rsidR="00D148D6">
              <w:rPr>
                <w:sz w:val="22"/>
                <w:szCs w:val="22"/>
              </w:rPr>
              <w:t xml:space="preserve">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w:t>
            </w:r>
            <w:r w:rsidR="00A41840" w:rsidRPr="00CA1E5E">
              <w:rPr>
                <w:sz w:val="22"/>
                <w:szCs w:val="22"/>
              </w:rPr>
              <w:t xml:space="preserve">the July Open Commission Meeting scheduled for </w:t>
            </w:r>
            <w:r w:rsidR="00D148D6" w:rsidRPr="00CA1E5E">
              <w:rPr>
                <w:sz w:val="22"/>
                <w:szCs w:val="22"/>
              </w:rPr>
              <w:t>Thursday, July 1</w:t>
            </w:r>
            <w:r w:rsidR="00CA1E5E" w:rsidRPr="00CA1E5E">
              <w:rPr>
                <w:sz w:val="22"/>
                <w:szCs w:val="22"/>
              </w:rPr>
              <w:t>3</w:t>
            </w:r>
            <w:r w:rsidR="00D148D6" w:rsidRPr="00CA1E5E">
              <w:rPr>
                <w:sz w:val="22"/>
                <w:szCs w:val="22"/>
              </w:rPr>
              <w:t>, 201</w:t>
            </w:r>
            <w:r w:rsidR="00A27E96" w:rsidRPr="00CA1E5E">
              <w:rPr>
                <w:sz w:val="22"/>
                <w:szCs w:val="22"/>
              </w:rPr>
              <w:t>7</w:t>
            </w:r>
            <w:r w:rsidR="00A41840" w:rsidRPr="00CA1E5E">
              <w:rPr>
                <w:sz w:val="22"/>
                <w:szCs w:val="22"/>
              </w:rPr>
              <w:t>:</w:t>
            </w:r>
          </w:p>
          <w:p w:rsidR="00A41840" w:rsidRDefault="00A41840" w:rsidP="00A41840">
            <w:pPr>
              <w:tabs>
                <w:tab w:val="left" w:pos="8640"/>
              </w:tabs>
              <w:rPr>
                <w:sz w:val="22"/>
                <w:szCs w:val="22"/>
              </w:rPr>
            </w:pPr>
          </w:p>
          <w:p w:rsidR="00635838" w:rsidRDefault="00635838" w:rsidP="00635838">
            <w:pPr>
              <w:tabs>
                <w:tab w:val="left" w:pos="8640"/>
              </w:tabs>
              <w:rPr>
                <w:sz w:val="22"/>
                <w:szCs w:val="22"/>
              </w:rPr>
            </w:pPr>
            <w:r w:rsidRPr="00635838">
              <w:rPr>
                <w:b/>
                <w:sz w:val="22"/>
                <w:szCs w:val="22"/>
              </w:rPr>
              <w:t>Call Authentication Trust Anchor</w:t>
            </w:r>
            <w:r>
              <w:rPr>
                <w:sz w:val="22"/>
                <w:szCs w:val="22"/>
              </w:rPr>
              <w:t xml:space="preserve"> – </w:t>
            </w:r>
            <w:r w:rsidRPr="00635838">
              <w:rPr>
                <w:sz w:val="22"/>
                <w:szCs w:val="22"/>
              </w:rPr>
              <w:t>The Commission will consider a Notice of Inquiry that seeks comment on methods to authenticate telephone calls to further secure our telephone networks against illegal robocallers. The Notice seeks comment on implementing authentication standards for telephone calls, as well as the Commission’s role in this process and other public policy considerations. (WC Docket No. 17-97)</w:t>
            </w:r>
          </w:p>
          <w:p w:rsidR="00635838" w:rsidRDefault="00635838" w:rsidP="00A41840">
            <w:pPr>
              <w:tabs>
                <w:tab w:val="left" w:pos="8640"/>
              </w:tabs>
              <w:rPr>
                <w:b/>
                <w:sz w:val="22"/>
                <w:szCs w:val="22"/>
              </w:rPr>
            </w:pPr>
          </w:p>
          <w:p w:rsidR="00AE2244" w:rsidRPr="00AE2244" w:rsidRDefault="00AE2244" w:rsidP="00AE2244">
            <w:pPr>
              <w:tabs>
                <w:tab w:val="left" w:pos="8640"/>
              </w:tabs>
              <w:rPr>
                <w:b/>
                <w:sz w:val="22"/>
                <w:szCs w:val="22"/>
              </w:rPr>
            </w:pPr>
            <w:r w:rsidRPr="00AE2244">
              <w:rPr>
                <w:b/>
                <w:sz w:val="22"/>
                <w:szCs w:val="22"/>
              </w:rPr>
              <w:t xml:space="preserve">Advanced Methods to Target and Eliminate Unlawful Robocalls – </w:t>
            </w:r>
            <w:r w:rsidRPr="00AE2244">
              <w:rPr>
                <w:sz w:val="22"/>
                <w:szCs w:val="22"/>
              </w:rPr>
              <w:t>The Commission will consider a Notice of Inquiry that explores methods by which reassigned telephone number data could be made available to callers to avoid making unwanted calls to consumers. (CG Docket No. 17-59)</w:t>
            </w:r>
          </w:p>
          <w:p w:rsidR="00AE2244" w:rsidRPr="00AE2244" w:rsidRDefault="00AE2244" w:rsidP="00AE2244">
            <w:pPr>
              <w:tabs>
                <w:tab w:val="left" w:pos="8640"/>
              </w:tabs>
              <w:rPr>
                <w:b/>
                <w:sz w:val="22"/>
                <w:szCs w:val="22"/>
              </w:rPr>
            </w:pPr>
          </w:p>
          <w:p w:rsidR="00AE2244" w:rsidRDefault="00AE2244" w:rsidP="00AE2244">
            <w:pPr>
              <w:tabs>
                <w:tab w:val="left" w:pos="8640"/>
              </w:tabs>
              <w:rPr>
                <w:b/>
                <w:sz w:val="22"/>
                <w:szCs w:val="22"/>
              </w:rPr>
            </w:pPr>
            <w:r w:rsidRPr="00AE2244">
              <w:rPr>
                <w:b/>
                <w:sz w:val="22"/>
                <w:szCs w:val="22"/>
              </w:rPr>
              <w:t xml:space="preserve">Protecting Consumers from Unauthorized Carrier Changes and Related Unauthorized Charges – </w:t>
            </w:r>
            <w:r w:rsidRPr="00AE2244">
              <w:rPr>
                <w:sz w:val="22"/>
                <w:szCs w:val="22"/>
              </w:rPr>
              <w:t>The Commission will consider a Notice of Proposed Rulemaking outlining steps to further curtail slamming and cramming. (CG Docket No. 17-169)</w:t>
            </w:r>
          </w:p>
          <w:p w:rsidR="00AE2244" w:rsidRDefault="00AE2244" w:rsidP="00A41840">
            <w:pPr>
              <w:tabs>
                <w:tab w:val="left" w:pos="8640"/>
              </w:tabs>
              <w:rPr>
                <w:sz w:val="22"/>
                <w:szCs w:val="22"/>
              </w:rPr>
            </w:pPr>
          </w:p>
          <w:p w:rsidR="00635838" w:rsidRDefault="00635838" w:rsidP="00635838">
            <w:pPr>
              <w:tabs>
                <w:tab w:val="left" w:pos="8640"/>
              </w:tabs>
              <w:rPr>
                <w:sz w:val="22"/>
                <w:szCs w:val="22"/>
              </w:rPr>
            </w:pPr>
            <w:r w:rsidRPr="00635838">
              <w:rPr>
                <w:b/>
                <w:sz w:val="22"/>
                <w:szCs w:val="22"/>
              </w:rPr>
              <w:t>Rural Call Completion</w:t>
            </w:r>
            <w:r w:rsidRPr="00635838">
              <w:rPr>
                <w:sz w:val="22"/>
                <w:szCs w:val="22"/>
              </w:rPr>
              <w:t xml:space="preserve"> </w:t>
            </w:r>
            <w:r>
              <w:rPr>
                <w:sz w:val="22"/>
                <w:szCs w:val="22"/>
              </w:rPr>
              <w:t xml:space="preserve">- </w:t>
            </w:r>
            <w:r w:rsidRPr="00635838">
              <w:rPr>
                <w:sz w:val="22"/>
                <w:szCs w:val="22"/>
              </w:rPr>
              <w:t xml:space="preserve">The Commission will consider a Second Further Notice of Proposed Rulemaking that proposes rule changes to better address ongoing problems in the completion of long-distance telephone calls to rural areas.  The Second Further Notice of Proposed Rulemaking proposes to (1) adopt new rural call completion requirements for covered providers, and (2) eliminate the Commission’s existing rural call completion recording, </w:t>
            </w:r>
            <w:r w:rsidR="00EC1BFC">
              <w:rPr>
                <w:sz w:val="22"/>
                <w:szCs w:val="22"/>
              </w:rPr>
              <w:t>retention, and reporting rules.</w:t>
            </w:r>
            <w:r w:rsidR="004F59DB">
              <w:rPr>
                <w:sz w:val="22"/>
                <w:szCs w:val="22"/>
              </w:rPr>
              <w:t xml:space="preserve"> (WC Docket No. 13-39)</w:t>
            </w:r>
          </w:p>
          <w:p w:rsidR="0099791A" w:rsidRDefault="0099791A" w:rsidP="00635838">
            <w:pPr>
              <w:tabs>
                <w:tab w:val="left" w:pos="8640"/>
              </w:tabs>
              <w:rPr>
                <w:sz w:val="22"/>
                <w:szCs w:val="22"/>
              </w:rPr>
            </w:pPr>
          </w:p>
          <w:p w:rsidR="0099791A" w:rsidRDefault="0099791A" w:rsidP="0099791A">
            <w:pPr>
              <w:tabs>
                <w:tab w:val="left" w:pos="8640"/>
              </w:tabs>
              <w:rPr>
                <w:b/>
                <w:sz w:val="22"/>
                <w:szCs w:val="22"/>
              </w:rPr>
            </w:pPr>
            <w:r>
              <w:rPr>
                <w:b/>
                <w:sz w:val="22"/>
                <w:szCs w:val="22"/>
              </w:rPr>
              <w:t>Video Description –</w:t>
            </w:r>
            <w:r w:rsidRPr="00A6313B">
              <w:rPr>
                <w:sz w:val="22"/>
                <w:szCs w:val="22"/>
              </w:rPr>
              <w:t xml:space="preserve"> The Commission will consider a Report and Order which increases the required hours of video described programming that covered broadcast stations and </w:t>
            </w:r>
            <w:r>
              <w:rPr>
                <w:sz w:val="22"/>
                <w:szCs w:val="22"/>
              </w:rPr>
              <w:t xml:space="preserve">MVPDs must provide to consumers. </w:t>
            </w:r>
            <w:r w:rsidRPr="00A6313B">
              <w:rPr>
                <w:sz w:val="22"/>
                <w:szCs w:val="22"/>
              </w:rPr>
              <w:t>(MB Docket No. 11-43)</w:t>
            </w:r>
            <w:r w:rsidRPr="00A6313B">
              <w:rPr>
                <w:b/>
                <w:sz w:val="22"/>
                <w:szCs w:val="22"/>
              </w:rPr>
              <w:t xml:space="preserve">  </w:t>
            </w:r>
          </w:p>
          <w:p w:rsidR="00635838" w:rsidRDefault="00635838" w:rsidP="00A41840">
            <w:pPr>
              <w:tabs>
                <w:tab w:val="left" w:pos="8640"/>
              </w:tabs>
              <w:rPr>
                <w:sz w:val="22"/>
                <w:szCs w:val="22"/>
              </w:rPr>
            </w:pPr>
          </w:p>
          <w:p w:rsidR="00635838" w:rsidRPr="00635838" w:rsidRDefault="00635838" w:rsidP="00635838">
            <w:pPr>
              <w:tabs>
                <w:tab w:val="left" w:pos="8640"/>
              </w:tabs>
              <w:rPr>
                <w:sz w:val="22"/>
                <w:szCs w:val="22"/>
              </w:rPr>
            </w:pPr>
            <w:r w:rsidRPr="00635838">
              <w:rPr>
                <w:b/>
                <w:sz w:val="22"/>
                <w:szCs w:val="22"/>
              </w:rPr>
              <w:t>Updating the Part 2 Equipment Authorization Program</w:t>
            </w:r>
            <w:r w:rsidRPr="00635838">
              <w:rPr>
                <w:sz w:val="22"/>
                <w:szCs w:val="22"/>
              </w:rPr>
              <w:t xml:space="preserve"> – The Commission will consider a First Report and Order that would update and amend its equipment authorization program by replacing two certification procedures with a new Supplier’s Declaration of Conformity process, codifying procedures for the electronic labeling of devices, modernizing the requirements related to the importation of electronic equipment, and incorporating up-to-date methods for equipment compliance measurements into the rules. (ET Docket No. 15-170)</w:t>
            </w:r>
          </w:p>
          <w:p w:rsidR="00635838" w:rsidRPr="00635838" w:rsidRDefault="00635838" w:rsidP="00635838">
            <w:pPr>
              <w:tabs>
                <w:tab w:val="left" w:pos="8640"/>
              </w:tabs>
              <w:rPr>
                <w:sz w:val="22"/>
                <w:szCs w:val="22"/>
              </w:rPr>
            </w:pPr>
          </w:p>
          <w:p w:rsidR="00CA1E5E" w:rsidRDefault="00635838" w:rsidP="00635838">
            <w:pPr>
              <w:tabs>
                <w:tab w:val="left" w:pos="8640"/>
              </w:tabs>
              <w:rPr>
                <w:sz w:val="22"/>
                <w:szCs w:val="22"/>
              </w:rPr>
            </w:pPr>
            <w:r w:rsidRPr="00635838">
              <w:rPr>
                <w:b/>
                <w:sz w:val="22"/>
                <w:szCs w:val="22"/>
              </w:rPr>
              <w:t>Radar Services in the 76-81 GHz Band</w:t>
            </w:r>
            <w:r w:rsidRPr="00635838">
              <w:rPr>
                <w:sz w:val="22"/>
                <w:szCs w:val="22"/>
              </w:rPr>
              <w:t xml:space="preserve"> – The Commission will consider a Report and Order that would address use of the 76-81 GHz band under the Part 95 rules to support a broad range of vehicular radar uses, such as collision avoidance and adaptive cruise control systems, as well as to expand the types of fixed and mobile radar operations permitted within airport environments. (ET Docket No. 15-26)</w:t>
            </w:r>
          </w:p>
          <w:p w:rsidR="0099791A" w:rsidRDefault="0099791A" w:rsidP="00A6313B">
            <w:pPr>
              <w:tabs>
                <w:tab w:val="left" w:pos="8640"/>
              </w:tabs>
              <w:rPr>
                <w:b/>
                <w:sz w:val="22"/>
                <w:szCs w:val="22"/>
              </w:rPr>
            </w:pPr>
          </w:p>
          <w:p w:rsidR="0099791A" w:rsidRPr="00635838" w:rsidRDefault="0099791A" w:rsidP="00A6313B">
            <w:pPr>
              <w:tabs>
                <w:tab w:val="left" w:pos="8640"/>
              </w:tabs>
              <w:rPr>
                <w:b/>
                <w:sz w:val="22"/>
                <w:szCs w:val="22"/>
              </w:rPr>
            </w:pPr>
            <w:r w:rsidRPr="0099791A">
              <w:rPr>
                <w:b/>
                <w:sz w:val="22"/>
                <w:szCs w:val="22"/>
              </w:rPr>
              <w:t xml:space="preserve">Wireless Microphone Operations – </w:t>
            </w:r>
            <w:r w:rsidRPr="0099791A">
              <w:rPr>
                <w:sz w:val="22"/>
                <w:szCs w:val="22"/>
              </w:rPr>
              <w:t>The Commission will consider an Order on Reconsideration and Further Notice of Proposed Rulemaking that would address licensed and unlicensed wireless microphone operations in the TV bands and various other freque</w:t>
            </w:r>
            <w:r w:rsidR="00D00585">
              <w:rPr>
                <w:sz w:val="22"/>
                <w:szCs w:val="22"/>
              </w:rPr>
              <w:t>ncy bands</w:t>
            </w:r>
            <w:r w:rsidR="00D94080">
              <w:rPr>
                <w:sz w:val="22"/>
                <w:szCs w:val="22"/>
              </w:rPr>
              <w:t>.</w:t>
            </w:r>
            <w:r w:rsidR="00D00585">
              <w:rPr>
                <w:sz w:val="22"/>
                <w:szCs w:val="22"/>
              </w:rPr>
              <w:t xml:space="preserve"> (GN Docket No. 14-166; </w:t>
            </w:r>
            <w:r w:rsidRPr="0099791A">
              <w:rPr>
                <w:sz w:val="22"/>
                <w:szCs w:val="22"/>
              </w:rPr>
              <w:t>ET Docket No. 14-165)</w:t>
            </w:r>
          </w:p>
          <w:p w:rsidR="00635838" w:rsidRDefault="00635838" w:rsidP="00A41840">
            <w:pPr>
              <w:tabs>
                <w:tab w:val="left" w:pos="8640"/>
              </w:tabs>
              <w:rPr>
                <w:sz w:val="22"/>
                <w:szCs w:val="22"/>
              </w:rPr>
            </w:pPr>
          </w:p>
          <w:p w:rsidR="003B46F3" w:rsidRPr="00A41840" w:rsidRDefault="003B46F3" w:rsidP="00A41840">
            <w:pPr>
              <w:tabs>
                <w:tab w:val="left" w:pos="8640"/>
              </w:tabs>
              <w:rPr>
                <w:sz w:val="22"/>
                <w:szCs w:val="22"/>
              </w:rPr>
            </w:pPr>
          </w:p>
          <w:p w:rsidR="002A392C" w:rsidRDefault="002A392C" w:rsidP="002A392C">
            <w:pPr>
              <w:tabs>
                <w:tab w:val="left" w:pos="8640"/>
              </w:tabs>
            </w:pPr>
            <w:r w:rsidRPr="00E25AAC">
              <w:rPr>
                <w:bCs/>
                <w:sz w:val="22"/>
                <w:szCs w:val="22"/>
              </w:rPr>
              <w:t xml:space="preserve">Public Drafts of Meeting Items – </w:t>
            </w:r>
            <w:r w:rsidRPr="00CA05ED">
              <w:rPr>
                <w:bCs/>
                <w:sz w:val="22"/>
                <w:szCs w:val="22"/>
              </w:rPr>
              <w:t>Continuing the Chairman’s pilot program, the FCC is publicly releasing the draft text of each item expected to be considered at the next Open Commission Meeting.  One-page cover sheets are included in the public drafts to help summarize each item.  All these materials will be available on the e</w:t>
            </w:r>
            <w:r>
              <w:rPr>
                <w:bCs/>
                <w:sz w:val="22"/>
                <w:szCs w:val="22"/>
              </w:rPr>
              <w:t>vent page for the Open Meeting:</w:t>
            </w:r>
            <w:r w:rsidRPr="007B3A48">
              <w:rPr>
                <w:bCs/>
                <w:sz w:val="22"/>
                <w:szCs w:val="22"/>
              </w:rPr>
              <w:t xml:space="preserve"> </w:t>
            </w:r>
            <w:hyperlink r:id="rId9" w:history="1">
              <w:r w:rsidRPr="007B3A48">
                <w:rPr>
                  <w:rStyle w:val="Hyperlink"/>
                  <w:sz w:val="22"/>
                  <w:szCs w:val="22"/>
                </w:rPr>
                <w:t>https://go.usa.gov/xX5Qn</w:t>
              </w:r>
            </w:hyperlink>
          </w:p>
          <w:p w:rsidR="002A392C" w:rsidRPr="00A41840" w:rsidRDefault="002A392C" w:rsidP="002A392C">
            <w:pPr>
              <w:tabs>
                <w:tab w:val="left" w:pos="8640"/>
              </w:tabs>
              <w:rPr>
                <w:sz w:val="22"/>
                <w:szCs w:val="22"/>
              </w:rPr>
            </w:pPr>
          </w:p>
          <w:p w:rsidR="002A392C" w:rsidRPr="009075EF" w:rsidRDefault="002A392C" w:rsidP="002A392C">
            <w:pPr>
              <w:tabs>
                <w:tab w:val="left" w:pos="8640"/>
              </w:tabs>
              <w:rPr>
                <w:sz w:val="22"/>
                <w:szCs w:val="22"/>
              </w:rPr>
            </w:pPr>
            <w:r w:rsidRPr="00545AEC">
              <w:rPr>
                <w:sz w:val="22"/>
                <w:szCs w:val="22"/>
              </w:rPr>
              <w:t xml:space="preserve">The Open Meeting is scheduled to commence at 10:30 a.m. EDT in </w:t>
            </w:r>
            <w:r>
              <w:rPr>
                <w:sz w:val="22"/>
                <w:szCs w:val="22"/>
              </w:rPr>
              <w:t>the Commission Meeting Room (</w:t>
            </w:r>
            <w:r w:rsidRPr="00545AEC">
              <w:rPr>
                <w:sz w:val="22"/>
                <w:szCs w:val="22"/>
              </w:rPr>
              <w:t>Room TW-C305</w:t>
            </w:r>
            <w:r>
              <w:rPr>
                <w:sz w:val="22"/>
                <w:szCs w:val="22"/>
              </w:rPr>
              <w:t>)</w:t>
            </w:r>
            <w:r w:rsidRPr="00545AEC">
              <w:rPr>
                <w:sz w:val="22"/>
                <w:szCs w:val="22"/>
              </w:rPr>
              <w:t xml:space="preserve"> of the Federal Communications Commission, 445 12th Street, S.W., Washington, D.C.  While the Open Meeting is open to the public, the FCC headquarters building is not open access, and all guest</w:t>
            </w:r>
            <w:r>
              <w:rPr>
                <w:sz w:val="22"/>
                <w:szCs w:val="22"/>
              </w:rPr>
              <w:t>s</w:t>
            </w:r>
            <w:r w:rsidRPr="00545AEC">
              <w:rPr>
                <w:sz w:val="22"/>
                <w:szCs w:val="22"/>
              </w:rPr>
              <w:t xml:space="preserve"> must check in with and be screened by FCC security at the main entrance on 12th Street. Open Meetings are streamed live at </w:t>
            </w:r>
            <w:hyperlink r:id="rId10" w:history="1">
              <w:r w:rsidRPr="004435BC">
                <w:rPr>
                  <w:rStyle w:val="Hyperlink"/>
                  <w:sz w:val="22"/>
                  <w:szCs w:val="22"/>
                </w:rPr>
                <w:t>www.fcc.gov/live</w:t>
              </w:r>
            </w:hyperlink>
            <w:r>
              <w:rPr>
                <w:sz w:val="22"/>
                <w:szCs w:val="22"/>
              </w:rPr>
              <w:t xml:space="preserve"> </w:t>
            </w:r>
            <w:r w:rsidRPr="00545AEC">
              <w:rPr>
                <w:sz w:val="22"/>
                <w:szCs w:val="22"/>
              </w:rPr>
              <w:t>and can be followed on social media with #OpenMtgFCC</w:t>
            </w:r>
            <w:r w:rsidRPr="009075EF">
              <w:rPr>
                <w:sz w:val="22"/>
                <w:szCs w:val="22"/>
              </w:rPr>
              <w:t>.</w:t>
            </w:r>
          </w:p>
          <w:p w:rsidR="002819BC" w:rsidRPr="009075EF" w:rsidRDefault="002819BC" w:rsidP="002819BC">
            <w:pPr>
              <w:tabs>
                <w:tab w:val="left" w:pos="8640"/>
              </w:tabs>
              <w:rPr>
                <w:sz w:val="22"/>
                <w:szCs w:val="22"/>
              </w:rPr>
            </w:pPr>
          </w:p>
          <w:p w:rsidR="00BD19E8" w:rsidRDefault="002A392C" w:rsidP="00E349AA">
            <w:pPr>
              <w:jc w:val="both"/>
              <w:rPr>
                <w:sz w:val="22"/>
                <w:szCs w:val="22"/>
              </w:rPr>
            </w:pPr>
            <w:r w:rsidRPr="009075EF">
              <w:rPr>
                <w:sz w:val="22"/>
                <w:szCs w:val="22"/>
              </w:rPr>
              <w:t>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w:t>
            </w:r>
            <w:r w:rsidRPr="002A392C">
              <w:rPr>
                <w:sz w:val="22"/>
                <w:szCs w:val="22"/>
              </w:rPr>
              <w:t xml:space="preserve">  </w:t>
            </w:r>
          </w:p>
          <w:p w:rsidR="002A392C" w:rsidRPr="008A3940" w:rsidRDefault="002A392C" w:rsidP="00E349AA">
            <w:pPr>
              <w:jc w:val="both"/>
              <w:rPr>
                <w:rStyle w:val="Hyperlink"/>
                <w:sz w:val="22"/>
                <w:szCs w:val="22"/>
              </w:rPr>
            </w:pPr>
          </w:p>
          <w:p w:rsidR="004F0F1F" w:rsidRPr="008A3940" w:rsidRDefault="00F708E3" w:rsidP="00B47F70">
            <w:pPr>
              <w:ind w:right="72"/>
              <w:jc w:val="center"/>
              <w:rPr>
                <w:sz w:val="22"/>
                <w:szCs w:val="22"/>
              </w:rPr>
            </w:pPr>
            <w:r w:rsidRPr="008A3940">
              <w:rPr>
                <w:sz w:val="22"/>
                <w:szCs w:val="22"/>
              </w:rPr>
              <w:t>###</w:t>
            </w:r>
          </w:p>
          <w:p w:rsidR="00E644FE" w:rsidRPr="006B0A70" w:rsidRDefault="00E644FE" w:rsidP="00B47F70">
            <w:pPr>
              <w:ind w:right="72"/>
              <w:jc w:val="center"/>
              <w:rPr>
                <w:b/>
                <w:bCs/>
                <w:sz w:val="18"/>
                <w:szCs w:val="18"/>
              </w:rPr>
            </w:pPr>
            <w:r w:rsidRPr="006B0A70">
              <w:rPr>
                <w:b/>
                <w:bCs/>
                <w:sz w:val="32"/>
                <w:szCs w:val="32"/>
              </w:rPr>
              <w:br/>
            </w:r>
            <w:r w:rsidRPr="006B0A70">
              <w:rPr>
                <w:b/>
                <w:bCs/>
                <w:sz w:val="18"/>
                <w:szCs w:val="18"/>
              </w:rPr>
              <w:t>Office of Media Relations: 202.418.0500</w:t>
            </w:r>
          </w:p>
          <w:p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rsidR="002819BC" w:rsidRDefault="002819BC" w:rsidP="00B47F70">
            <w:pPr>
              <w:ind w:right="72"/>
              <w:jc w:val="center"/>
              <w:rPr>
                <w:b/>
                <w:bCs/>
                <w:sz w:val="18"/>
                <w:szCs w:val="18"/>
              </w:rPr>
            </w:pPr>
            <w:r>
              <w:rPr>
                <w:b/>
                <w:bCs/>
                <w:sz w:val="18"/>
                <w:szCs w:val="18"/>
              </w:rPr>
              <w:t>Twitter: @FCC</w:t>
            </w:r>
          </w:p>
          <w:p w:rsidR="002819BC" w:rsidRDefault="002819BC" w:rsidP="00B47F70">
            <w:pPr>
              <w:ind w:right="72"/>
              <w:jc w:val="center"/>
              <w:rPr>
                <w:b/>
                <w:bCs/>
                <w:sz w:val="18"/>
                <w:szCs w:val="18"/>
              </w:rPr>
            </w:pPr>
            <w:r>
              <w:rPr>
                <w:b/>
                <w:bCs/>
                <w:sz w:val="18"/>
                <w:szCs w:val="18"/>
              </w:rPr>
              <w:t>#OpenMtgFCC</w:t>
            </w:r>
          </w:p>
          <w:p w:rsidR="002819BC" w:rsidRPr="00EE0E90" w:rsidRDefault="002819BC" w:rsidP="00B47F70">
            <w:pPr>
              <w:ind w:right="72"/>
              <w:jc w:val="center"/>
              <w:rPr>
                <w:b/>
                <w:bCs/>
                <w:sz w:val="18"/>
                <w:szCs w:val="18"/>
              </w:rPr>
            </w:pPr>
            <w:r w:rsidRPr="007B3A48">
              <w:rPr>
                <w:b/>
                <w:bCs/>
                <w:sz w:val="18"/>
                <w:szCs w:val="18"/>
              </w:rPr>
              <w:t>www.fcc.gov/office-media-relations</w:t>
            </w:r>
          </w:p>
          <w:p w:rsidR="00EE0E90" w:rsidRDefault="00EE0E90" w:rsidP="00B47F70">
            <w:pPr>
              <w:ind w:right="72"/>
              <w:jc w:val="center"/>
              <w:rPr>
                <w:b/>
                <w:bCs/>
                <w:sz w:val="18"/>
                <w:szCs w:val="18"/>
              </w:rPr>
            </w:pPr>
          </w:p>
          <w:p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71" w:rsidRDefault="005A4171" w:rsidP="008C225C">
      <w:r>
        <w:separator/>
      </w:r>
    </w:p>
  </w:endnote>
  <w:endnote w:type="continuationSeparator" w:id="0">
    <w:p w:rsidR="005A4171" w:rsidRDefault="005A4171"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71" w:rsidRDefault="005A4171" w:rsidP="008C225C">
      <w:r>
        <w:separator/>
      </w:r>
    </w:p>
  </w:footnote>
  <w:footnote w:type="continuationSeparator" w:id="0">
    <w:p w:rsidR="005A4171" w:rsidRDefault="005A4171"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4" w:rsidRDefault="005C5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71"/>
    <w:rsid w:val="0002500C"/>
    <w:rsid w:val="000311FC"/>
    <w:rsid w:val="00081232"/>
    <w:rsid w:val="00091E65"/>
    <w:rsid w:val="00096D4A"/>
    <w:rsid w:val="000A38EA"/>
    <w:rsid w:val="000A56AE"/>
    <w:rsid w:val="000C1E47"/>
    <w:rsid w:val="000C26F3"/>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A392C"/>
    <w:rsid w:val="002B1013"/>
    <w:rsid w:val="002D03E5"/>
    <w:rsid w:val="002E3F1D"/>
    <w:rsid w:val="002F31D0"/>
    <w:rsid w:val="00300359"/>
    <w:rsid w:val="0031773E"/>
    <w:rsid w:val="00347716"/>
    <w:rsid w:val="003506E1"/>
    <w:rsid w:val="00385A93"/>
    <w:rsid w:val="003910F1"/>
    <w:rsid w:val="003B46F3"/>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59DB"/>
    <w:rsid w:val="005022AA"/>
    <w:rsid w:val="00504845"/>
    <w:rsid w:val="0050668C"/>
    <w:rsid w:val="0050757F"/>
    <w:rsid w:val="00516AD2"/>
    <w:rsid w:val="00545DAE"/>
    <w:rsid w:val="00571B83"/>
    <w:rsid w:val="00575A00"/>
    <w:rsid w:val="0058673C"/>
    <w:rsid w:val="005A4171"/>
    <w:rsid w:val="005A7407"/>
    <w:rsid w:val="005A7972"/>
    <w:rsid w:val="005B17E7"/>
    <w:rsid w:val="005B2643"/>
    <w:rsid w:val="005B578D"/>
    <w:rsid w:val="005C5D64"/>
    <w:rsid w:val="005D17FD"/>
    <w:rsid w:val="005F0D55"/>
    <w:rsid w:val="005F183E"/>
    <w:rsid w:val="00600DDA"/>
    <w:rsid w:val="00604211"/>
    <w:rsid w:val="00613498"/>
    <w:rsid w:val="00617B94"/>
    <w:rsid w:val="00620BED"/>
    <w:rsid w:val="00635838"/>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281C"/>
    <w:rsid w:val="006E4A76"/>
    <w:rsid w:val="006F1DBD"/>
    <w:rsid w:val="00700556"/>
    <w:rsid w:val="007167DD"/>
    <w:rsid w:val="0072478B"/>
    <w:rsid w:val="0073414D"/>
    <w:rsid w:val="0075235E"/>
    <w:rsid w:val="00767BA3"/>
    <w:rsid w:val="007732CC"/>
    <w:rsid w:val="00774079"/>
    <w:rsid w:val="0077752B"/>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75EF"/>
    <w:rsid w:val="00922D85"/>
    <w:rsid w:val="00950F28"/>
    <w:rsid w:val="00961620"/>
    <w:rsid w:val="009734B6"/>
    <w:rsid w:val="0098096F"/>
    <w:rsid w:val="0098437A"/>
    <w:rsid w:val="00986C92"/>
    <w:rsid w:val="00993C47"/>
    <w:rsid w:val="0099791A"/>
    <w:rsid w:val="009A5E3A"/>
    <w:rsid w:val="009B4B16"/>
    <w:rsid w:val="009E54A1"/>
    <w:rsid w:val="009F4E25"/>
    <w:rsid w:val="009F5B1F"/>
    <w:rsid w:val="00A27E96"/>
    <w:rsid w:val="00A35DFD"/>
    <w:rsid w:val="00A41840"/>
    <w:rsid w:val="00A6313B"/>
    <w:rsid w:val="00A702DF"/>
    <w:rsid w:val="00A775A3"/>
    <w:rsid w:val="00A81B5B"/>
    <w:rsid w:val="00A82FAD"/>
    <w:rsid w:val="00A92970"/>
    <w:rsid w:val="00A9673A"/>
    <w:rsid w:val="00A96EF2"/>
    <w:rsid w:val="00A975FE"/>
    <w:rsid w:val="00AA3AB9"/>
    <w:rsid w:val="00AA5C35"/>
    <w:rsid w:val="00AA5ED9"/>
    <w:rsid w:val="00AC4E0E"/>
    <w:rsid w:val="00AC517B"/>
    <w:rsid w:val="00AE2244"/>
    <w:rsid w:val="00AE4A3A"/>
    <w:rsid w:val="00AF051B"/>
    <w:rsid w:val="00B037A2"/>
    <w:rsid w:val="00B31870"/>
    <w:rsid w:val="00B35EE2"/>
    <w:rsid w:val="00B36DEF"/>
    <w:rsid w:val="00B47F70"/>
    <w:rsid w:val="00B57131"/>
    <w:rsid w:val="00B62F2C"/>
    <w:rsid w:val="00B727C9"/>
    <w:rsid w:val="00B735C8"/>
    <w:rsid w:val="00B76A63"/>
    <w:rsid w:val="00BA6350"/>
    <w:rsid w:val="00BB4E29"/>
    <w:rsid w:val="00BB74C9"/>
    <w:rsid w:val="00BC3AB6"/>
    <w:rsid w:val="00BD19E8"/>
    <w:rsid w:val="00BD4273"/>
    <w:rsid w:val="00C26DBB"/>
    <w:rsid w:val="00C432E4"/>
    <w:rsid w:val="00C70C26"/>
    <w:rsid w:val="00C72001"/>
    <w:rsid w:val="00C772B7"/>
    <w:rsid w:val="00C80347"/>
    <w:rsid w:val="00CA1E5E"/>
    <w:rsid w:val="00CB7C1A"/>
    <w:rsid w:val="00CC5E08"/>
    <w:rsid w:val="00CD7796"/>
    <w:rsid w:val="00CF6860"/>
    <w:rsid w:val="00D00585"/>
    <w:rsid w:val="00D02AC6"/>
    <w:rsid w:val="00D03F0C"/>
    <w:rsid w:val="00D04312"/>
    <w:rsid w:val="00D148D6"/>
    <w:rsid w:val="00D16A7F"/>
    <w:rsid w:val="00D16AD2"/>
    <w:rsid w:val="00D22596"/>
    <w:rsid w:val="00D22691"/>
    <w:rsid w:val="00D24C3D"/>
    <w:rsid w:val="00D46CB1"/>
    <w:rsid w:val="00D723F0"/>
    <w:rsid w:val="00D8133F"/>
    <w:rsid w:val="00D94080"/>
    <w:rsid w:val="00D95B05"/>
    <w:rsid w:val="00D97E2D"/>
    <w:rsid w:val="00DA103D"/>
    <w:rsid w:val="00DA1D18"/>
    <w:rsid w:val="00DA45D3"/>
    <w:rsid w:val="00DA4772"/>
    <w:rsid w:val="00DB2667"/>
    <w:rsid w:val="00DB67B7"/>
    <w:rsid w:val="00DC15A9"/>
    <w:rsid w:val="00DC40AA"/>
    <w:rsid w:val="00DD1750"/>
    <w:rsid w:val="00E349AA"/>
    <w:rsid w:val="00E34E3F"/>
    <w:rsid w:val="00E41390"/>
    <w:rsid w:val="00E41CA0"/>
    <w:rsid w:val="00E4366B"/>
    <w:rsid w:val="00E50A4A"/>
    <w:rsid w:val="00E57296"/>
    <w:rsid w:val="00E606DE"/>
    <w:rsid w:val="00E644FE"/>
    <w:rsid w:val="00E72733"/>
    <w:rsid w:val="00E742FA"/>
    <w:rsid w:val="00E83DBF"/>
    <w:rsid w:val="00E87C13"/>
    <w:rsid w:val="00E94CD9"/>
    <w:rsid w:val="00EA1A76"/>
    <w:rsid w:val="00EA290B"/>
    <w:rsid w:val="00EC1BFC"/>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17B"/>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C5D64"/>
    <w:rPr>
      <w:rFonts w:ascii="Tahoma" w:hAnsi="Tahoma" w:cs="Tahoma"/>
      <w:sz w:val="16"/>
      <w:szCs w:val="16"/>
    </w:rPr>
  </w:style>
  <w:style w:type="character" w:customStyle="1" w:styleId="BalloonTextChar">
    <w:name w:val="Balloon Text Char"/>
    <w:basedOn w:val="DefaultParagraphFont"/>
    <w:link w:val="BalloonText"/>
    <w:semiHidden/>
    <w:rsid w:val="005C5D64"/>
    <w:rPr>
      <w:rFonts w:ascii="Tahoma" w:hAnsi="Tahoma" w:cs="Tahoma"/>
      <w:sz w:val="16"/>
      <w:szCs w:val="16"/>
    </w:rPr>
  </w:style>
  <w:style w:type="paragraph" w:styleId="Header">
    <w:name w:val="header"/>
    <w:basedOn w:val="Normal"/>
    <w:link w:val="HeaderChar"/>
    <w:unhideWhenUsed/>
    <w:rsid w:val="005C5D64"/>
    <w:pPr>
      <w:tabs>
        <w:tab w:val="center" w:pos="4680"/>
        <w:tab w:val="right" w:pos="9360"/>
      </w:tabs>
    </w:pPr>
  </w:style>
  <w:style w:type="character" w:customStyle="1" w:styleId="HeaderChar">
    <w:name w:val="Header Char"/>
    <w:basedOn w:val="DefaultParagraphFont"/>
    <w:link w:val="Header"/>
    <w:rsid w:val="005C5D64"/>
    <w:rPr>
      <w:sz w:val="24"/>
      <w:szCs w:val="24"/>
    </w:rPr>
  </w:style>
  <w:style w:type="paragraph" w:styleId="Footer">
    <w:name w:val="footer"/>
    <w:basedOn w:val="Normal"/>
    <w:link w:val="FooterChar"/>
    <w:unhideWhenUsed/>
    <w:rsid w:val="005C5D64"/>
    <w:pPr>
      <w:tabs>
        <w:tab w:val="center" w:pos="4680"/>
        <w:tab w:val="right" w:pos="9360"/>
      </w:tabs>
    </w:pPr>
  </w:style>
  <w:style w:type="character" w:customStyle="1" w:styleId="FooterChar">
    <w:name w:val="Footer Char"/>
    <w:basedOn w:val="DefaultParagraphFont"/>
    <w:link w:val="Footer"/>
    <w:rsid w:val="005C5D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C5D64"/>
    <w:rPr>
      <w:rFonts w:ascii="Tahoma" w:hAnsi="Tahoma" w:cs="Tahoma"/>
      <w:sz w:val="16"/>
      <w:szCs w:val="16"/>
    </w:rPr>
  </w:style>
  <w:style w:type="character" w:customStyle="1" w:styleId="BalloonTextChar">
    <w:name w:val="Balloon Text Char"/>
    <w:basedOn w:val="DefaultParagraphFont"/>
    <w:link w:val="BalloonText"/>
    <w:semiHidden/>
    <w:rsid w:val="005C5D64"/>
    <w:rPr>
      <w:rFonts w:ascii="Tahoma" w:hAnsi="Tahoma" w:cs="Tahoma"/>
      <w:sz w:val="16"/>
      <w:szCs w:val="16"/>
    </w:rPr>
  </w:style>
  <w:style w:type="paragraph" w:styleId="Header">
    <w:name w:val="header"/>
    <w:basedOn w:val="Normal"/>
    <w:link w:val="HeaderChar"/>
    <w:unhideWhenUsed/>
    <w:rsid w:val="005C5D64"/>
    <w:pPr>
      <w:tabs>
        <w:tab w:val="center" w:pos="4680"/>
        <w:tab w:val="right" w:pos="9360"/>
      </w:tabs>
    </w:pPr>
  </w:style>
  <w:style w:type="character" w:customStyle="1" w:styleId="HeaderChar">
    <w:name w:val="Header Char"/>
    <w:basedOn w:val="DefaultParagraphFont"/>
    <w:link w:val="Header"/>
    <w:rsid w:val="005C5D64"/>
    <w:rPr>
      <w:sz w:val="24"/>
      <w:szCs w:val="24"/>
    </w:rPr>
  </w:style>
  <w:style w:type="paragraph" w:styleId="Footer">
    <w:name w:val="footer"/>
    <w:basedOn w:val="Normal"/>
    <w:link w:val="FooterChar"/>
    <w:unhideWhenUsed/>
    <w:rsid w:val="005C5D64"/>
    <w:pPr>
      <w:tabs>
        <w:tab w:val="center" w:pos="4680"/>
        <w:tab w:val="right" w:pos="9360"/>
      </w:tabs>
    </w:pPr>
  </w:style>
  <w:style w:type="character" w:customStyle="1" w:styleId="FooterChar">
    <w:name w:val="Footer Char"/>
    <w:basedOn w:val="DefaultParagraphFont"/>
    <w:link w:val="Footer"/>
    <w:rsid w:val="005C5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5554">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0529055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398742159">
      <w:bodyDiv w:val="1"/>
      <w:marLeft w:val="0"/>
      <w:marRight w:val="0"/>
      <w:marTop w:val="0"/>
      <w:marBottom w:val="0"/>
      <w:divBdr>
        <w:top w:val="none" w:sz="0" w:space="0" w:color="auto"/>
        <w:left w:val="none" w:sz="0" w:space="0" w:color="auto"/>
        <w:bottom w:val="none" w:sz="0" w:space="0" w:color="auto"/>
        <w:right w:val="none" w:sz="0" w:space="0" w:color="auto"/>
      </w:divBdr>
    </w:div>
    <w:div w:id="1424959552">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leases%20and%20Statements\Template%20-%20White%20Copy%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Template>
  <TotalTime>0</TotalTime>
  <Pages>2</Pages>
  <Words>751</Words>
  <Characters>4268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2017-06-22T19:07:00Z</dcterms:created>
  <dcterms:modified xsi:type="dcterms:W3CDTF">2017-06-22T19:07:00Z</dcterms:modified>
  <cp:category> </cp:category>
  <cp:contentStatus> </cp:contentStatus>
</cp:coreProperties>
</file>