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Pr="00B47F70"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FOR </w:t>
            </w:r>
            <w:r w:rsidR="00553351">
              <w:rPr>
                <w:b/>
                <w:bCs/>
                <w:caps/>
              </w:rPr>
              <w:t>AUGUST</w:t>
            </w:r>
            <w:r w:rsidR="00A41840" w:rsidRPr="00B47F70">
              <w:rPr>
                <w:b/>
                <w:bCs/>
                <w:caps/>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D6097A">
              <w:rPr>
                <w:sz w:val="22"/>
                <w:szCs w:val="22"/>
              </w:rPr>
              <w:t>July 13</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the </w:t>
            </w:r>
            <w:r w:rsidR="00553351">
              <w:rPr>
                <w:sz w:val="22"/>
                <w:szCs w:val="22"/>
              </w:rPr>
              <w:t>August</w:t>
            </w:r>
            <w:r w:rsidR="00A41840" w:rsidRPr="00A41840">
              <w:rPr>
                <w:sz w:val="22"/>
                <w:szCs w:val="22"/>
              </w:rPr>
              <w:t xml:space="preserve"> Open Commission Meeting scheduled for </w:t>
            </w:r>
            <w:r w:rsidR="00D148D6" w:rsidRPr="00553351">
              <w:rPr>
                <w:sz w:val="22"/>
                <w:szCs w:val="22"/>
              </w:rPr>
              <w:t xml:space="preserve">Thursday, </w:t>
            </w:r>
            <w:r w:rsidR="00553351" w:rsidRPr="00553351">
              <w:rPr>
                <w:sz w:val="22"/>
                <w:szCs w:val="22"/>
              </w:rPr>
              <w:t>August 3</w:t>
            </w:r>
            <w:r w:rsidR="00D148D6" w:rsidRPr="00553351">
              <w:rPr>
                <w:sz w:val="22"/>
                <w:szCs w:val="22"/>
              </w:rPr>
              <w:t>, 201</w:t>
            </w:r>
            <w:r w:rsidR="00A27E96" w:rsidRPr="00553351">
              <w:rPr>
                <w:sz w:val="22"/>
                <w:szCs w:val="22"/>
              </w:rPr>
              <w:t>7</w:t>
            </w:r>
            <w:r w:rsidR="00A41840" w:rsidRPr="00553351">
              <w:rPr>
                <w:sz w:val="22"/>
                <w:szCs w:val="22"/>
              </w:rPr>
              <w:t>:</w:t>
            </w:r>
          </w:p>
          <w:p w:rsidR="00A41840" w:rsidRDefault="00A41840" w:rsidP="00A41840">
            <w:pPr>
              <w:tabs>
                <w:tab w:val="left" w:pos="8640"/>
              </w:tabs>
              <w:rPr>
                <w:sz w:val="22"/>
                <w:szCs w:val="22"/>
              </w:rPr>
            </w:pPr>
          </w:p>
          <w:p w:rsidR="00CD6EFA" w:rsidRDefault="00CD6EFA" w:rsidP="00CD6EFA">
            <w:pPr>
              <w:tabs>
                <w:tab w:val="left" w:pos="8640"/>
              </w:tabs>
              <w:rPr>
                <w:sz w:val="22"/>
                <w:szCs w:val="22"/>
              </w:rPr>
            </w:pPr>
            <w:r w:rsidRPr="00CD6EFA">
              <w:rPr>
                <w:b/>
                <w:bCs/>
                <w:sz w:val="22"/>
                <w:szCs w:val="22"/>
              </w:rPr>
              <w:t xml:space="preserve">Connect America Fund Phase II Auction (Auction 903) </w:t>
            </w:r>
            <w:r>
              <w:rPr>
                <w:b/>
                <w:bCs/>
                <w:sz w:val="22"/>
                <w:szCs w:val="22"/>
              </w:rPr>
              <w:t xml:space="preserve">– </w:t>
            </w:r>
            <w:r w:rsidRPr="00CD6EFA">
              <w:rPr>
                <w:sz w:val="22"/>
                <w:szCs w:val="22"/>
              </w:rPr>
              <w:t>The Commission will consider a Public Notice to initiate the pre-auction process for the Connect America Fund Phase II auction which will award up to $198 million annually for 10 years to service providers that commit to offer voice and broadband services to fixed locations in unserved high-cost areas</w:t>
            </w:r>
            <w:r w:rsidR="00247246">
              <w:rPr>
                <w:sz w:val="22"/>
                <w:szCs w:val="22"/>
              </w:rPr>
              <w:t>.</w:t>
            </w:r>
            <w:r w:rsidRPr="00CD6EFA">
              <w:rPr>
                <w:sz w:val="22"/>
                <w:szCs w:val="22"/>
              </w:rPr>
              <w:t xml:space="preserve"> (AU Docket</w:t>
            </w:r>
            <w:r w:rsidR="00247246">
              <w:rPr>
                <w:sz w:val="22"/>
                <w:szCs w:val="22"/>
              </w:rPr>
              <w:t xml:space="preserve"> No. 17-182)</w:t>
            </w:r>
          </w:p>
          <w:p w:rsidR="00CD6EFA" w:rsidRPr="00CD6EFA" w:rsidRDefault="00CD6EFA" w:rsidP="00CD6EFA">
            <w:pPr>
              <w:tabs>
                <w:tab w:val="left" w:pos="8640"/>
              </w:tabs>
              <w:rPr>
                <w:sz w:val="22"/>
                <w:szCs w:val="22"/>
              </w:rPr>
            </w:pPr>
          </w:p>
          <w:p w:rsidR="00CD6EFA" w:rsidRPr="00CD6EFA" w:rsidRDefault="00CD6EFA" w:rsidP="00CD6EFA">
            <w:pPr>
              <w:tabs>
                <w:tab w:val="left" w:pos="8640"/>
              </w:tabs>
              <w:rPr>
                <w:b/>
                <w:bCs/>
                <w:sz w:val="22"/>
                <w:szCs w:val="22"/>
              </w:rPr>
            </w:pPr>
            <w:r w:rsidRPr="00CD6EFA">
              <w:rPr>
                <w:b/>
                <w:bCs/>
                <w:sz w:val="22"/>
                <w:szCs w:val="22"/>
              </w:rPr>
              <w:t xml:space="preserve">Mobility Fund Phase II Challenge Process </w:t>
            </w:r>
            <w:r w:rsidRPr="00CD6EFA">
              <w:rPr>
                <w:sz w:val="22"/>
                <w:szCs w:val="22"/>
              </w:rPr>
              <w:t>– The Commission will consider an Order on Reconsideration and Second Report and Order that lays out a robust challenge process that will enable the Commission to direct Mobility Fund Phase II support to primarily rural areas that lack unsubsidized 4G Long Term Evolution (LTE) service</w:t>
            </w:r>
            <w:r w:rsidR="00247246">
              <w:rPr>
                <w:sz w:val="22"/>
                <w:szCs w:val="22"/>
              </w:rPr>
              <w:t>.</w:t>
            </w:r>
            <w:r w:rsidRPr="00CD6EFA">
              <w:rPr>
                <w:sz w:val="22"/>
                <w:szCs w:val="22"/>
              </w:rPr>
              <w:t xml:space="preserve"> (WC Docket No. 10-90; WT Docket No. 10-208)</w:t>
            </w:r>
          </w:p>
          <w:p w:rsidR="00FB3DC1" w:rsidRPr="00F84784" w:rsidRDefault="00FB3DC1" w:rsidP="00FB3DC1">
            <w:pPr>
              <w:tabs>
                <w:tab w:val="left" w:pos="8640"/>
              </w:tabs>
              <w:ind w:left="720"/>
              <w:rPr>
                <w:sz w:val="22"/>
                <w:szCs w:val="22"/>
                <w:highlight w:val="yellow"/>
              </w:rPr>
            </w:pPr>
          </w:p>
          <w:p w:rsidR="00CD6EFA" w:rsidRPr="00CD6EFA" w:rsidRDefault="00CD6EFA" w:rsidP="00CD6EFA">
            <w:pPr>
              <w:tabs>
                <w:tab w:val="left" w:pos="8640"/>
              </w:tabs>
              <w:rPr>
                <w:sz w:val="22"/>
                <w:szCs w:val="22"/>
              </w:rPr>
            </w:pPr>
            <w:r w:rsidRPr="00CD6EFA">
              <w:rPr>
                <w:b/>
                <w:bCs/>
                <w:sz w:val="22"/>
                <w:szCs w:val="22"/>
              </w:rPr>
              <w:t xml:space="preserve">Form 477 - </w:t>
            </w:r>
            <w:r w:rsidRPr="00CD6EFA">
              <w:rPr>
                <w:sz w:val="22"/>
                <w:szCs w:val="22"/>
              </w:rPr>
              <w:t>The Commission will consider a Further Notice of Proposed Rulemaking that takes a focused look at the Commission’s Form 477 to improve the value of the data we continue to collect. (WC Docket No. 11-10)</w:t>
            </w:r>
          </w:p>
          <w:p w:rsidR="00FB3DC1" w:rsidRPr="00D6097A" w:rsidRDefault="00FB3DC1" w:rsidP="00FB3DC1">
            <w:pPr>
              <w:tabs>
                <w:tab w:val="left" w:pos="8640"/>
              </w:tabs>
              <w:ind w:left="720"/>
              <w:rPr>
                <w:sz w:val="22"/>
                <w:szCs w:val="22"/>
              </w:rPr>
            </w:pPr>
          </w:p>
          <w:p w:rsidR="00FB3DC1" w:rsidRDefault="00CD6EFA" w:rsidP="00FB3DC1">
            <w:pPr>
              <w:tabs>
                <w:tab w:val="left" w:pos="8640"/>
              </w:tabs>
              <w:rPr>
                <w:sz w:val="22"/>
                <w:szCs w:val="22"/>
              </w:rPr>
            </w:pPr>
            <w:r w:rsidRPr="00CD6EFA">
              <w:rPr>
                <w:b/>
                <w:bCs/>
                <w:sz w:val="22"/>
                <w:szCs w:val="22"/>
              </w:rPr>
              <w:t>Expanding Flexible Use in Mid-Band Spectrum Between 3.7 GHz and 24 GHz</w:t>
            </w:r>
            <w:r w:rsidRPr="00CD6EFA">
              <w:rPr>
                <w:b/>
                <w:sz w:val="22"/>
                <w:szCs w:val="22"/>
              </w:rPr>
              <w:t xml:space="preserve"> – </w:t>
            </w:r>
            <w:r w:rsidRPr="00CD6EFA">
              <w:rPr>
                <w:sz w:val="22"/>
                <w:szCs w:val="22"/>
              </w:rPr>
              <w:t>The Commission will consider a Notice of Inquiry that explores opportunities for next generation services – particularly for wireless broadband – in the 3.7 GHz to 24 GHz spectrum range and asks about how we can increase efficient and effective use of this spectrum for the benefit of all services and users. (</w:t>
            </w:r>
            <w:r w:rsidR="0063354A" w:rsidRPr="0063354A">
              <w:rPr>
                <w:sz w:val="22"/>
                <w:szCs w:val="22"/>
              </w:rPr>
              <w:t xml:space="preserve">GN </w:t>
            </w:r>
            <w:r w:rsidR="0063354A">
              <w:rPr>
                <w:sz w:val="22"/>
                <w:szCs w:val="22"/>
              </w:rPr>
              <w:t xml:space="preserve">Docket No. </w:t>
            </w:r>
            <w:r w:rsidR="0063354A" w:rsidRPr="0063354A">
              <w:rPr>
                <w:sz w:val="22"/>
                <w:szCs w:val="22"/>
              </w:rPr>
              <w:t>17-183</w:t>
            </w:r>
            <w:r w:rsidR="00FB3DC1" w:rsidRPr="00D6097A">
              <w:rPr>
                <w:sz w:val="22"/>
                <w:szCs w:val="22"/>
              </w:rPr>
              <w:t>)</w:t>
            </w:r>
          </w:p>
          <w:p w:rsidR="00A41840" w:rsidRDefault="00A41840" w:rsidP="00A41840">
            <w:pPr>
              <w:tabs>
                <w:tab w:val="left" w:pos="8640"/>
              </w:tabs>
              <w:rPr>
                <w:sz w:val="22"/>
                <w:szCs w:val="22"/>
              </w:rPr>
            </w:pPr>
          </w:p>
          <w:p w:rsidR="00D6097A" w:rsidRPr="00D6097A" w:rsidRDefault="00D6097A" w:rsidP="00D6097A">
            <w:pPr>
              <w:tabs>
                <w:tab w:val="left" w:pos="8640"/>
              </w:tabs>
              <w:rPr>
                <w:sz w:val="22"/>
                <w:szCs w:val="22"/>
              </w:rPr>
            </w:pPr>
            <w:r w:rsidRPr="00553351">
              <w:rPr>
                <w:b/>
                <w:sz w:val="22"/>
                <w:szCs w:val="22"/>
              </w:rPr>
              <w:t>Wireless License Renewal and Service Continuity Reform</w:t>
            </w:r>
            <w:r w:rsidRPr="00D6097A">
              <w:rPr>
                <w:sz w:val="22"/>
                <w:szCs w:val="22"/>
              </w:rPr>
              <w:t xml:space="preserve"> – The Commission will consider a Second Report and Order and Further Notice of Proposed Rulemaking that would adopt unified construction, renewal, and service continuity rules for the Wireless Radio Services, while seeking comment on a range of additional possible actions to increase the number of Americans with access to wireless communications services. (WTB Docket No. 10-112)</w:t>
            </w:r>
          </w:p>
          <w:p w:rsidR="00FB3DC1" w:rsidRDefault="00FB3DC1" w:rsidP="00FB3DC1">
            <w:pPr>
              <w:tabs>
                <w:tab w:val="left" w:pos="8640"/>
              </w:tabs>
              <w:rPr>
                <w:sz w:val="22"/>
                <w:szCs w:val="22"/>
              </w:rPr>
            </w:pPr>
          </w:p>
          <w:p w:rsidR="00FB3DC1" w:rsidRDefault="00FB3DC1" w:rsidP="00FB3DC1">
            <w:pPr>
              <w:tabs>
                <w:tab w:val="left" w:pos="8640"/>
              </w:tabs>
              <w:rPr>
                <w:sz w:val="22"/>
                <w:szCs w:val="22"/>
              </w:rPr>
            </w:pPr>
            <w:r w:rsidRPr="00D6097A">
              <w:rPr>
                <w:b/>
                <w:sz w:val="22"/>
                <w:szCs w:val="22"/>
              </w:rPr>
              <w:t>Transmitter Identification Requirements for Satellite Digital Video Uplink Transmissions</w:t>
            </w:r>
            <w:r w:rsidRPr="00D6097A">
              <w:rPr>
                <w:sz w:val="22"/>
                <w:szCs w:val="22"/>
              </w:rPr>
              <w:t xml:space="preserve"> </w:t>
            </w:r>
            <w:r>
              <w:rPr>
                <w:sz w:val="22"/>
                <w:szCs w:val="22"/>
              </w:rPr>
              <w:t>–</w:t>
            </w:r>
            <w:r w:rsidRPr="00D6097A">
              <w:rPr>
                <w:sz w:val="22"/>
                <w:szCs w:val="22"/>
              </w:rPr>
              <w:t xml:space="preserve"> The Commission will consider a Memorandum Opinion and Order that waives the requirement that satellite news trucks, and other temporary-fixed satellite earth stations transmitting digital video, comply with the Digital Video Broadcasting-Carrier Identification (DVB-CID) standard if </w:t>
            </w:r>
            <w:r w:rsidRPr="00D6097A">
              <w:rPr>
                <w:sz w:val="22"/>
                <w:szCs w:val="22"/>
              </w:rPr>
              <w:lastRenderedPageBreak/>
              <w:t>the earth station uses a modulator that cannot meet the DVB-CID standard through a software upgrade. (IB Docket No. 12-267)</w:t>
            </w:r>
          </w:p>
          <w:p w:rsidR="00FB3DC1" w:rsidRDefault="00FB3DC1" w:rsidP="00FB3DC1">
            <w:pPr>
              <w:tabs>
                <w:tab w:val="left" w:pos="8640"/>
              </w:tabs>
              <w:rPr>
                <w:sz w:val="22"/>
                <w:szCs w:val="22"/>
              </w:rPr>
            </w:pPr>
          </w:p>
          <w:p w:rsidR="00FB3DC1" w:rsidRPr="00FB3DC1" w:rsidRDefault="00FB3DC1" w:rsidP="00D32D84">
            <w:pPr>
              <w:tabs>
                <w:tab w:val="left" w:pos="8640"/>
              </w:tabs>
              <w:rPr>
                <w:sz w:val="22"/>
                <w:szCs w:val="22"/>
              </w:rPr>
            </w:pPr>
            <w:r w:rsidRPr="00FB3DC1">
              <w:rPr>
                <w:b/>
                <w:sz w:val="22"/>
                <w:szCs w:val="22"/>
              </w:rPr>
              <w:t>Hearing Designation Order</w:t>
            </w:r>
            <w:r>
              <w:rPr>
                <w:b/>
                <w:sz w:val="22"/>
                <w:szCs w:val="22"/>
              </w:rPr>
              <w:t xml:space="preserve"> –</w:t>
            </w:r>
            <w:r w:rsidR="00D32D84">
              <w:rPr>
                <w:b/>
                <w:sz w:val="22"/>
                <w:szCs w:val="22"/>
              </w:rPr>
              <w:t xml:space="preserve"> </w:t>
            </w:r>
            <w:r w:rsidR="00D32D84" w:rsidRPr="00D32D84">
              <w:rPr>
                <w:sz w:val="22"/>
                <w:szCs w:val="22"/>
              </w:rPr>
              <w:t>The Commission will consider a Hearing Designation Order.</w:t>
            </w:r>
          </w:p>
          <w:p w:rsidR="00FB3DC1" w:rsidRDefault="00FB3DC1" w:rsidP="00FB3DC1">
            <w:pPr>
              <w:tabs>
                <w:tab w:val="left" w:pos="8640"/>
              </w:tabs>
              <w:rPr>
                <w:sz w:val="22"/>
                <w:szCs w:val="22"/>
              </w:rPr>
            </w:pPr>
          </w:p>
          <w:p w:rsidR="00FB3DC1" w:rsidRPr="004E0545" w:rsidRDefault="00FB3DC1" w:rsidP="00FB3DC1">
            <w:pPr>
              <w:tabs>
                <w:tab w:val="left" w:pos="8640"/>
              </w:tabs>
              <w:rPr>
                <w:sz w:val="22"/>
                <w:szCs w:val="22"/>
              </w:rPr>
            </w:pPr>
            <w:r w:rsidRPr="004E0545">
              <w:rPr>
                <w:b/>
                <w:sz w:val="22"/>
                <w:szCs w:val="22"/>
              </w:rPr>
              <w:t>Enforcement Bureau Action</w:t>
            </w:r>
            <w:r w:rsidRPr="004E0545">
              <w:rPr>
                <w:sz w:val="22"/>
                <w:szCs w:val="22"/>
              </w:rPr>
              <w:t xml:space="preserve"> </w:t>
            </w:r>
            <w:r>
              <w:rPr>
                <w:sz w:val="22"/>
                <w:szCs w:val="22"/>
              </w:rPr>
              <w:t>–</w:t>
            </w:r>
            <w:r w:rsidRPr="004E0545">
              <w:rPr>
                <w:sz w:val="22"/>
                <w:szCs w:val="22"/>
              </w:rPr>
              <w:t xml:space="preserve"> The Commission will consider an enforcement action.</w:t>
            </w:r>
          </w:p>
          <w:p w:rsidR="00FB3DC1" w:rsidRDefault="00FB3DC1" w:rsidP="004E6168">
            <w:pPr>
              <w:tabs>
                <w:tab w:val="left" w:pos="8640"/>
              </w:tabs>
              <w:rPr>
                <w:sz w:val="22"/>
                <w:szCs w:val="22"/>
              </w:rPr>
            </w:pPr>
          </w:p>
          <w:p w:rsidR="004E6168" w:rsidRPr="00A41840" w:rsidRDefault="004E6168" w:rsidP="004E6168">
            <w:pPr>
              <w:tabs>
                <w:tab w:val="left" w:pos="8640"/>
              </w:tabs>
              <w:rPr>
                <w:sz w:val="22"/>
                <w:szCs w:val="22"/>
              </w:rPr>
            </w:pPr>
          </w:p>
          <w:p w:rsidR="004E6168" w:rsidRDefault="004E6168" w:rsidP="004E6168">
            <w:pPr>
              <w:tabs>
                <w:tab w:val="left" w:pos="8640"/>
              </w:tabs>
            </w:pPr>
            <w:r>
              <w:rPr>
                <w:bCs/>
                <w:sz w:val="22"/>
                <w:szCs w:val="22"/>
              </w:rPr>
              <w:t xml:space="preserve">Public Drafts of Meeting Items – </w:t>
            </w:r>
            <w:r w:rsidRPr="00DA50C0">
              <w:rPr>
                <w:bCs/>
                <w:sz w:val="22"/>
                <w:szCs w:val="22"/>
              </w:rPr>
              <w:t>Continuing the Chairman’s pilot program, the FCC is publicly releasing the draft text of item</w:t>
            </w:r>
            <w:r w:rsidR="00F84784" w:rsidRPr="00DA50C0">
              <w:rPr>
                <w:bCs/>
                <w:sz w:val="22"/>
                <w:szCs w:val="22"/>
              </w:rPr>
              <w:t>s</w:t>
            </w:r>
            <w:r w:rsidRPr="00DA50C0">
              <w:rPr>
                <w:bCs/>
                <w:sz w:val="22"/>
                <w:szCs w:val="22"/>
              </w:rPr>
              <w:t xml:space="preserve"> expected to be considered at the next Open Commission Meeting.  </w:t>
            </w:r>
            <w:r w:rsidR="00CD6EFA" w:rsidRPr="00DA50C0">
              <w:rPr>
                <w:bCs/>
                <w:sz w:val="22"/>
                <w:szCs w:val="22"/>
              </w:rPr>
              <w:t xml:space="preserve">Drafts of items under consideration that involve specific, enforcement-related matters, which can include restricted proceedings and hearing designation orders, will not be publicly released.  </w:t>
            </w:r>
            <w:r w:rsidRPr="00DA50C0">
              <w:rPr>
                <w:bCs/>
                <w:sz w:val="22"/>
                <w:szCs w:val="22"/>
              </w:rPr>
              <w:t>One-page cover</w:t>
            </w:r>
            <w:r>
              <w:rPr>
                <w:bCs/>
                <w:sz w:val="22"/>
                <w:szCs w:val="22"/>
              </w:rPr>
              <w:t xml:space="preserve"> sheets are included in the public drafts to help summarize each item.  All these materials will be available on the event page for the Open Meeting: </w:t>
            </w:r>
            <w:hyperlink r:id="rId9" w:history="1">
              <w:r>
                <w:rPr>
                  <w:rStyle w:val="Hyperlink"/>
                  <w:sz w:val="22"/>
                  <w:szCs w:val="22"/>
                </w:rPr>
                <w:t>https://go.usa.gov/xX5Qn</w:t>
              </w:r>
            </w:hyperlink>
          </w:p>
          <w:p w:rsidR="004E6168" w:rsidRDefault="004E6168" w:rsidP="004E6168">
            <w:pPr>
              <w:tabs>
                <w:tab w:val="left" w:pos="8640"/>
              </w:tabs>
              <w:rPr>
                <w:sz w:val="22"/>
                <w:szCs w:val="22"/>
              </w:rPr>
            </w:pPr>
          </w:p>
          <w:p w:rsidR="004E6168" w:rsidRDefault="004E6168" w:rsidP="004E6168">
            <w:pPr>
              <w:tabs>
                <w:tab w:val="left" w:pos="8640"/>
              </w:tabs>
              <w:rPr>
                <w:sz w:val="22"/>
                <w:szCs w:val="22"/>
              </w:rPr>
            </w:pPr>
            <w:r>
              <w:rPr>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w:t>
            </w:r>
            <w:r w:rsidR="009C337D">
              <w:rPr>
                <w:sz w:val="22"/>
                <w:szCs w:val="22"/>
              </w:rPr>
              <w:t xml:space="preserve">and be screened by FCC security </w:t>
            </w:r>
            <w:r>
              <w:rPr>
                <w:sz w:val="22"/>
                <w:szCs w:val="22"/>
              </w:rPr>
              <w:t xml:space="preserve">at the main entrance on 12th Street. Open Meetings are streamed live at </w:t>
            </w:r>
            <w:hyperlink r:id="rId10" w:history="1">
              <w:r>
                <w:rPr>
                  <w:rStyle w:val="Hyperlink"/>
                  <w:sz w:val="22"/>
                  <w:szCs w:val="22"/>
                </w:rPr>
                <w:t>www.fcc.gov/live</w:t>
              </w:r>
            </w:hyperlink>
            <w:r>
              <w:rPr>
                <w:sz w:val="22"/>
                <w:szCs w:val="22"/>
              </w:rPr>
              <w:t xml:space="preserve"> and can be followed on social media with #OpenMtgFCC.</w:t>
            </w:r>
          </w:p>
          <w:p w:rsidR="004E6168" w:rsidRDefault="004E6168" w:rsidP="004E6168">
            <w:pPr>
              <w:tabs>
                <w:tab w:val="left" w:pos="8640"/>
              </w:tabs>
              <w:rPr>
                <w:sz w:val="22"/>
                <w:szCs w:val="22"/>
              </w:rPr>
            </w:pPr>
          </w:p>
          <w:p w:rsidR="002819BC" w:rsidRPr="00604211" w:rsidRDefault="004E6168" w:rsidP="004E6168">
            <w:pPr>
              <w:jc w:val="both"/>
              <w:rPr>
                <w:rStyle w:val="Hyperlink"/>
                <w:color w:val="auto"/>
                <w:sz w:val="22"/>
                <w:szCs w:val="22"/>
                <w:u w:val="none"/>
              </w:rPr>
            </w:pPr>
            <w:r>
              <w:rPr>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p>
          <w:p w:rsidR="00BD19E8" w:rsidRPr="008A3940" w:rsidRDefault="00BD19E8" w:rsidP="00E349AA">
            <w:pPr>
              <w:jc w:val="both"/>
              <w:rPr>
                <w:rStyle w:val="Hyperlink"/>
                <w:sz w:val="22"/>
                <w:szCs w:val="22"/>
              </w:rPr>
            </w:pPr>
          </w:p>
          <w:p w:rsidR="004F0F1F" w:rsidRPr="008A3940" w:rsidRDefault="00F708E3" w:rsidP="00B47F70">
            <w:pPr>
              <w:ind w:right="72"/>
              <w:jc w:val="center"/>
              <w:rPr>
                <w:sz w:val="22"/>
                <w:szCs w:val="22"/>
              </w:rPr>
            </w:pPr>
            <w:r w:rsidRPr="008A3940">
              <w:rPr>
                <w:sz w:val="22"/>
                <w:szCs w:val="22"/>
              </w:rPr>
              <w:t>###</w:t>
            </w:r>
          </w:p>
          <w:p w:rsidR="00E644FE" w:rsidRPr="006B0A70" w:rsidRDefault="00E644FE" w:rsidP="00B47F70">
            <w:pPr>
              <w:ind w:right="72"/>
              <w:jc w:val="center"/>
              <w:rPr>
                <w:b/>
                <w:bCs/>
                <w:sz w:val="18"/>
                <w:szCs w:val="18"/>
              </w:rPr>
            </w:pPr>
            <w:r w:rsidRPr="006B0A70">
              <w:rPr>
                <w:b/>
                <w:bCs/>
                <w:sz w:val="32"/>
                <w:szCs w:val="32"/>
              </w:rPr>
              <w:br/>
            </w:r>
            <w:r w:rsidRPr="006B0A70">
              <w:rPr>
                <w:b/>
                <w:bCs/>
                <w:sz w:val="18"/>
                <w:szCs w:val="18"/>
              </w:rPr>
              <w:t>Office of Media Relations: 202.418.0500</w:t>
            </w:r>
          </w:p>
          <w:p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RDefault="002819BC" w:rsidP="00B47F70">
            <w:pPr>
              <w:ind w:right="72"/>
              <w:jc w:val="center"/>
              <w:rPr>
                <w:b/>
                <w:bCs/>
                <w:sz w:val="18"/>
                <w:szCs w:val="18"/>
              </w:rPr>
            </w:pPr>
            <w:r>
              <w:rPr>
                <w:b/>
                <w:bCs/>
                <w:sz w:val="18"/>
                <w:szCs w:val="18"/>
              </w:rPr>
              <w:t>Twitter: @FCC</w:t>
            </w:r>
          </w:p>
          <w:p w:rsidR="002819BC" w:rsidRDefault="002819BC" w:rsidP="00B47F70">
            <w:pPr>
              <w:ind w:right="72"/>
              <w:jc w:val="center"/>
              <w:rPr>
                <w:b/>
                <w:bCs/>
                <w:sz w:val="18"/>
                <w:szCs w:val="18"/>
              </w:rPr>
            </w:pPr>
            <w:r>
              <w:rPr>
                <w:b/>
                <w:bCs/>
                <w:sz w:val="18"/>
                <w:szCs w:val="18"/>
              </w:rPr>
              <w:t>#OpenMtgFCC</w:t>
            </w:r>
          </w:p>
          <w:p w:rsidR="002819BC" w:rsidRPr="00EE0E90" w:rsidRDefault="002819BC" w:rsidP="00B47F70">
            <w:pPr>
              <w:ind w:right="72"/>
              <w:jc w:val="center"/>
              <w:rPr>
                <w:b/>
                <w:bCs/>
                <w:sz w:val="18"/>
                <w:szCs w:val="18"/>
              </w:rPr>
            </w:pPr>
            <w:r w:rsidRPr="007B3A48">
              <w:rPr>
                <w:b/>
                <w:bCs/>
                <w:sz w:val="18"/>
                <w:szCs w:val="18"/>
              </w:rPr>
              <w:t>www.fcc.gov/office-media-relations</w:t>
            </w:r>
          </w:p>
          <w:p w:rsidR="00EE0E90" w:rsidRDefault="00EE0E90" w:rsidP="00B47F70">
            <w:pPr>
              <w:ind w:right="72"/>
              <w:jc w:val="center"/>
              <w:rPr>
                <w:b/>
                <w:bCs/>
                <w:sz w:val="18"/>
                <w:szCs w:val="18"/>
              </w:rPr>
            </w:pPr>
          </w:p>
          <w:p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7A" w:rsidRDefault="00D6097A" w:rsidP="008C225C">
      <w:r>
        <w:separator/>
      </w:r>
    </w:p>
  </w:endnote>
  <w:endnote w:type="continuationSeparator" w:id="0">
    <w:p w:rsidR="00D6097A" w:rsidRDefault="00D6097A"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0D" w:rsidRDefault="00163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0D" w:rsidRDefault="00163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0D" w:rsidRDefault="00163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7A" w:rsidRDefault="00D6097A" w:rsidP="008C225C">
      <w:r>
        <w:separator/>
      </w:r>
    </w:p>
  </w:footnote>
  <w:footnote w:type="continuationSeparator" w:id="0">
    <w:p w:rsidR="00D6097A" w:rsidRDefault="00D6097A"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0D" w:rsidRDefault="00163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0D" w:rsidRDefault="00163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0D" w:rsidRDefault="00163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2D64F95"/>
    <w:multiLevelType w:val="hybridMultilevel"/>
    <w:tmpl w:val="DB980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7A"/>
    <w:rsid w:val="0002500C"/>
    <w:rsid w:val="000311FC"/>
    <w:rsid w:val="00081232"/>
    <w:rsid w:val="00091E65"/>
    <w:rsid w:val="00096D4A"/>
    <w:rsid w:val="000A38EA"/>
    <w:rsid w:val="000A56AE"/>
    <w:rsid w:val="000C1E47"/>
    <w:rsid w:val="000C26F3"/>
    <w:rsid w:val="0010799B"/>
    <w:rsid w:val="00117DB2"/>
    <w:rsid w:val="00123ED2"/>
    <w:rsid w:val="00125BE0"/>
    <w:rsid w:val="00142384"/>
    <w:rsid w:val="00142C13"/>
    <w:rsid w:val="00152776"/>
    <w:rsid w:val="00153222"/>
    <w:rsid w:val="001577D3"/>
    <w:rsid w:val="0016360D"/>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46"/>
    <w:rsid w:val="00247274"/>
    <w:rsid w:val="00266966"/>
    <w:rsid w:val="002819BC"/>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E6168"/>
    <w:rsid w:val="004F0F1F"/>
    <w:rsid w:val="005022AA"/>
    <w:rsid w:val="00504845"/>
    <w:rsid w:val="0050757F"/>
    <w:rsid w:val="00516AD2"/>
    <w:rsid w:val="00545DAE"/>
    <w:rsid w:val="00553351"/>
    <w:rsid w:val="00566AFD"/>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3354A"/>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C337D"/>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47F70"/>
    <w:rsid w:val="00B564E0"/>
    <w:rsid w:val="00B57131"/>
    <w:rsid w:val="00B62F2C"/>
    <w:rsid w:val="00B727C9"/>
    <w:rsid w:val="00B735C8"/>
    <w:rsid w:val="00B76A63"/>
    <w:rsid w:val="00BA6350"/>
    <w:rsid w:val="00BB2D18"/>
    <w:rsid w:val="00BB4E29"/>
    <w:rsid w:val="00BB74C9"/>
    <w:rsid w:val="00BC3AB6"/>
    <w:rsid w:val="00BD19E8"/>
    <w:rsid w:val="00BD4273"/>
    <w:rsid w:val="00C26DBB"/>
    <w:rsid w:val="00C432E4"/>
    <w:rsid w:val="00C70C26"/>
    <w:rsid w:val="00C72001"/>
    <w:rsid w:val="00C772B7"/>
    <w:rsid w:val="00C80347"/>
    <w:rsid w:val="00CB7C1A"/>
    <w:rsid w:val="00CC5E08"/>
    <w:rsid w:val="00CD6EFA"/>
    <w:rsid w:val="00CF6860"/>
    <w:rsid w:val="00D02AC6"/>
    <w:rsid w:val="00D03F0C"/>
    <w:rsid w:val="00D04312"/>
    <w:rsid w:val="00D148D6"/>
    <w:rsid w:val="00D16A7F"/>
    <w:rsid w:val="00D16AD2"/>
    <w:rsid w:val="00D22596"/>
    <w:rsid w:val="00D22691"/>
    <w:rsid w:val="00D24C3D"/>
    <w:rsid w:val="00D32D84"/>
    <w:rsid w:val="00D46CB1"/>
    <w:rsid w:val="00D6097A"/>
    <w:rsid w:val="00D723F0"/>
    <w:rsid w:val="00D8133F"/>
    <w:rsid w:val="00D95B05"/>
    <w:rsid w:val="00D97E2D"/>
    <w:rsid w:val="00DA103D"/>
    <w:rsid w:val="00DA45D3"/>
    <w:rsid w:val="00DA4772"/>
    <w:rsid w:val="00DA50C0"/>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84784"/>
    <w:rsid w:val="00FB3DC1"/>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16360D"/>
    <w:rPr>
      <w:rFonts w:ascii="Tahoma" w:hAnsi="Tahoma" w:cs="Tahoma"/>
      <w:sz w:val="16"/>
      <w:szCs w:val="16"/>
    </w:rPr>
  </w:style>
  <w:style w:type="character" w:customStyle="1" w:styleId="BalloonTextChar">
    <w:name w:val="Balloon Text Char"/>
    <w:basedOn w:val="DefaultParagraphFont"/>
    <w:link w:val="BalloonText"/>
    <w:semiHidden/>
    <w:rsid w:val="0016360D"/>
    <w:rPr>
      <w:rFonts w:ascii="Tahoma" w:hAnsi="Tahoma" w:cs="Tahoma"/>
      <w:sz w:val="16"/>
      <w:szCs w:val="16"/>
    </w:rPr>
  </w:style>
  <w:style w:type="paragraph" w:styleId="Header">
    <w:name w:val="header"/>
    <w:basedOn w:val="Normal"/>
    <w:link w:val="HeaderChar"/>
    <w:unhideWhenUsed/>
    <w:rsid w:val="0016360D"/>
    <w:pPr>
      <w:tabs>
        <w:tab w:val="center" w:pos="4680"/>
        <w:tab w:val="right" w:pos="9360"/>
      </w:tabs>
    </w:pPr>
  </w:style>
  <w:style w:type="character" w:customStyle="1" w:styleId="HeaderChar">
    <w:name w:val="Header Char"/>
    <w:basedOn w:val="DefaultParagraphFont"/>
    <w:link w:val="Header"/>
    <w:rsid w:val="0016360D"/>
    <w:rPr>
      <w:sz w:val="24"/>
      <w:szCs w:val="24"/>
    </w:rPr>
  </w:style>
  <w:style w:type="paragraph" w:styleId="Footer">
    <w:name w:val="footer"/>
    <w:basedOn w:val="Normal"/>
    <w:link w:val="FooterChar"/>
    <w:unhideWhenUsed/>
    <w:rsid w:val="0016360D"/>
    <w:pPr>
      <w:tabs>
        <w:tab w:val="center" w:pos="4680"/>
        <w:tab w:val="right" w:pos="9360"/>
      </w:tabs>
    </w:pPr>
  </w:style>
  <w:style w:type="character" w:customStyle="1" w:styleId="FooterChar">
    <w:name w:val="Footer Char"/>
    <w:basedOn w:val="DefaultParagraphFont"/>
    <w:link w:val="Footer"/>
    <w:rsid w:val="001636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16360D"/>
    <w:rPr>
      <w:rFonts w:ascii="Tahoma" w:hAnsi="Tahoma" w:cs="Tahoma"/>
      <w:sz w:val="16"/>
      <w:szCs w:val="16"/>
    </w:rPr>
  </w:style>
  <w:style w:type="character" w:customStyle="1" w:styleId="BalloonTextChar">
    <w:name w:val="Balloon Text Char"/>
    <w:basedOn w:val="DefaultParagraphFont"/>
    <w:link w:val="BalloonText"/>
    <w:semiHidden/>
    <w:rsid w:val="0016360D"/>
    <w:rPr>
      <w:rFonts w:ascii="Tahoma" w:hAnsi="Tahoma" w:cs="Tahoma"/>
      <w:sz w:val="16"/>
      <w:szCs w:val="16"/>
    </w:rPr>
  </w:style>
  <w:style w:type="paragraph" w:styleId="Header">
    <w:name w:val="header"/>
    <w:basedOn w:val="Normal"/>
    <w:link w:val="HeaderChar"/>
    <w:unhideWhenUsed/>
    <w:rsid w:val="0016360D"/>
    <w:pPr>
      <w:tabs>
        <w:tab w:val="center" w:pos="4680"/>
        <w:tab w:val="right" w:pos="9360"/>
      </w:tabs>
    </w:pPr>
  </w:style>
  <w:style w:type="character" w:customStyle="1" w:styleId="HeaderChar">
    <w:name w:val="Header Char"/>
    <w:basedOn w:val="DefaultParagraphFont"/>
    <w:link w:val="Header"/>
    <w:rsid w:val="0016360D"/>
    <w:rPr>
      <w:sz w:val="24"/>
      <w:szCs w:val="24"/>
    </w:rPr>
  </w:style>
  <w:style w:type="paragraph" w:styleId="Footer">
    <w:name w:val="footer"/>
    <w:basedOn w:val="Normal"/>
    <w:link w:val="FooterChar"/>
    <w:unhideWhenUsed/>
    <w:rsid w:val="0016360D"/>
    <w:pPr>
      <w:tabs>
        <w:tab w:val="center" w:pos="4680"/>
        <w:tab w:val="right" w:pos="9360"/>
      </w:tabs>
    </w:pPr>
  </w:style>
  <w:style w:type="character" w:customStyle="1" w:styleId="FooterChar">
    <w:name w:val="Footer Char"/>
    <w:basedOn w:val="DefaultParagraphFont"/>
    <w:link w:val="Footer"/>
    <w:rsid w:val="00163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901">
      <w:bodyDiv w:val="1"/>
      <w:marLeft w:val="0"/>
      <w:marRight w:val="0"/>
      <w:marTop w:val="0"/>
      <w:marBottom w:val="0"/>
      <w:divBdr>
        <w:top w:val="none" w:sz="0" w:space="0" w:color="auto"/>
        <w:left w:val="none" w:sz="0" w:space="0" w:color="auto"/>
        <w:bottom w:val="none" w:sz="0" w:space="0" w:color="auto"/>
        <w:right w:val="none" w:sz="0" w:space="0" w:color="auto"/>
      </w:divBdr>
    </w:div>
    <w:div w:id="131945795">
      <w:bodyDiv w:val="1"/>
      <w:marLeft w:val="0"/>
      <w:marRight w:val="0"/>
      <w:marTop w:val="0"/>
      <w:marBottom w:val="0"/>
      <w:divBdr>
        <w:top w:val="none" w:sz="0" w:space="0" w:color="auto"/>
        <w:left w:val="none" w:sz="0" w:space="0" w:color="auto"/>
        <w:bottom w:val="none" w:sz="0" w:space="0" w:color="auto"/>
        <w:right w:val="none" w:sz="0" w:space="0" w:color="auto"/>
      </w:divBdr>
    </w:div>
    <w:div w:id="13194930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95971868">
      <w:bodyDiv w:val="1"/>
      <w:marLeft w:val="0"/>
      <w:marRight w:val="0"/>
      <w:marTop w:val="0"/>
      <w:marBottom w:val="0"/>
      <w:divBdr>
        <w:top w:val="none" w:sz="0" w:space="0" w:color="auto"/>
        <w:left w:val="none" w:sz="0" w:space="0" w:color="auto"/>
        <w:bottom w:val="none" w:sz="0" w:space="0" w:color="auto"/>
        <w:right w:val="none" w:sz="0" w:space="0" w:color="auto"/>
      </w:divBdr>
    </w:div>
    <w:div w:id="197354373">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296570219">
      <w:bodyDiv w:val="1"/>
      <w:marLeft w:val="0"/>
      <w:marRight w:val="0"/>
      <w:marTop w:val="0"/>
      <w:marBottom w:val="0"/>
      <w:divBdr>
        <w:top w:val="none" w:sz="0" w:space="0" w:color="auto"/>
        <w:left w:val="none" w:sz="0" w:space="0" w:color="auto"/>
        <w:bottom w:val="none" w:sz="0" w:space="0" w:color="auto"/>
        <w:right w:val="none" w:sz="0" w:space="0" w:color="auto"/>
      </w:divBdr>
    </w:div>
    <w:div w:id="38622111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25700362">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4902">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357">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27026988">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1527187">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6382">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4084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2017-07-13T18:45:00Z</dcterms:created>
  <dcterms:modified xsi:type="dcterms:W3CDTF">2017-07-13T18:45:00Z</dcterms:modified>
  <cp:category> </cp:category>
  <cp:contentStatus> </cp:contentStatus>
</cp:coreProperties>
</file>