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07320B">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05469F" w:rsidRPr="0005469F">
        <w:rPr>
          <w:szCs w:val="22"/>
        </w:rPr>
        <w:t>FRONTIER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895612">
        <w:rPr>
          <w:szCs w:val="22"/>
        </w:rPr>
        <w:t>205</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C07029">
        <w:rPr>
          <w:szCs w:val="22"/>
        </w:rPr>
        <w:t>August 10</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74</w:t>
      </w:r>
      <w:r w:rsidR="00B1206E">
        <w:rPr>
          <w:szCs w:val="22"/>
        </w:rPr>
        <w:t>6</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B1206E" w:rsidP="008C4E05">
      <w:pPr>
        <w:tabs>
          <w:tab w:val="left" w:pos="-720"/>
        </w:tabs>
        <w:suppressAutoHyphens/>
        <w:rPr>
          <w:b/>
          <w:szCs w:val="22"/>
          <w:u w:val="single"/>
        </w:rPr>
      </w:pPr>
      <w:r>
        <w:rPr>
          <w:szCs w:val="22"/>
        </w:rPr>
        <w:t>Frontier Communications</w:t>
      </w:r>
      <w:r w:rsidR="001354C0">
        <w:rPr>
          <w:szCs w:val="22"/>
        </w:rPr>
        <w:t xml:space="preserve"> </w:t>
      </w:r>
      <w:r w:rsidR="00197061">
        <w:rPr>
          <w:szCs w:val="22"/>
        </w:rPr>
        <w:t>(</w:t>
      </w:r>
      <w:r>
        <w:rPr>
          <w:szCs w:val="22"/>
        </w:rPr>
        <w:t>Frontier</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BC2C29">
        <w:rPr>
          <w:szCs w:val="22"/>
        </w:rPr>
        <w:t xml:space="preserve">Attached is a copy of the notice of network change(s) (total of two pages).  </w:t>
      </w:r>
      <w:r>
        <w:rPr>
          <w:szCs w:val="22"/>
        </w:rPr>
        <w:t xml:space="preserve">A copy of Frontier’s notice also may be obtained on the Internet at:  </w:t>
      </w:r>
      <w:hyperlink r:id="rId8" w:history="1">
        <w:r w:rsidRPr="00113D89">
          <w:rPr>
            <w:rStyle w:val="Hyperlink"/>
            <w:szCs w:val="22"/>
          </w:rPr>
          <w:t>http://wholesale.frontier.com/wholesale/notifications-and-news</w:t>
        </w:r>
      </w:hyperlink>
      <w:r>
        <w:rPr>
          <w:szCs w:val="22"/>
        </w:rPr>
        <w:t xml:space="preserve">.  </w:t>
      </w:r>
      <w:r w:rsidR="00AD5A0B">
        <w:rPr>
          <w:szCs w:val="22"/>
        </w:rPr>
        <w:t>Upon initial review the filing appears to be complete.</w:t>
      </w:r>
      <w:r w:rsidR="00AD5A0B">
        <w:rPr>
          <w:rStyle w:val="FootnoteReference"/>
          <w:szCs w:val="22"/>
        </w:rPr>
        <w:footnoteReference w:id="2"/>
      </w:r>
      <w:r w:rsidR="00E65774">
        <w:rPr>
          <w:szCs w:val="22"/>
        </w:rPr>
        <w:t xml:space="preserve">  </w:t>
      </w:r>
      <w:r w:rsidR="00BC2C29" w:rsidRPr="00BC2C29">
        <w:rPr>
          <w:szCs w:val="22"/>
        </w:rPr>
        <w:t>In addition, Frontier has filed</w:t>
      </w:r>
      <w:r w:rsidR="00BC2C29">
        <w:rPr>
          <w:szCs w:val="22"/>
        </w:rPr>
        <w:t xml:space="preserve"> some</w:t>
      </w:r>
      <w:r w:rsidR="00BC2C29" w:rsidRPr="00BC2C29">
        <w:rPr>
          <w:szCs w:val="22"/>
        </w:rPr>
        <w:t xml:space="preserve"> initial certification pursuant to section 51.332(d).</w:t>
      </w:r>
      <w:r w:rsidR="00BC2C29">
        <w:rPr>
          <w:rStyle w:val="FootnoteReference"/>
          <w:szCs w:val="22"/>
        </w:rPr>
        <w:footnoteReference w:id="3"/>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578E3" w:rsidRPr="007506DB" w:rsidRDefault="005578E3" w:rsidP="005578E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20"/>
        <w:gridCol w:w="2700"/>
        <w:gridCol w:w="2520"/>
      </w:tblGrid>
      <w:tr w:rsidR="005578E3" w:rsidRPr="007506DB" w:rsidTr="004B3A31">
        <w:trPr>
          <w:trHeight w:val="305"/>
        </w:trPr>
        <w:tc>
          <w:tcPr>
            <w:tcW w:w="1620" w:type="dxa"/>
            <w:shd w:val="clear" w:color="auto" w:fill="auto"/>
          </w:tcPr>
          <w:p w:rsidR="005578E3" w:rsidRPr="007506DB" w:rsidRDefault="005578E3" w:rsidP="005E4D88">
            <w:pPr>
              <w:tabs>
                <w:tab w:val="left" w:pos="-720"/>
              </w:tabs>
              <w:suppressAutoHyphens/>
              <w:rPr>
                <w:b/>
                <w:szCs w:val="22"/>
              </w:rPr>
            </w:pPr>
            <w:r w:rsidRPr="007506DB">
              <w:rPr>
                <w:b/>
                <w:szCs w:val="22"/>
              </w:rPr>
              <w:t>Notice Number</w:t>
            </w:r>
          </w:p>
        </w:tc>
        <w:tc>
          <w:tcPr>
            <w:tcW w:w="2520" w:type="dxa"/>
            <w:shd w:val="clear" w:color="auto" w:fill="auto"/>
          </w:tcPr>
          <w:p w:rsidR="005578E3" w:rsidRPr="007506DB" w:rsidRDefault="005578E3" w:rsidP="005E4D88">
            <w:pPr>
              <w:tabs>
                <w:tab w:val="left" w:pos="-720"/>
              </w:tabs>
              <w:suppressAutoHyphens/>
              <w:rPr>
                <w:b/>
                <w:szCs w:val="22"/>
              </w:rPr>
            </w:pPr>
            <w:r w:rsidRPr="007506DB">
              <w:rPr>
                <w:b/>
                <w:szCs w:val="22"/>
              </w:rPr>
              <w:t>Type of Change(s)</w:t>
            </w:r>
          </w:p>
        </w:tc>
        <w:tc>
          <w:tcPr>
            <w:tcW w:w="2700" w:type="dxa"/>
            <w:shd w:val="clear" w:color="auto" w:fill="auto"/>
          </w:tcPr>
          <w:p w:rsidR="005578E3" w:rsidRPr="007506DB" w:rsidRDefault="005578E3" w:rsidP="005E4D88">
            <w:pPr>
              <w:tabs>
                <w:tab w:val="left" w:pos="-720"/>
              </w:tabs>
              <w:suppressAutoHyphens/>
              <w:rPr>
                <w:b/>
                <w:szCs w:val="22"/>
              </w:rPr>
            </w:pPr>
            <w:r w:rsidRPr="007506DB">
              <w:rPr>
                <w:b/>
                <w:szCs w:val="22"/>
              </w:rPr>
              <w:t>Location of Change(s)</w:t>
            </w:r>
          </w:p>
        </w:tc>
        <w:tc>
          <w:tcPr>
            <w:tcW w:w="2520" w:type="dxa"/>
          </w:tcPr>
          <w:p w:rsidR="005578E3" w:rsidRPr="007506DB" w:rsidRDefault="005578E3" w:rsidP="005E4D88">
            <w:pPr>
              <w:tabs>
                <w:tab w:val="left" w:pos="-720"/>
              </w:tabs>
              <w:suppressAutoHyphens/>
              <w:rPr>
                <w:b/>
                <w:szCs w:val="22"/>
              </w:rPr>
            </w:pPr>
            <w:r w:rsidRPr="007506DB">
              <w:rPr>
                <w:b/>
                <w:szCs w:val="22"/>
              </w:rPr>
              <w:t>Planned Implementation Date(s)</w:t>
            </w:r>
          </w:p>
        </w:tc>
      </w:tr>
      <w:tr w:rsidR="005578E3" w:rsidRPr="007506DB" w:rsidTr="004B3A31">
        <w:tc>
          <w:tcPr>
            <w:tcW w:w="1620" w:type="dxa"/>
            <w:shd w:val="clear" w:color="auto" w:fill="auto"/>
          </w:tcPr>
          <w:p w:rsidR="005578E3" w:rsidRPr="007506DB" w:rsidRDefault="005578E3" w:rsidP="005E4D88">
            <w:pPr>
              <w:tabs>
                <w:tab w:val="left" w:pos="-720"/>
              </w:tabs>
              <w:suppressAutoHyphens/>
              <w:rPr>
                <w:szCs w:val="22"/>
              </w:rPr>
            </w:pPr>
            <w:r w:rsidRPr="007506DB">
              <w:rPr>
                <w:szCs w:val="22"/>
              </w:rPr>
              <w:t>CCBFTR01</w:t>
            </w:r>
            <w:r>
              <w:rPr>
                <w:szCs w:val="22"/>
              </w:rPr>
              <w:t>379</w:t>
            </w:r>
          </w:p>
        </w:tc>
        <w:tc>
          <w:tcPr>
            <w:tcW w:w="2520" w:type="dxa"/>
            <w:shd w:val="clear" w:color="auto" w:fill="auto"/>
          </w:tcPr>
          <w:p w:rsidR="005578E3" w:rsidRPr="007506DB" w:rsidRDefault="005578E3" w:rsidP="005E4D88">
            <w:pPr>
              <w:tabs>
                <w:tab w:val="left" w:pos="-720"/>
              </w:tabs>
              <w:suppressAutoHyphens/>
              <w:rPr>
                <w:szCs w:val="22"/>
              </w:rPr>
            </w:pPr>
            <w:r>
              <w:rPr>
                <w:szCs w:val="22"/>
              </w:rPr>
              <w:t>In response to a</w:t>
            </w:r>
            <w:r w:rsidR="00277DE7">
              <w:rPr>
                <w:szCs w:val="22"/>
              </w:rPr>
              <w:t>n ongoing</w:t>
            </w:r>
            <w:r>
              <w:rPr>
                <w:szCs w:val="22"/>
              </w:rPr>
              <w:t xml:space="preserve"> planned roadwork project, Frontier plans to retire its copper loops and replace them with fiber to </w:t>
            </w:r>
            <w:r w:rsidR="00CA7AE1">
              <w:rPr>
                <w:szCs w:val="22"/>
              </w:rPr>
              <w:t xml:space="preserve">affected customer </w:t>
            </w:r>
            <w:r>
              <w:rPr>
                <w:szCs w:val="22"/>
              </w:rPr>
              <w:t>premises.</w:t>
            </w:r>
          </w:p>
        </w:tc>
        <w:tc>
          <w:tcPr>
            <w:tcW w:w="2700" w:type="dxa"/>
            <w:shd w:val="clear" w:color="auto" w:fill="auto"/>
          </w:tcPr>
          <w:p w:rsidR="005578E3" w:rsidRPr="007506DB" w:rsidRDefault="001A33D4" w:rsidP="005E4D88">
            <w:pPr>
              <w:tabs>
                <w:tab w:val="left" w:pos="-720"/>
              </w:tabs>
              <w:suppressAutoHyphens/>
              <w:rPr>
                <w:szCs w:val="22"/>
              </w:rPr>
            </w:pPr>
            <w:r>
              <w:rPr>
                <w:szCs w:val="22"/>
              </w:rPr>
              <w:t>League City</w:t>
            </w:r>
            <w:r w:rsidR="005578E3">
              <w:rPr>
                <w:szCs w:val="22"/>
              </w:rPr>
              <w:t xml:space="preserve">, </w:t>
            </w:r>
            <w:r>
              <w:rPr>
                <w:szCs w:val="22"/>
              </w:rPr>
              <w:t>TX</w:t>
            </w:r>
            <w:r w:rsidR="005578E3">
              <w:rPr>
                <w:szCs w:val="22"/>
              </w:rPr>
              <w:t xml:space="preserve"> Central Office (</w:t>
            </w:r>
            <w:r>
              <w:rPr>
                <w:szCs w:val="22"/>
              </w:rPr>
              <w:t>LGCYTXXA</w:t>
            </w:r>
            <w:r w:rsidR="005578E3">
              <w:rPr>
                <w:szCs w:val="22"/>
              </w:rPr>
              <w:t xml:space="preserve">) – </w:t>
            </w:r>
            <w:r w:rsidR="00072B43">
              <w:rPr>
                <w:szCs w:val="22"/>
              </w:rPr>
              <w:t>125 W. Galveston Road</w:t>
            </w:r>
            <w:r w:rsidR="005578E3">
              <w:rPr>
                <w:szCs w:val="22"/>
              </w:rPr>
              <w:t xml:space="preserve">, </w:t>
            </w:r>
            <w:r w:rsidR="00072B43">
              <w:rPr>
                <w:szCs w:val="22"/>
              </w:rPr>
              <w:t>League City,</w:t>
            </w:r>
            <w:r w:rsidR="005578E3">
              <w:rPr>
                <w:szCs w:val="22"/>
              </w:rPr>
              <w:t xml:space="preserve"> </w:t>
            </w:r>
            <w:r w:rsidR="00072B43">
              <w:rPr>
                <w:szCs w:val="22"/>
              </w:rPr>
              <w:t>TX</w:t>
            </w:r>
            <w:r w:rsidR="005578E3">
              <w:rPr>
                <w:szCs w:val="22"/>
              </w:rPr>
              <w:t xml:space="preserve"> &amp; at facilities associated with the listed locations served by Frontier’s wire center (attached).</w:t>
            </w:r>
          </w:p>
        </w:tc>
        <w:tc>
          <w:tcPr>
            <w:tcW w:w="2520" w:type="dxa"/>
          </w:tcPr>
          <w:p w:rsidR="005578E3" w:rsidRPr="007506DB" w:rsidRDefault="005578E3" w:rsidP="005E4D88">
            <w:pPr>
              <w:tabs>
                <w:tab w:val="left" w:pos="-720"/>
              </w:tabs>
              <w:suppressAutoHyphens/>
              <w:rPr>
                <w:szCs w:val="22"/>
              </w:rPr>
            </w:pPr>
            <w:r>
              <w:rPr>
                <w:szCs w:val="22"/>
              </w:rPr>
              <w:t>180 days after public notice</w:t>
            </w:r>
          </w:p>
        </w:tc>
      </w:tr>
    </w:tbl>
    <w:p w:rsidR="005578E3" w:rsidRPr="007506DB" w:rsidRDefault="005578E3" w:rsidP="005578E3">
      <w:pPr>
        <w:tabs>
          <w:tab w:val="left" w:pos="-720"/>
        </w:tabs>
        <w:suppressAutoHyphens/>
        <w:rPr>
          <w:szCs w:val="22"/>
          <w:lang w:val="de-DE"/>
        </w:rPr>
      </w:pPr>
    </w:p>
    <w:p w:rsidR="00E60975" w:rsidRPr="00E60975" w:rsidRDefault="005578E3" w:rsidP="005578E3">
      <w:pPr>
        <w:tabs>
          <w:tab w:val="left" w:pos="0"/>
        </w:tabs>
        <w:suppressAutoHyphens/>
        <w:rPr>
          <w:szCs w:val="22"/>
        </w:rPr>
      </w:pPr>
      <w:r w:rsidRPr="005833F6">
        <w:rPr>
          <w:szCs w:val="22"/>
        </w:rPr>
        <w:t xml:space="preserve">Incumbent </w:t>
      </w:r>
      <w:r w:rsidR="00E60975" w:rsidRPr="00E60975">
        <w:rPr>
          <w:szCs w:val="22"/>
        </w:rPr>
        <w:t>LEC contact:</w:t>
      </w:r>
    </w:p>
    <w:p w:rsidR="00E60975" w:rsidRPr="00E60975" w:rsidRDefault="00CC396D" w:rsidP="00E60975">
      <w:pPr>
        <w:tabs>
          <w:tab w:val="left" w:pos="0"/>
        </w:tabs>
        <w:suppressAutoHyphens/>
        <w:rPr>
          <w:szCs w:val="22"/>
        </w:rPr>
      </w:pPr>
      <w:r>
        <w:rPr>
          <w:szCs w:val="22"/>
        </w:rPr>
        <w:t>Kim Douglass</w:t>
      </w:r>
    </w:p>
    <w:p w:rsidR="00E60975" w:rsidRPr="00E60975" w:rsidRDefault="006209FD" w:rsidP="00E60975">
      <w:pPr>
        <w:tabs>
          <w:tab w:val="left" w:pos="0"/>
        </w:tabs>
        <w:suppressAutoHyphens/>
        <w:rPr>
          <w:szCs w:val="22"/>
        </w:rPr>
      </w:pPr>
      <w:r>
        <w:rPr>
          <w:szCs w:val="22"/>
        </w:rPr>
        <w:t xml:space="preserve">Manager, </w:t>
      </w:r>
      <w:r w:rsidR="00CC396D">
        <w:rPr>
          <w:szCs w:val="22"/>
        </w:rPr>
        <w:t xml:space="preserve">Compliance – </w:t>
      </w:r>
      <w:r w:rsidR="00E60975" w:rsidRPr="00E60975">
        <w:rPr>
          <w:szCs w:val="22"/>
        </w:rPr>
        <w:t>Regulatory</w:t>
      </w:r>
      <w:r w:rsidR="00CC396D">
        <w:rPr>
          <w:szCs w:val="22"/>
        </w:rPr>
        <w:t xml:space="preserve"> Affairs</w:t>
      </w:r>
    </w:p>
    <w:p w:rsidR="00E60975" w:rsidRPr="00E60975" w:rsidRDefault="00CC396D" w:rsidP="00E60975">
      <w:pPr>
        <w:tabs>
          <w:tab w:val="left" w:pos="0"/>
        </w:tabs>
        <w:suppressAutoHyphens/>
        <w:rPr>
          <w:szCs w:val="22"/>
        </w:rPr>
      </w:pPr>
      <w:r>
        <w:rPr>
          <w:szCs w:val="22"/>
        </w:rPr>
        <w:t>Frontier Communications</w:t>
      </w:r>
    </w:p>
    <w:p w:rsidR="00E60975" w:rsidRDefault="00CC396D" w:rsidP="00E60975">
      <w:pPr>
        <w:tabs>
          <w:tab w:val="left" w:pos="0"/>
        </w:tabs>
        <w:suppressAutoHyphens/>
        <w:rPr>
          <w:szCs w:val="22"/>
        </w:rPr>
      </w:pPr>
      <w:r>
        <w:rPr>
          <w:szCs w:val="22"/>
        </w:rPr>
        <w:t>7979 N. Belt Line Rd.</w:t>
      </w:r>
    </w:p>
    <w:p w:rsidR="00E60975" w:rsidRPr="00E60975" w:rsidRDefault="00CC396D" w:rsidP="00E60975">
      <w:pPr>
        <w:tabs>
          <w:tab w:val="left" w:pos="0"/>
        </w:tabs>
        <w:suppressAutoHyphens/>
        <w:rPr>
          <w:szCs w:val="22"/>
        </w:rPr>
      </w:pPr>
      <w:r>
        <w:rPr>
          <w:szCs w:val="22"/>
        </w:rPr>
        <w:t>Irving, TX</w:t>
      </w:r>
      <w:r w:rsidR="006209FD">
        <w:rPr>
          <w:szCs w:val="22"/>
        </w:rPr>
        <w:t xml:space="preserve"> </w:t>
      </w:r>
      <w:r>
        <w:rPr>
          <w:szCs w:val="22"/>
        </w:rPr>
        <w:t>75063</w:t>
      </w:r>
    </w:p>
    <w:p w:rsidR="008761FE" w:rsidRDefault="00E60975" w:rsidP="00E60975">
      <w:pPr>
        <w:rPr>
          <w:szCs w:val="22"/>
        </w:rPr>
      </w:pPr>
      <w:r w:rsidRPr="00E60975">
        <w:rPr>
          <w:szCs w:val="22"/>
        </w:rPr>
        <w:t>(</w:t>
      </w:r>
      <w:r w:rsidR="00CC396D">
        <w:rPr>
          <w:szCs w:val="22"/>
        </w:rPr>
        <w:t>972</w:t>
      </w:r>
      <w:r w:rsidRPr="00E60975">
        <w:rPr>
          <w:szCs w:val="22"/>
        </w:rPr>
        <w:t xml:space="preserve">) </w:t>
      </w:r>
      <w:r w:rsidR="00CC396D">
        <w:rPr>
          <w:szCs w:val="22"/>
        </w:rPr>
        <w:t>908</w:t>
      </w:r>
      <w:r w:rsidRPr="00E60975">
        <w:rPr>
          <w:szCs w:val="22"/>
        </w:rPr>
        <w:t>-</w:t>
      </w:r>
      <w:r w:rsidR="00CC396D">
        <w:rPr>
          <w:szCs w:val="22"/>
        </w:rPr>
        <w:t>4415</w:t>
      </w:r>
    </w:p>
    <w:p w:rsidR="008761FE" w:rsidRDefault="008761FE" w:rsidP="00E60975">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4"/>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448">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C9" w:rsidRDefault="00E64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r w:rsidR="00893207">
        <w:rPr>
          <w:sz w:val="20"/>
        </w:rPr>
        <w:t xml:space="preserve">  Although the original filing was filed in INBOX-1.41, it has since been located after </w:t>
      </w:r>
      <w:r w:rsidR="00E40E58">
        <w:rPr>
          <w:sz w:val="20"/>
        </w:rPr>
        <w:t xml:space="preserve">staff contact with </w:t>
      </w:r>
      <w:r w:rsidR="00893207">
        <w:rPr>
          <w:sz w:val="20"/>
        </w:rPr>
        <w:t>Frontier counsel.</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p>
  </w:footnote>
  <w:footnote w:id="3">
    <w:p w:rsidR="00BC2C29" w:rsidRDefault="00BC2C29">
      <w:pPr>
        <w:pStyle w:val="FootnoteText"/>
      </w:pPr>
      <w:r>
        <w:rPr>
          <w:rStyle w:val="FootnoteReference"/>
        </w:rPr>
        <w:footnoteRef/>
      </w:r>
      <w:r>
        <w:t xml:space="preserve"> </w:t>
      </w:r>
      <w:r>
        <w:rPr>
          <w:i/>
          <w:sz w:val="20"/>
        </w:rPr>
        <w:t>See</w:t>
      </w:r>
      <w:r>
        <w:rPr>
          <w:sz w:val="20"/>
        </w:rPr>
        <w:t xml:space="preserve"> 47 CFR § 51.332(d).  Incumbent LECs must file certification of all the information required under section 51.332(d) no later than 90 days after the release date of the Commission’s public notice.  </w:t>
      </w:r>
      <w:r>
        <w:rPr>
          <w:i/>
          <w:sz w:val="20"/>
        </w:rPr>
        <w:t>Id</w:t>
      </w:r>
      <w:r>
        <w:rPr>
          <w:sz w:val="20"/>
        </w:rPr>
        <w:t>.</w:t>
      </w:r>
    </w:p>
  </w:footnote>
  <w:footnote w:id="4">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C9" w:rsidRDefault="00E64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C9" w:rsidRDefault="00E64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15448">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388706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3F6A"/>
    <w:rsid w:val="00084E7E"/>
    <w:rsid w:val="0008709F"/>
    <w:rsid w:val="000926AA"/>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23"/>
    <w:rsid w:val="00190C3F"/>
    <w:rsid w:val="00192CF0"/>
    <w:rsid w:val="00193582"/>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2CCC"/>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96A69"/>
    <w:rsid w:val="004A0D99"/>
    <w:rsid w:val="004A3760"/>
    <w:rsid w:val="004A449A"/>
    <w:rsid w:val="004A4E63"/>
    <w:rsid w:val="004A51AF"/>
    <w:rsid w:val="004A558F"/>
    <w:rsid w:val="004A7C59"/>
    <w:rsid w:val="004A7E5F"/>
    <w:rsid w:val="004B1994"/>
    <w:rsid w:val="004B3A31"/>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7F55"/>
    <w:rsid w:val="007605C2"/>
    <w:rsid w:val="00760A5E"/>
    <w:rsid w:val="007629C0"/>
    <w:rsid w:val="00763E68"/>
    <w:rsid w:val="00765BDE"/>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45C9"/>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15448"/>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olesale.frontier.com/wholesale/notifications-and-new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740</Words>
  <Characters>4269</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5033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2017-08-10T20:18:00Z</dcterms:created>
  <dcterms:modified xsi:type="dcterms:W3CDTF">2017-08-10T20:18:00Z</dcterms:modified>
  <cp:category> </cp:category>
  <cp:contentStatus> </cp:contentStatus>
</cp:coreProperties>
</file>