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2CAE9FA7" w14:textId="77777777" w:rsidTr="004C6649">
        <w:trPr>
          <w:trHeight w:val="2181"/>
        </w:trPr>
        <w:tc>
          <w:tcPr>
            <w:tcW w:w="8886" w:type="dxa"/>
          </w:tcPr>
          <w:p w14:paraId="303D3500" w14:textId="77777777" w:rsidR="00FF232D" w:rsidRDefault="00CE14FD" w:rsidP="006A7D75">
            <w:pPr>
              <w:jc w:val="center"/>
              <w:rPr>
                <w:b/>
              </w:rPr>
            </w:pPr>
            <w:bookmarkStart w:id="0" w:name="_GoBack"/>
            <w:bookmarkEnd w:id="0"/>
            <w:r>
              <w:rPr>
                <w:b/>
                <w:i/>
                <w:noProof/>
                <w:sz w:val="28"/>
                <w:szCs w:val="28"/>
              </w:rPr>
              <w:drawing>
                <wp:inline distT="0" distB="0" distL="0" distR="0" wp14:anchorId="1AF2ECD9" wp14:editId="7474F3B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7271CF0" w14:textId="77777777" w:rsidR="00426518" w:rsidRPr="005F60D0" w:rsidRDefault="00426518" w:rsidP="00B57131">
            <w:pPr>
              <w:rPr>
                <w:b/>
                <w:bCs/>
                <w:sz w:val="18"/>
                <w:szCs w:val="18"/>
              </w:rPr>
            </w:pPr>
          </w:p>
          <w:p w14:paraId="728DF827" w14:textId="77777777" w:rsidR="00F67DA2" w:rsidRPr="00CB7594" w:rsidRDefault="00F67DA2" w:rsidP="00F67DA2">
            <w:pPr>
              <w:rPr>
                <w:b/>
                <w:bCs/>
                <w:sz w:val="22"/>
                <w:szCs w:val="22"/>
              </w:rPr>
            </w:pPr>
            <w:r w:rsidRPr="00CB7594">
              <w:rPr>
                <w:b/>
                <w:bCs/>
                <w:sz w:val="22"/>
                <w:szCs w:val="22"/>
              </w:rPr>
              <w:t xml:space="preserve">Media Contact: </w:t>
            </w:r>
          </w:p>
          <w:p w14:paraId="4B75EF9F" w14:textId="77777777" w:rsidR="00F67DA2" w:rsidRPr="00CB7594" w:rsidRDefault="00AA3780" w:rsidP="00F67DA2">
            <w:pPr>
              <w:rPr>
                <w:bCs/>
                <w:sz w:val="22"/>
                <w:szCs w:val="22"/>
              </w:rPr>
            </w:pPr>
            <w:r w:rsidRPr="00CB7594">
              <w:rPr>
                <w:bCs/>
                <w:sz w:val="22"/>
                <w:szCs w:val="22"/>
              </w:rPr>
              <w:t>Michele Wu-Bailey, (202) 418-1408</w:t>
            </w:r>
          </w:p>
          <w:p w14:paraId="06767F8E" w14:textId="77777777" w:rsidR="00F67DA2" w:rsidRPr="00CB7594" w:rsidRDefault="00AA3780" w:rsidP="00F67DA2">
            <w:pPr>
              <w:rPr>
                <w:bCs/>
                <w:sz w:val="22"/>
                <w:szCs w:val="22"/>
              </w:rPr>
            </w:pPr>
            <w:r w:rsidRPr="00CB7594">
              <w:rPr>
                <w:bCs/>
                <w:sz w:val="22"/>
                <w:szCs w:val="22"/>
              </w:rPr>
              <w:t>Michele.Wu-Bailey</w:t>
            </w:r>
            <w:r w:rsidR="00F67DA2" w:rsidRPr="00CB7594">
              <w:rPr>
                <w:bCs/>
                <w:sz w:val="22"/>
                <w:szCs w:val="22"/>
              </w:rPr>
              <w:t>@fcc.gov</w:t>
            </w:r>
          </w:p>
          <w:p w14:paraId="0B08276E" w14:textId="77777777" w:rsidR="00F67DA2" w:rsidRPr="005F60D0" w:rsidRDefault="00F67DA2" w:rsidP="00F67DA2">
            <w:pPr>
              <w:rPr>
                <w:bCs/>
                <w:sz w:val="18"/>
                <w:szCs w:val="18"/>
              </w:rPr>
            </w:pPr>
          </w:p>
          <w:p w14:paraId="52DD6D51" w14:textId="77777777" w:rsidR="00F67DA2" w:rsidRPr="00CB7594" w:rsidRDefault="00F67DA2" w:rsidP="00F67DA2">
            <w:pPr>
              <w:rPr>
                <w:b/>
                <w:sz w:val="22"/>
                <w:szCs w:val="22"/>
              </w:rPr>
            </w:pPr>
            <w:r w:rsidRPr="00CB7594">
              <w:rPr>
                <w:b/>
                <w:sz w:val="22"/>
                <w:szCs w:val="22"/>
              </w:rPr>
              <w:t>For Immediate Release</w:t>
            </w:r>
          </w:p>
          <w:p w14:paraId="13B7ABC6" w14:textId="77777777" w:rsidR="00F67DA2" w:rsidRPr="005F60D0" w:rsidRDefault="00F67DA2" w:rsidP="00F67DA2">
            <w:pPr>
              <w:rPr>
                <w:b/>
                <w:bCs/>
                <w:sz w:val="18"/>
                <w:szCs w:val="18"/>
              </w:rPr>
            </w:pPr>
          </w:p>
          <w:p w14:paraId="125C3A59" w14:textId="77777777" w:rsidR="002F626A" w:rsidRDefault="00D87E76" w:rsidP="00F67DA2">
            <w:pPr>
              <w:jc w:val="center"/>
              <w:rPr>
                <w:b/>
                <w:sz w:val="22"/>
                <w:szCs w:val="22"/>
              </w:rPr>
            </w:pPr>
            <w:r w:rsidRPr="00CB7594">
              <w:rPr>
                <w:b/>
                <w:sz w:val="22"/>
                <w:szCs w:val="22"/>
              </w:rPr>
              <w:t xml:space="preserve">FCC </w:t>
            </w:r>
            <w:r w:rsidR="00C32920" w:rsidRPr="00CB7594">
              <w:rPr>
                <w:b/>
                <w:sz w:val="22"/>
                <w:szCs w:val="22"/>
              </w:rPr>
              <w:t>INTERNATIONAL BUREAU</w:t>
            </w:r>
            <w:r w:rsidR="005411D2" w:rsidRPr="00CB7594">
              <w:rPr>
                <w:b/>
                <w:sz w:val="22"/>
                <w:szCs w:val="22"/>
              </w:rPr>
              <w:t xml:space="preserve"> </w:t>
            </w:r>
            <w:r w:rsidR="00C32920" w:rsidRPr="00CB7594">
              <w:rPr>
                <w:b/>
                <w:sz w:val="22"/>
                <w:szCs w:val="22"/>
              </w:rPr>
              <w:t xml:space="preserve">RELEASES </w:t>
            </w:r>
          </w:p>
          <w:p w14:paraId="08457B43" w14:textId="773714B0" w:rsidR="008A5754" w:rsidRPr="00CB7594" w:rsidRDefault="00AA3780" w:rsidP="00F67DA2">
            <w:pPr>
              <w:jc w:val="center"/>
              <w:rPr>
                <w:b/>
                <w:sz w:val="22"/>
                <w:szCs w:val="22"/>
              </w:rPr>
            </w:pPr>
            <w:r w:rsidRPr="00CB7594">
              <w:rPr>
                <w:b/>
                <w:sz w:val="22"/>
                <w:szCs w:val="22"/>
              </w:rPr>
              <w:t>2015</w:t>
            </w:r>
            <w:r w:rsidR="00D87E76" w:rsidRPr="00CB7594">
              <w:rPr>
                <w:b/>
                <w:sz w:val="22"/>
                <w:szCs w:val="22"/>
              </w:rPr>
              <w:t xml:space="preserve"> </w:t>
            </w:r>
            <w:r w:rsidR="004937F1" w:rsidRPr="00CB7594">
              <w:rPr>
                <w:b/>
                <w:sz w:val="22"/>
                <w:szCs w:val="22"/>
              </w:rPr>
              <w:t xml:space="preserve">U.S. </w:t>
            </w:r>
            <w:r w:rsidR="008A5754" w:rsidRPr="00CB7594">
              <w:rPr>
                <w:b/>
                <w:sz w:val="22"/>
                <w:szCs w:val="22"/>
              </w:rPr>
              <w:t xml:space="preserve">INTERNATIONAL </w:t>
            </w:r>
            <w:r w:rsidR="00C32920" w:rsidRPr="00CB7594">
              <w:rPr>
                <w:b/>
                <w:sz w:val="22"/>
                <w:szCs w:val="22"/>
              </w:rPr>
              <w:t>CIRCUIT CAPACITY REPORT</w:t>
            </w:r>
          </w:p>
          <w:p w14:paraId="6C9672E2" w14:textId="77777777" w:rsidR="00CB7594" w:rsidRPr="005F60D0" w:rsidRDefault="00CB7594" w:rsidP="00AA3780">
            <w:pPr>
              <w:pStyle w:val="Header"/>
              <w:tabs>
                <w:tab w:val="clear" w:pos="9360"/>
                <w:tab w:val="right" w:pos="9346"/>
              </w:tabs>
              <w:rPr>
                <w:sz w:val="18"/>
                <w:szCs w:val="18"/>
              </w:rPr>
            </w:pPr>
          </w:p>
          <w:p w14:paraId="62C2351F" w14:textId="4FDD501D" w:rsidR="00AA3780" w:rsidRPr="00CB7594" w:rsidRDefault="00AA3780" w:rsidP="00AA3780">
            <w:pPr>
              <w:pStyle w:val="Header"/>
              <w:tabs>
                <w:tab w:val="clear" w:pos="9360"/>
                <w:tab w:val="right" w:pos="9346"/>
              </w:tabs>
              <w:rPr>
                <w:sz w:val="22"/>
                <w:szCs w:val="22"/>
              </w:rPr>
            </w:pPr>
            <w:r w:rsidRPr="00CB7594">
              <w:rPr>
                <w:sz w:val="22"/>
                <w:szCs w:val="22"/>
              </w:rPr>
              <w:t xml:space="preserve">WASHINGTON, </w:t>
            </w:r>
            <w:r w:rsidR="00AC2AC4">
              <w:rPr>
                <w:sz w:val="22"/>
                <w:szCs w:val="22"/>
              </w:rPr>
              <w:t>August</w:t>
            </w:r>
            <w:r w:rsidR="00AC2AC4" w:rsidRPr="00CB7594">
              <w:rPr>
                <w:sz w:val="22"/>
                <w:szCs w:val="22"/>
              </w:rPr>
              <w:t xml:space="preserve"> </w:t>
            </w:r>
            <w:r w:rsidR="0065754F">
              <w:rPr>
                <w:sz w:val="22"/>
                <w:szCs w:val="22"/>
              </w:rPr>
              <w:t>29</w:t>
            </w:r>
            <w:r w:rsidRPr="00CB7594">
              <w:rPr>
                <w:sz w:val="22"/>
                <w:szCs w:val="22"/>
              </w:rPr>
              <w:t xml:space="preserve">, 2017 – The Federal Communications Commission today released the </w:t>
            </w:r>
            <w:r w:rsidR="00C4547D">
              <w:rPr>
                <w:sz w:val="22"/>
                <w:szCs w:val="22"/>
              </w:rPr>
              <w:t>2015</w:t>
            </w:r>
            <w:r w:rsidR="00C4547D" w:rsidRPr="00CB7594">
              <w:rPr>
                <w:sz w:val="22"/>
                <w:szCs w:val="22"/>
              </w:rPr>
              <w:t xml:space="preserve"> </w:t>
            </w:r>
            <w:r w:rsidRPr="00CB7594">
              <w:rPr>
                <w:sz w:val="22"/>
                <w:szCs w:val="22"/>
              </w:rPr>
              <w:t>U.S. International Circuit Capacity Report.  The report presents circuit capacity data submitted by U.S. facilities-based common carriers, non-common carrier satellite operators, cable landing licens</w:t>
            </w:r>
            <w:r w:rsidR="006348E6">
              <w:rPr>
                <w:sz w:val="22"/>
                <w:szCs w:val="22"/>
              </w:rPr>
              <w:t>e</w:t>
            </w:r>
            <w:r w:rsidRPr="00CB7594">
              <w:rPr>
                <w:sz w:val="22"/>
                <w:szCs w:val="22"/>
              </w:rPr>
              <w:t xml:space="preserve">es, and U.S. international carriers that owned or leased capacity on a submarine cable between the United States and any foreign point, as of December 31, 2015. </w:t>
            </w:r>
          </w:p>
          <w:p w14:paraId="4F7CCB31" w14:textId="77777777" w:rsidR="00AA3780" w:rsidRPr="005F60D0" w:rsidRDefault="00AA3780" w:rsidP="00AA3780">
            <w:pPr>
              <w:pStyle w:val="Header"/>
              <w:tabs>
                <w:tab w:val="clear" w:pos="9360"/>
                <w:tab w:val="right" w:pos="9346"/>
              </w:tabs>
              <w:rPr>
                <w:sz w:val="18"/>
                <w:szCs w:val="18"/>
              </w:rPr>
            </w:pPr>
          </w:p>
          <w:p w14:paraId="018BE3FB" w14:textId="042DB56A" w:rsidR="00AA3780" w:rsidRPr="00CB7594" w:rsidRDefault="00AA3780" w:rsidP="00B53CC9">
            <w:pPr>
              <w:pStyle w:val="Header"/>
              <w:rPr>
                <w:sz w:val="22"/>
                <w:szCs w:val="22"/>
              </w:rPr>
            </w:pPr>
            <w:r w:rsidRPr="00CB7594">
              <w:rPr>
                <w:sz w:val="22"/>
                <w:szCs w:val="22"/>
              </w:rPr>
              <w:t xml:space="preserve">The report shows that the total available capacity of U.S. international cables </w:t>
            </w:r>
            <w:r w:rsidR="00CB7594">
              <w:rPr>
                <w:sz w:val="22"/>
                <w:szCs w:val="22"/>
              </w:rPr>
              <w:t>grew</w:t>
            </w:r>
            <w:r w:rsidR="00CB7594" w:rsidRPr="00CB7594">
              <w:rPr>
                <w:sz w:val="22"/>
                <w:szCs w:val="22"/>
              </w:rPr>
              <w:t xml:space="preserve"> </w:t>
            </w:r>
            <w:r w:rsidRPr="00CB7594">
              <w:rPr>
                <w:sz w:val="22"/>
                <w:szCs w:val="22"/>
              </w:rPr>
              <w:t>in 2015</w:t>
            </w:r>
            <w:r w:rsidR="003A029F">
              <w:rPr>
                <w:sz w:val="22"/>
                <w:szCs w:val="22"/>
              </w:rPr>
              <w:t xml:space="preserve"> </w:t>
            </w:r>
            <w:r w:rsidR="00C4547D">
              <w:rPr>
                <w:sz w:val="22"/>
                <w:szCs w:val="22"/>
              </w:rPr>
              <w:t>to</w:t>
            </w:r>
            <w:r w:rsidRPr="00CB7594">
              <w:rPr>
                <w:sz w:val="22"/>
                <w:szCs w:val="22"/>
              </w:rPr>
              <w:t xml:space="preserve"> approximately 120,000 gigabit per second (Gbps) circuits, up from 91,000 Gbps circuits in 2014.  Submarine cable capacity grew 35 percent per year from 2007</w:t>
            </w:r>
            <w:r w:rsidRPr="00CB7594">
              <w:rPr>
                <w:rFonts w:eastAsia="Calibri"/>
                <w:sz w:val="22"/>
                <w:szCs w:val="22"/>
              </w:rPr>
              <w:t xml:space="preserve"> to </w:t>
            </w:r>
            <w:r w:rsidRPr="00CB7594">
              <w:rPr>
                <w:sz w:val="22"/>
                <w:szCs w:val="22"/>
              </w:rPr>
              <w:t>2015 and</w:t>
            </w:r>
            <w:r w:rsidR="00C4547D">
              <w:rPr>
                <w:sz w:val="22"/>
                <w:szCs w:val="22"/>
              </w:rPr>
              <w:t>, based on data submitted for this report,</w:t>
            </w:r>
            <w:r w:rsidRPr="00CB7594">
              <w:rPr>
                <w:sz w:val="22"/>
                <w:szCs w:val="22"/>
              </w:rPr>
              <w:t xml:space="preserve"> is projected to grow 17 percent per year from year-end </w:t>
            </w:r>
            <w:r w:rsidRPr="00CB7594">
              <w:rPr>
                <w:rFonts w:eastAsia="Calibri"/>
                <w:sz w:val="22"/>
                <w:szCs w:val="22"/>
              </w:rPr>
              <w:t>2015 to year-end 2017</w:t>
            </w:r>
            <w:r w:rsidRPr="00CB7594">
              <w:rPr>
                <w:sz w:val="22"/>
                <w:szCs w:val="22"/>
              </w:rPr>
              <w:t>.</w:t>
            </w:r>
          </w:p>
          <w:p w14:paraId="6EB5CB1A" w14:textId="77777777" w:rsidR="00AA3780" w:rsidRPr="005F60D0" w:rsidRDefault="00AA3780" w:rsidP="00AA3780">
            <w:pPr>
              <w:pStyle w:val="Header"/>
              <w:tabs>
                <w:tab w:val="clear" w:pos="9360"/>
                <w:tab w:val="right" w:pos="9346"/>
              </w:tabs>
              <w:rPr>
                <w:sz w:val="18"/>
                <w:szCs w:val="18"/>
              </w:rPr>
            </w:pPr>
          </w:p>
          <w:p w14:paraId="4F3DAA1E" w14:textId="77777777" w:rsidR="00AA3780" w:rsidRPr="00CB7594" w:rsidRDefault="003A6BF6" w:rsidP="00AA3780">
            <w:pPr>
              <w:pStyle w:val="Header"/>
              <w:tabs>
                <w:tab w:val="clear" w:pos="9360"/>
                <w:tab w:val="right" w:pos="9346"/>
              </w:tabs>
              <w:rPr>
                <w:sz w:val="22"/>
                <w:szCs w:val="22"/>
              </w:rPr>
            </w:pPr>
            <w:r>
              <w:rPr>
                <w:sz w:val="22"/>
                <w:szCs w:val="22"/>
              </w:rPr>
              <w:t>H</w:t>
            </w:r>
            <w:r w:rsidR="00AA3780" w:rsidRPr="00CB7594">
              <w:rPr>
                <w:sz w:val="22"/>
                <w:szCs w:val="22"/>
              </w:rPr>
              <w:t xml:space="preserve">ighlights from the </w:t>
            </w:r>
            <w:r w:rsidR="00C4547D">
              <w:rPr>
                <w:sz w:val="22"/>
                <w:szCs w:val="22"/>
              </w:rPr>
              <w:t xml:space="preserve">2015 </w:t>
            </w:r>
            <w:r w:rsidR="00AA3780" w:rsidRPr="00CB7594">
              <w:rPr>
                <w:sz w:val="22"/>
                <w:szCs w:val="22"/>
              </w:rPr>
              <w:t xml:space="preserve">U.S. International Circuit Capacity Report include: </w:t>
            </w:r>
          </w:p>
          <w:p w14:paraId="0BB42814" w14:textId="77777777" w:rsidR="00AA3780" w:rsidRPr="005F60D0" w:rsidRDefault="00AA3780" w:rsidP="00AA3780">
            <w:pPr>
              <w:pStyle w:val="Header"/>
              <w:tabs>
                <w:tab w:val="clear" w:pos="9360"/>
                <w:tab w:val="right" w:pos="9346"/>
              </w:tabs>
              <w:rPr>
                <w:sz w:val="18"/>
                <w:szCs w:val="18"/>
              </w:rPr>
            </w:pPr>
          </w:p>
          <w:p w14:paraId="19723F51" w14:textId="77777777" w:rsidR="00AA3780" w:rsidRPr="00CB7594" w:rsidRDefault="00C4547D" w:rsidP="00AA3780">
            <w:pPr>
              <w:widowControl w:val="0"/>
              <w:numPr>
                <w:ilvl w:val="0"/>
                <w:numId w:val="2"/>
              </w:numPr>
              <w:contextualSpacing/>
              <w:rPr>
                <w:sz w:val="22"/>
                <w:szCs w:val="22"/>
              </w:rPr>
            </w:pPr>
            <w:r>
              <w:rPr>
                <w:sz w:val="22"/>
                <w:szCs w:val="22"/>
              </w:rPr>
              <w:t>Among</w:t>
            </w:r>
            <w:r w:rsidR="00AA3780" w:rsidRPr="00CB7594">
              <w:rPr>
                <w:sz w:val="22"/>
                <w:szCs w:val="22"/>
              </w:rPr>
              <w:t xml:space="preserve"> the three regions into which </w:t>
            </w:r>
            <w:r w:rsidR="00CB7594">
              <w:rPr>
                <w:sz w:val="22"/>
                <w:szCs w:val="22"/>
              </w:rPr>
              <w:t>the Commission</w:t>
            </w:r>
            <w:r w:rsidR="00AA3780" w:rsidRPr="00CB7594">
              <w:rPr>
                <w:sz w:val="22"/>
                <w:szCs w:val="22"/>
              </w:rPr>
              <w:t xml:space="preserve"> traditionally group</w:t>
            </w:r>
            <w:r w:rsidR="00CB7594">
              <w:rPr>
                <w:sz w:val="22"/>
                <w:szCs w:val="22"/>
              </w:rPr>
              <w:t>s</w:t>
            </w:r>
            <w:r w:rsidR="00AA3780" w:rsidRPr="00CB7594">
              <w:rPr>
                <w:sz w:val="22"/>
                <w:szCs w:val="22"/>
              </w:rPr>
              <w:t xml:space="preserve"> submarine cables (the Americas, Atlantic, and Pacific regions), the Atlantic region accounted for 40</w:t>
            </w:r>
            <w:r>
              <w:rPr>
                <w:sz w:val="22"/>
                <w:szCs w:val="22"/>
              </w:rPr>
              <w:t>%</w:t>
            </w:r>
            <w:r w:rsidR="00AA3780" w:rsidRPr="00CB7594">
              <w:rPr>
                <w:sz w:val="22"/>
                <w:szCs w:val="22"/>
              </w:rPr>
              <w:t xml:space="preserve"> of total available capacity, the Pacific region had 37</w:t>
            </w:r>
            <w:r>
              <w:rPr>
                <w:sz w:val="22"/>
                <w:szCs w:val="22"/>
              </w:rPr>
              <w:t>%</w:t>
            </w:r>
            <w:r w:rsidR="00AA3780" w:rsidRPr="00CB7594">
              <w:rPr>
                <w:sz w:val="22"/>
                <w:szCs w:val="22"/>
              </w:rPr>
              <w:t>, and the Americas region had more than 23</w:t>
            </w:r>
            <w:r>
              <w:rPr>
                <w:sz w:val="22"/>
                <w:szCs w:val="22"/>
              </w:rPr>
              <w:t>%</w:t>
            </w:r>
            <w:r w:rsidR="00AA3780" w:rsidRPr="00CB7594">
              <w:rPr>
                <w:sz w:val="22"/>
                <w:szCs w:val="22"/>
              </w:rPr>
              <w:t>.</w:t>
            </w:r>
          </w:p>
          <w:p w14:paraId="4EF3B4CE" w14:textId="77777777" w:rsidR="00AA3780" w:rsidRPr="00CB7594" w:rsidRDefault="00D40CDC" w:rsidP="00AA3780">
            <w:pPr>
              <w:widowControl w:val="0"/>
              <w:numPr>
                <w:ilvl w:val="0"/>
                <w:numId w:val="2"/>
              </w:numPr>
              <w:contextualSpacing/>
              <w:rPr>
                <w:sz w:val="22"/>
                <w:szCs w:val="22"/>
              </w:rPr>
            </w:pPr>
            <w:r>
              <w:rPr>
                <w:sz w:val="22"/>
                <w:szCs w:val="22"/>
              </w:rPr>
              <w:t>Over</w:t>
            </w:r>
            <w:r w:rsidR="00AA3780" w:rsidRPr="00CB7594">
              <w:rPr>
                <w:sz w:val="22"/>
                <w:szCs w:val="22"/>
              </w:rPr>
              <w:t xml:space="preserve"> 8</w:t>
            </w:r>
            <w:r>
              <w:rPr>
                <w:sz w:val="22"/>
                <w:szCs w:val="22"/>
              </w:rPr>
              <w:t>7%</w:t>
            </w:r>
            <w:r w:rsidR="00AA3780" w:rsidRPr="00CB7594">
              <w:rPr>
                <w:sz w:val="22"/>
                <w:szCs w:val="22"/>
              </w:rPr>
              <w:t xml:space="preserve"> of </w:t>
            </w:r>
            <w:r w:rsidR="00C4547D">
              <w:rPr>
                <w:sz w:val="22"/>
                <w:szCs w:val="22"/>
              </w:rPr>
              <w:t xml:space="preserve">global </w:t>
            </w:r>
            <w:r w:rsidR="00AA3780" w:rsidRPr="00CB7594">
              <w:rPr>
                <w:sz w:val="22"/>
                <w:szCs w:val="22"/>
              </w:rPr>
              <w:t>capacity on U.S. international cables was activated.  The non-activated capacity varied among regions with the Americas region reporting 18</w:t>
            </w:r>
            <w:r>
              <w:rPr>
                <w:sz w:val="22"/>
                <w:szCs w:val="22"/>
              </w:rPr>
              <w:t>%</w:t>
            </w:r>
            <w:r w:rsidR="00AA3780" w:rsidRPr="00CB7594">
              <w:rPr>
                <w:sz w:val="22"/>
                <w:szCs w:val="22"/>
              </w:rPr>
              <w:t>, the Pacific region reporting 17</w:t>
            </w:r>
            <w:r>
              <w:rPr>
                <w:sz w:val="22"/>
                <w:szCs w:val="22"/>
              </w:rPr>
              <w:t>%</w:t>
            </w:r>
            <w:r w:rsidR="00AA3780" w:rsidRPr="00CB7594">
              <w:rPr>
                <w:sz w:val="22"/>
                <w:szCs w:val="22"/>
              </w:rPr>
              <w:t>, and the Atlantic region reporting 3</w:t>
            </w:r>
            <w:r>
              <w:rPr>
                <w:sz w:val="22"/>
                <w:szCs w:val="22"/>
              </w:rPr>
              <w:t>%</w:t>
            </w:r>
            <w:r w:rsidR="00AA3780" w:rsidRPr="00CB7594">
              <w:rPr>
                <w:sz w:val="22"/>
                <w:szCs w:val="22"/>
              </w:rPr>
              <w:t>.</w:t>
            </w:r>
          </w:p>
          <w:p w14:paraId="766C2D62" w14:textId="035363B9" w:rsidR="00AA3780" w:rsidRPr="00CB7594" w:rsidRDefault="00AA3780" w:rsidP="00AA3780">
            <w:pPr>
              <w:widowControl w:val="0"/>
              <w:numPr>
                <w:ilvl w:val="0"/>
                <w:numId w:val="2"/>
              </w:numPr>
              <w:contextualSpacing/>
              <w:rPr>
                <w:sz w:val="22"/>
                <w:szCs w:val="22"/>
              </w:rPr>
            </w:pPr>
            <w:r w:rsidRPr="00CB7594">
              <w:rPr>
                <w:sz w:val="22"/>
                <w:szCs w:val="22"/>
              </w:rPr>
              <w:t>The top eight foreign landing points (in descending order) for U.S. international submarine cables were Colombia (9 landing points), Japan and the United Kingdom (7 landing points each), Panama (6 landing points), Brazil and Venezuela (5 landing points each), and Australia and Mexico (4 landing points each).</w:t>
            </w:r>
            <w:r w:rsidR="00497B5F">
              <w:rPr>
                <w:sz w:val="22"/>
                <w:szCs w:val="22"/>
              </w:rPr>
              <w:t xml:space="preserve">  </w:t>
            </w:r>
          </w:p>
          <w:p w14:paraId="2F15EDAE" w14:textId="77777777" w:rsidR="00AA3780" w:rsidRPr="005F60D0" w:rsidRDefault="00AA3780" w:rsidP="00AA3780">
            <w:pPr>
              <w:widowControl w:val="0"/>
              <w:ind w:left="720"/>
              <w:contextualSpacing/>
              <w:rPr>
                <w:sz w:val="18"/>
                <w:szCs w:val="18"/>
              </w:rPr>
            </w:pPr>
          </w:p>
          <w:p w14:paraId="774C0765" w14:textId="47AB3161" w:rsidR="00AA3780" w:rsidRPr="00CD1827" w:rsidRDefault="00AA3780" w:rsidP="00AA3780">
            <w:pPr>
              <w:widowControl w:val="0"/>
              <w:contextualSpacing/>
              <w:rPr>
                <w:sz w:val="22"/>
              </w:rPr>
            </w:pPr>
            <w:r w:rsidRPr="00CD1827">
              <w:rPr>
                <w:sz w:val="22"/>
              </w:rPr>
              <w:t xml:space="preserve">The report is available at </w:t>
            </w:r>
            <w:hyperlink r:id="rId9" w:history="1">
              <w:r w:rsidR="00C17A47" w:rsidRPr="00581339">
                <w:rPr>
                  <w:rStyle w:val="Hyperlink"/>
                  <w:sz w:val="22"/>
                  <w:szCs w:val="22"/>
                </w:rPr>
                <w:t>https://www.fcc.gov/general/circuit-capacity-report</w:t>
              </w:r>
            </w:hyperlink>
            <w:r w:rsidR="00C63677">
              <w:rPr>
                <w:rStyle w:val="Hyperlink"/>
                <w:sz w:val="22"/>
                <w:szCs w:val="22"/>
              </w:rPr>
              <w:t>.</w:t>
            </w:r>
            <w:r w:rsidRPr="00CD1827">
              <w:rPr>
                <w:sz w:val="22"/>
              </w:rPr>
              <w:t xml:space="preserve"> </w:t>
            </w:r>
          </w:p>
          <w:p w14:paraId="3AC4B011" w14:textId="77777777" w:rsidR="00AA3780" w:rsidRPr="0054056D" w:rsidRDefault="00AA3780" w:rsidP="00AA3780">
            <w:pPr>
              <w:widowControl w:val="0"/>
              <w:ind w:left="720"/>
              <w:contextualSpacing/>
              <w:rPr>
                <w:sz w:val="16"/>
                <w:szCs w:val="16"/>
              </w:rPr>
            </w:pPr>
          </w:p>
          <w:p w14:paraId="7BA4D816" w14:textId="47331A16" w:rsidR="00C17A47" w:rsidRPr="0054056D" w:rsidRDefault="004A01CD" w:rsidP="0054056D">
            <w:pPr>
              <w:tabs>
                <w:tab w:val="left" w:pos="4800"/>
              </w:tabs>
              <w:rPr>
                <w:b/>
                <w:sz w:val="16"/>
                <w:szCs w:val="16"/>
              </w:rPr>
            </w:pPr>
            <w:r w:rsidRPr="0054056D">
              <w:rPr>
                <w:b/>
                <w:sz w:val="16"/>
                <w:szCs w:val="16"/>
              </w:rPr>
              <w:tab/>
            </w:r>
          </w:p>
          <w:p w14:paraId="7E02B2F5" w14:textId="77777777" w:rsidR="004F0F1F" w:rsidRPr="000E18BB" w:rsidRDefault="00F708E3" w:rsidP="00E43FBC">
            <w:pPr>
              <w:ind w:right="240"/>
              <w:jc w:val="center"/>
              <w:rPr>
                <w:sz w:val="22"/>
                <w:szCs w:val="22"/>
              </w:rPr>
            </w:pPr>
            <w:r w:rsidRPr="000E18BB">
              <w:rPr>
                <w:sz w:val="22"/>
                <w:szCs w:val="22"/>
              </w:rPr>
              <w:t>###</w:t>
            </w:r>
          </w:p>
          <w:p w14:paraId="489861A8" w14:textId="77777777" w:rsidR="00F21C67" w:rsidRPr="0054056D" w:rsidRDefault="00F21C67" w:rsidP="00BB4E29">
            <w:pPr>
              <w:ind w:right="498"/>
              <w:jc w:val="center"/>
              <w:rPr>
                <w:b/>
                <w:bCs/>
                <w:sz w:val="16"/>
                <w:szCs w:val="16"/>
              </w:rPr>
            </w:pPr>
          </w:p>
          <w:p w14:paraId="18E73F3A" w14:textId="77777777" w:rsidR="00E644FE" w:rsidRPr="006B0A70" w:rsidRDefault="00E644FE" w:rsidP="00BB4E29">
            <w:pPr>
              <w:ind w:right="498"/>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A715BB3"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9D7D4BE" w14:textId="77777777" w:rsidR="00CC5E08" w:rsidRPr="006B0A70" w:rsidRDefault="006A2FC5" w:rsidP="00BB4E29">
            <w:pPr>
              <w:ind w:right="498"/>
              <w:jc w:val="center"/>
              <w:rPr>
                <w:b/>
                <w:bCs/>
                <w:sz w:val="18"/>
                <w:szCs w:val="18"/>
              </w:rPr>
            </w:pPr>
            <w:r>
              <w:rPr>
                <w:b/>
                <w:bCs/>
                <w:sz w:val="18"/>
                <w:szCs w:val="18"/>
              </w:rPr>
              <w:t>Twitter: @FCC</w:t>
            </w:r>
          </w:p>
          <w:p w14:paraId="39E027C0" w14:textId="51608C7E" w:rsidR="0069420F" w:rsidRDefault="00DD4199" w:rsidP="0054056D">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5D352893" w14:textId="77777777" w:rsidR="00873F38" w:rsidRPr="0054056D" w:rsidRDefault="00873F38" w:rsidP="0054056D">
            <w:pPr>
              <w:ind w:right="498"/>
              <w:jc w:val="center"/>
              <w:rPr>
                <w:b/>
                <w:bCs/>
                <w:sz w:val="18"/>
                <w:szCs w:val="18"/>
                <w:u w:val="single"/>
              </w:rPr>
            </w:pPr>
          </w:p>
          <w:p w14:paraId="6761C425"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C051B3D" w14:textId="77777777" w:rsidR="00D24C3D" w:rsidRPr="007528A5" w:rsidRDefault="00D24C3D">
      <w:pPr>
        <w:rPr>
          <w:b/>
          <w:bCs/>
          <w:sz w:val="2"/>
          <w:szCs w:val="2"/>
        </w:rPr>
      </w:pPr>
    </w:p>
    <w:sectPr w:rsidR="00D24C3D" w:rsidRPr="007528A5" w:rsidSect="00873F38">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C174" w14:textId="77777777" w:rsidR="007E1D58" w:rsidRDefault="007E1D58" w:rsidP="003C41C6">
      <w:r>
        <w:separator/>
      </w:r>
    </w:p>
  </w:endnote>
  <w:endnote w:type="continuationSeparator" w:id="0">
    <w:p w14:paraId="1C7CAC4A" w14:textId="77777777" w:rsidR="007E1D58" w:rsidRDefault="007E1D58" w:rsidP="003C41C6">
      <w:r>
        <w:continuationSeparator/>
      </w:r>
    </w:p>
  </w:endnote>
  <w:endnote w:type="continuationNotice" w:id="1">
    <w:p w14:paraId="3A79E7FD" w14:textId="77777777" w:rsidR="007E1D58" w:rsidRDefault="007E1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AB6A" w14:textId="77777777" w:rsidR="00F25333" w:rsidRDefault="00F25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42776"/>
      <w:docPartObj>
        <w:docPartGallery w:val="Page Numbers (Bottom of Page)"/>
        <w:docPartUnique/>
      </w:docPartObj>
    </w:sdtPr>
    <w:sdtEndPr>
      <w:rPr>
        <w:noProof/>
      </w:rPr>
    </w:sdtEndPr>
    <w:sdtContent>
      <w:p w14:paraId="4A82D5BF" w14:textId="579A9D3E" w:rsidR="00497B5F" w:rsidRDefault="00497B5F">
        <w:pPr>
          <w:pStyle w:val="Footer"/>
          <w:jc w:val="center"/>
        </w:pPr>
        <w:r>
          <w:t>2</w:t>
        </w:r>
      </w:p>
    </w:sdtContent>
  </w:sdt>
  <w:p w14:paraId="3DCAF634" w14:textId="77777777" w:rsidR="00682A43" w:rsidRDefault="0068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8213" w14:textId="77777777" w:rsidR="00F25333" w:rsidRDefault="00F25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A52D" w14:textId="77777777" w:rsidR="007E1D58" w:rsidRDefault="007E1D58" w:rsidP="003C41C6">
      <w:r>
        <w:separator/>
      </w:r>
    </w:p>
  </w:footnote>
  <w:footnote w:type="continuationSeparator" w:id="0">
    <w:p w14:paraId="03F5751F" w14:textId="77777777" w:rsidR="007E1D58" w:rsidRDefault="007E1D58" w:rsidP="003C41C6">
      <w:r>
        <w:continuationSeparator/>
      </w:r>
    </w:p>
  </w:footnote>
  <w:footnote w:type="continuationNotice" w:id="1">
    <w:p w14:paraId="2177BB25" w14:textId="77777777" w:rsidR="007E1D58" w:rsidRDefault="007E1D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2FC4" w14:textId="77777777" w:rsidR="00F25333" w:rsidRDefault="00F25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17DE" w14:textId="77777777" w:rsidR="00F25333" w:rsidRDefault="00F25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A013" w14:textId="77777777" w:rsidR="00F25333" w:rsidRDefault="00F25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8A406D7"/>
    <w:multiLevelType w:val="hybridMultilevel"/>
    <w:tmpl w:val="0D9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035B"/>
    <w:rsid w:val="0002500C"/>
    <w:rsid w:val="000311FC"/>
    <w:rsid w:val="0003314A"/>
    <w:rsid w:val="00040127"/>
    <w:rsid w:val="00046EC3"/>
    <w:rsid w:val="00050994"/>
    <w:rsid w:val="0005198D"/>
    <w:rsid w:val="00062C1F"/>
    <w:rsid w:val="00081232"/>
    <w:rsid w:val="00091E65"/>
    <w:rsid w:val="00092479"/>
    <w:rsid w:val="00096D4A"/>
    <w:rsid w:val="000A2FB0"/>
    <w:rsid w:val="000A38EA"/>
    <w:rsid w:val="000A65AE"/>
    <w:rsid w:val="000C1E47"/>
    <w:rsid w:val="000C26F3"/>
    <w:rsid w:val="000E049E"/>
    <w:rsid w:val="000E18BB"/>
    <w:rsid w:val="0010799B"/>
    <w:rsid w:val="001117F6"/>
    <w:rsid w:val="001132B7"/>
    <w:rsid w:val="00115CAF"/>
    <w:rsid w:val="00117DB2"/>
    <w:rsid w:val="00123ED2"/>
    <w:rsid w:val="00125BE0"/>
    <w:rsid w:val="00142C13"/>
    <w:rsid w:val="00152776"/>
    <w:rsid w:val="00153222"/>
    <w:rsid w:val="001577D3"/>
    <w:rsid w:val="001733A6"/>
    <w:rsid w:val="00177B1F"/>
    <w:rsid w:val="001831A7"/>
    <w:rsid w:val="00183222"/>
    <w:rsid w:val="001865A9"/>
    <w:rsid w:val="00187DB2"/>
    <w:rsid w:val="001B20BB"/>
    <w:rsid w:val="001C4370"/>
    <w:rsid w:val="001D15CB"/>
    <w:rsid w:val="001D3779"/>
    <w:rsid w:val="001D6FF1"/>
    <w:rsid w:val="001F0469"/>
    <w:rsid w:val="00203A98"/>
    <w:rsid w:val="00206EDD"/>
    <w:rsid w:val="0021187C"/>
    <w:rsid w:val="00211BC8"/>
    <w:rsid w:val="0021247E"/>
    <w:rsid w:val="002146F6"/>
    <w:rsid w:val="00231C32"/>
    <w:rsid w:val="00240345"/>
    <w:rsid w:val="002421F0"/>
    <w:rsid w:val="00247274"/>
    <w:rsid w:val="00247BC5"/>
    <w:rsid w:val="00256238"/>
    <w:rsid w:val="00256A43"/>
    <w:rsid w:val="00265CBA"/>
    <w:rsid w:val="00266966"/>
    <w:rsid w:val="00294C0C"/>
    <w:rsid w:val="00296118"/>
    <w:rsid w:val="00296385"/>
    <w:rsid w:val="002A0934"/>
    <w:rsid w:val="002A491F"/>
    <w:rsid w:val="002B1013"/>
    <w:rsid w:val="002B6B88"/>
    <w:rsid w:val="002D03E5"/>
    <w:rsid w:val="002D2942"/>
    <w:rsid w:val="002D2AB1"/>
    <w:rsid w:val="002D5924"/>
    <w:rsid w:val="002E18E2"/>
    <w:rsid w:val="002E3F1D"/>
    <w:rsid w:val="002F139E"/>
    <w:rsid w:val="002F31D0"/>
    <w:rsid w:val="002F626A"/>
    <w:rsid w:val="00300359"/>
    <w:rsid w:val="00313210"/>
    <w:rsid w:val="0031773E"/>
    <w:rsid w:val="00334FB7"/>
    <w:rsid w:val="00347716"/>
    <w:rsid w:val="003506E1"/>
    <w:rsid w:val="003650E7"/>
    <w:rsid w:val="003727E3"/>
    <w:rsid w:val="00376BAB"/>
    <w:rsid w:val="00383C68"/>
    <w:rsid w:val="00384176"/>
    <w:rsid w:val="00385826"/>
    <w:rsid w:val="00385A93"/>
    <w:rsid w:val="0038795F"/>
    <w:rsid w:val="003910F1"/>
    <w:rsid w:val="003948C7"/>
    <w:rsid w:val="003A029F"/>
    <w:rsid w:val="003A6BF6"/>
    <w:rsid w:val="003C221A"/>
    <w:rsid w:val="003C41C6"/>
    <w:rsid w:val="003E42FC"/>
    <w:rsid w:val="003E5991"/>
    <w:rsid w:val="003F2CCE"/>
    <w:rsid w:val="003F344A"/>
    <w:rsid w:val="00403FF0"/>
    <w:rsid w:val="004078E9"/>
    <w:rsid w:val="0042046D"/>
    <w:rsid w:val="00425AEF"/>
    <w:rsid w:val="00426518"/>
    <w:rsid w:val="00427B06"/>
    <w:rsid w:val="00441F59"/>
    <w:rsid w:val="00444E07"/>
    <w:rsid w:val="00444FA9"/>
    <w:rsid w:val="00445D71"/>
    <w:rsid w:val="00463A6F"/>
    <w:rsid w:val="00473E9C"/>
    <w:rsid w:val="00480099"/>
    <w:rsid w:val="004937F1"/>
    <w:rsid w:val="00497858"/>
    <w:rsid w:val="00497B5F"/>
    <w:rsid w:val="004A01CD"/>
    <w:rsid w:val="004B4FEA"/>
    <w:rsid w:val="004C0ADA"/>
    <w:rsid w:val="004C433E"/>
    <w:rsid w:val="004C4512"/>
    <w:rsid w:val="004C4F36"/>
    <w:rsid w:val="004C6649"/>
    <w:rsid w:val="004D3D85"/>
    <w:rsid w:val="004D690C"/>
    <w:rsid w:val="004E2BD8"/>
    <w:rsid w:val="004F0F1F"/>
    <w:rsid w:val="004F5657"/>
    <w:rsid w:val="00501866"/>
    <w:rsid w:val="005022AA"/>
    <w:rsid w:val="00504210"/>
    <w:rsid w:val="00504845"/>
    <w:rsid w:val="0050757F"/>
    <w:rsid w:val="005105AD"/>
    <w:rsid w:val="00516AD2"/>
    <w:rsid w:val="0054056D"/>
    <w:rsid w:val="005411D2"/>
    <w:rsid w:val="00545DAE"/>
    <w:rsid w:val="00571A95"/>
    <w:rsid w:val="00571B83"/>
    <w:rsid w:val="00575A00"/>
    <w:rsid w:val="00576BA1"/>
    <w:rsid w:val="0058673C"/>
    <w:rsid w:val="005A7972"/>
    <w:rsid w:val="005B17E7"/>
    <w:rsid w:val="005B2643"/>
    <w:rsid w:val="005B6A84"/>
    <w:rsid w:val="005D17FD"/>
    <w:rsid w:val="005E4A6B"/>
    <w:rsid w:val="005F0D55"/>
    <w:rsid w:val="005F183E"/>
    <w:rsid w:val="005F60D0"/>
    <w:rsid w:val="00600DDA"/>
    <w:rsid w:val="00604211"/>
    <w:rsid w:val="00613498"/>
    <w:rsid w:val="00617B94"/>
    <w:rsid w:val="00620BED"/>
    <w:rsid w:val="006348E6"/>
    <w:rsid w:val="006415B4"/>
    <w:rsid w:val="00644E3D"/>
    <w:rsid w:val="006516D1"/>
    <w:rsid w:val="00651B9E"/>
    <w:rsid w:val="00652019"/>
    <w:rsid w:val="00654C0D"/>
    <w:rsid w:val="00656563"/>
    <w:rsid w:val="0065754F"/>
    <w:rsid w:val="0065765A"/>
    <w:rsid w:val="00657EC9"/>
    <w:rsid w:val="00665633"/>
    <w:rsid w:val="00674C86"/>
    <w:rsid w:val="0068015E"/>
    <w:rsid w:val="00681E1B"/>
    <w:rsid w:val="00682A43"/>
    <w:rsid w:val="006861AB"/>
    <w:rsid w:val="00686B89"/>
    <w:rsid w:val="0069420F"/>
    <w:rsid w:val="00695C87"/>
    <w:rsid w:val="006969FC"/>
    <w:rsid w:val="006A2FC5"/>
    <w:rsid w:val="006A7863"/>
    <w:rsid w:val="006A7D75"/>
    <w:rsid w:val="006B0A70"/>
    <w:rsid w:val="006B606A"/>
    <w:rsid w:val="006C1BCE"/>
    <w:rsid w:val="006C33AF"/>
    <w:rsid w:val="006D5D22"/>
    <w:rsid w:val="006D648C"/>
    <w:rsid w:val="006E0324"/>
    <w:rsid w:val="006E4A76"/>
    <w:rsid w:val="006F1DBD"/>
    <w:rsid w:val="00700556"/>
    <w:rsid w:val="00704A96"/>
    <w:rsid w:val="00712747"/>
    <w:rsid w:val="007167DD"/>
    <w:rsid w:val="0072478B"/>
    <w:rsid w:val="0073414D"/>
    <w:rsid w:val="0075235E"/>
    <w:rsid w:val="007528A5"/>
    <w:rsid w:val="007732CC"/>
    <w:rsid w:val="00774079"/>
    <w:rsid w:val="0077752B"/>
    <w:rsid w:val="00780497"/>
    <w:rsid w:val="00793D6F"/>
    <w:rsid w:val="00794090"/>
    <w:rsid w:val="007A44F8"/>
    <w:rsid w:val="007B2613"/>
    <w:rsid w:val="007B7E5D"/>
    <w:rsid w:val="007C7205"/>
    <w:rsid w:val="007D21BF"/>
    <w:rsid w:val="007E1D58"/>
    <w:rsid w:val="007F15E2"/>
    <w:rsid w:val="007F3C12"/>
    <w:rsid w:val="007F5205"/>
    <w:rsid w:val="008001AA"/>
    <w:rsid w:val="008215E7"/>
    <w:rsid w:val="00825267"/>
    <w:rsid w:val="00830FC6"/>
    <w:rsid w:val="00865EAA"/>
    <w:rsid w:val="00866F06"/>
    <w:rsid w:val="008728F5"/>
    <w:rsid w:val="00873F38"/>
    <w:rsid w:val="008824C2"/>
    <w:rsid w:val="008827FE"/>
    <w:rsid w:val="008930CD"/>
    <w:rsid w:val="008960E4"/>
    <w:rsid w:val="00896FEC"/>
    <w:rsid w:val="008A3940"/>
    <w:rsid w:val="008A5754"/>
    <w:rsid w:val="008B13C9"/>
    <w:rsid w:val="008C248C"/>
    <w:rsid w:val="008C5432"/>
    <w:rsid w:val="008C7BF1"/>
    <w:rsid w:val="008D00D6"/>
    <w:rsid w:val="008D4D00"/>
    <w:rsid w:val="008D4E5E"/>
    <w:rsid w:val="008D7ABD"/>
    <w:rsid w:val="008E55A2"/>
    <w:rsid w:val="008F1609"/>
    <w:rsid w:val="008F385E"/>
    <w:rsid w:val="008F66C2"/>
    <w:rsid w:val="008F78D8"/>
    <w:rsid w:val="00903614"/>
    <w:rsid w:val="00932415"/>
    <w:rsid w:val="00934FDF"/>
    <w:rsid w:val="00961620"/>
    <w:rsid w:val="009734B6"/>
    <w:rsid w:val="0098096F"/>
    <w:rsid w:val="0098437A"/>
    <w:rsid w:val="00986C92"/>
    <w:rsid w:val="0099370E"/>
    <w:rsid w:val="00993C47"/>
    <w:rsid w:val="009972BC"/>
    <w:rsid w:val="009B4B16"/>
    <w:rsid w:val="009C34F9"/>
    <w:rsid w:val="009C527F"/>
    <w:rsid w:val="009C59E0"/>
    <w:rsid w:val="009D59F0"/>
    <w:rsid w:val="009E54A1"/>
    <w:rsid w:val="009F4E25"/>
    <w:rsid w:val="009F5B1F"/>
    <w:rsid w:val="00A02CCA"/>
    <w:rsid w:val="00A35DFD"/>
    <w:rsid w:val="00A440F8"/>
    <w:rsid w:val="00A702DF"/>
    <w:rsid w:val="00A775A3"/>
    <w:rsid w:val="00A81B5B"/>
    <w:rsid w:val="00A82FAD"/>
    <w:rsid w:val="00A9673A"/>
    <w:rsid w:val="00A96EF2"/>
    <w:rsid w:val="00AA24BA"/>
    <w:rsid w:val="00AA3780"/>
    <w:rsid w:val="00AA37B3"/>
    <w:rsid w:val="00AA5C35"/>
    <w:rsid w:val="00AA5ED9"/>
    <w:rsid w:val="00AB44E5"/>
    <w:rsid w:val="00AC0A38"/>
    <w:rsid w:val="00AC2AC4"/>
    <w:rsid w:val="00AC4E0E"/>
    <w:rsid w:val="00AC517B"/>
    <w:rsid w:val="00AC7010"/>
    <w:rsid w:val="00AD0D19"/>
    <w:rsid w:val="00AD51F9"/>
    <w:rsid w:val="00AF051B"/>
    <w:rsid w:val="00B037A2"/>
    <w:rsid w:val="00B03CC9"/>
    <w:rsid w:val="00B31870"/>
    <w:rsid w:val="00B320B8"/>
    <w:rsid w:val="00B35EE2"/>
    <w:rsid w:val="00B36DEF"/>
    <w:rsid w:val="00B45182"/>
    <w:rsid w:val="00B53CC9"/>
    <w:rsid w:val="00B57131"/>
    <w:rsid w:val="00B62F2C"/>
    <w:rsid w:val="00B727C9"/>
    <w:rsid w:val="00B735C8"/>
    <w:rsid w:val="00B76A63"/>
    <w:rsid w:val="00BA6350"/>
    <w:rsid w:val="00BB4E29"/>
    <w:rsid w:val="00BB74C9"/>
    <w:rsid w:val="00BC3AB6"/>
    <w:rsid w:val="00BC6355"/>
    <w:rsid w:val="00BD19E8"/>
    <w:rsid w:val="00BD1CF7"/>
    <w:rsid w:val="00BD4273"/>
    <w:rsid w:val="00BD58D6"/>
    <w:rsid w:val="00BF6A85"/>
    <w:rsid w:val="00C01483"/>
    <w:rsid w:val="00C06294"/>
    <w:rsid w:val="00C17A47"/>
    <w:rsid w:val="00C32920"/>
    <w:rsid w:val="00C417D9"/>
    <w:rsid w:val="00C432E4"/>
    <w:rsid w:val="00C4453F"/>
    <w:rsid w:val="00C4547D"/>
    <w:rsid w:val="00C51BD8"/>
    <w:rsid w:val="00C63677"/>
    <w:rsid w:val="00C70C26"/>
    <w:rsid w:val="00C72001"/>
    <w:rsid w:val="00C772B7"/>
    <w:rsid w:val="00C80347"/>
    <w:rsid w:val="00CA0531"/>
    <w:rsid w:val="00CB7594"/>
    <w:rsid w:val="00CB7C1A"/>
    <w:rsid w:val="00CC5E08"/>
    <w:rsid w:val="00CC7DDB"/>
    <w:rsid w:val="00CD1827"/>
    <w:rsid w:val="00CE14FD"/>
    <w:rsid w:val="00CF6860"/>
    <w:rsid w:val="00D02AC6"/>
    <w:rsid w:val="00D03F0C"/>
    <w:rsid w:val="00D04312"/>
    <w:rsid w:val="00D1422E"/>
    <w:rsid w:val="00D16A7F"/>
    <w:rsid w:val="00D16AD2"/>
    <w:rsid w:val="00D22596"/>
    <w:rsid w:val="00D22691"/>
    <w:rsid w:val="00D24C3D"/>
    <w:rsid w:val="00D40CDC"/>
    <w:rsid w:val="00D46CB1"/>
    <w:rsid w:val="00D47E24"/>
    <w:rsid w:val="00D5484B"/>
    <w:rsid w:val="00D663A6"/>
    <w:rsid w:val="00D723F0"/>
    <w:rsid w:val="00D8133F"/>
    <w:rsid w:val="00D87E76"/>
    <w:rsid w:val="00D95B05"/>
    <w:rsid w:val="00D97E2D"/>
    <w:rsid w:val="00DA103D"/>
    <w:rsid w:val="00DA45D3"/>
    <w:rsid w:val="00DA4772"/>
    <w:rsid w:val="00DA7B44"/>
    <w:rsid w:val="00DB2667"/>
    <w:rsid w:val="00DB67B7"/>
    <w:rsid w:val="00DC15A9"/>
    <w:rsid w:val="00DC40AA"/>
    <w:rsid w:val="00DC5A88"/>
    <w:rsid w:val="00DD117B"/>
    <w:rsid w:val="00DD1750"/>
    <w:rsid w:val="00DD4199"/>
    <w:rsid w:val="00DD72FA"/>
    <w:rsid w:val="00DF24F0"/>
    <w:rsid w:val="00E349AA"/>
    <w:rsid w:val="00E41390"/>
    <w:rsid w:val="00E41CA0"/>
    <w:rsid w:val="00E4366B"/>
    <w:rsid w:val="00E43FBC"/>
    <w:rsid w:val="00E50A4A"/>
    <w:rsid w:val="00E606DE"/>
    <w:rsid w:val="00E644FE"/>
    <w:rsid w:val="00E72733"/>
    <w:rsid w:val="00E742FA"/>
    <w:rsid w:val="00E74C11"/>
    <w:rsid w:val="00E76816"/>
    <w:rsid w:val="00E83DBF"/>
    <w:rsid w:val="00E84EC4"/>
    <w:rsid w:val="00E87C13"/>
    <w:rsid w:val="00E94CD9"/>
    <w:rsid w:val="00EA1A76"/>
    <w:rsid w:val="00EA290B"/>
    <w:rsid w:val="00EA52F9"/>
    <w:rsid w:val="00EA7AFF"/>
    <w:rsid w:val="00EE0E90"/>
    <w:rsid w:val="00EE655F"/>
    <w:rsid w:val="00EF3BCA"/>
    <w:rsid w:val="00F01B0D"/>
    <w:rsid w:val="00F1238F"/>
    <w:rsid w:val="00F14394"/>
    <w:rsid w:val="00F16485"/>
    <w:rsid w:val="00F21C67"/>
    <w:rsid w:val="00F228ED"/>
    <w:rsid w:val="00F25333"/>
    <w:rsid w:val="00F26E31"/>
    <w:rsid w:val="00F27C6C"/>
    <w:rsid w:val="00F335D2"/>
    <w:rsid w:val="00F34A8D"/>
    <w:rsid w:val="00F50D25"/>
    <w:rsid w:val="00F535D8"/>
    <w:rsid w:val="00F61155"/>
    <w:rsid w:val="00F67DA2"/>
    <w:rsid w:val="00F708E3"/>
    <w:rsid w:val="00F70CEA"/>
    <w:rsid w:val="00F71815"/>
    <w:rsid w:val="00F76561"/>
    <w:rsid w:val="00F84736"/>
    <w:rsid w:val="00FB219B"/>
    <w:rsid w:val="00FC6C29"/>
    <w:rsid w:val="00FD0FB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C0B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
    <w:basedOn w:val="DefaultParagraphFont"/>
    <w:link w:val="FootnoteText"/>
    <w:rsid w:val="00D663A6"/>
    <w:rPr>
      <w:rFonts w:asciiTheme="minorHAnsi" w:eastAsiaTheme="minorHAnsi" w:hAnsiTheme="minorHAnsi" w:cstheme="minorBidi"/>
    </w:rPr>
  </w:style>
  <w:style w:type="character" w:styleId="FootnoteReference">
    <w:name w:val="footnote reference"/>
    <w:basedOn w:val="DefaultParagraphFont"/>
    <w:semiHidden/>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Mention1">
    <w:name w:val="Mention1"/>
    <w:basedOn w:val="DefaultParagraphFont"/>
    <w:uiPriority w:val="99"/>
    <w:semiHidden/>
    <w:unhideWhenUsed/>
    <w:rsid w:val="00AC2AC4"/>
    <w:rPr>
      <w:color w:val="2B579A"/>
      <w:shd w:val="clear" w:color="auto" w:fill="E6E6E6"/>
    </w:rPr>
  </w:style>
  <w:style w:type="character" w:customStyle="1" w:styleId="Mention2">
    <w:name w:val="Mention2"/>
    <w:basedOn w:val="DefaultParagraphFont"/>
    <w:uiPriority w:val="99"/>
    <w:semiHidden/>
    <w:unhideWhenUsed/>
    <w:rsid w:val="00C17A4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
    <w:basedOn w:val="DefaultParagraphFont"/>
    <w:link w:val="FootnoteText"/>
    <w:rsid w:val="00D663A6"/>
    <w:rPr>
      <w:rFonts w:asciiTheme="minorHAnsi" w:eastAsiaTheme="minorHAnsi" w:hAnsiTheme="minorHAnsi" w:cstheme="minorBidi"/>
    </w:rPr>
  </w:style>
  <w:style w:type="character" w:styleId="FootnoteReference">
    <w:name w:val="footnote reference"/>
    <w:basedOn w:val="DefaultParagraphFont"/>
    <w:semiHidden/>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Mention1">
    <w:name w:val="Mention1"/>
    <w:basedOn w:val="DefaultParagraphFont"/>
    <w:uiPriority w:val="99"/>
    <w:semiHidden/>
    <w:unhideWhenUsed/>
    <w:rsid w:val="00AC2AC4"/>
    <w:rPr>
      <w:color w:val="2B579A"/>
      <w:shd w:val="clear" w:color="auto" w:fill="E6E6E6"/>
    </w:rPr>
  </w:style>
  <w:style w:type="character" w:customStyle="1" w:styleId="Mention2">
    <w:name w:val="Mention2"/>
    <w:basedOn w:val="DefaultParagraphFont"/>
    <w:uiPriority w:val="99"/>
    <w:semiHidden/>
    <w:unhideWhenUsed/>
    <w:rsid w:val="00C17A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008">
      <w:bodyDiv w:val="1"/>
      <w:marLeft w:val="0"/>
      <w:marRight w:val="0"/>
      <w:marTop w:val="0"/>
      <w:marBottom w:val="0"/>
      <w:divBdr>
        <w:top w:val="none" w:sz="0" w:space="0" w:color="auto"/>
        <w:left w:val="none" w:sz="0" w:space="0" w:color="auto"/>
        <w:bottom w:val="none" w:sz="0" w:space="0" w:color="auto"/>
        <w:right w:val="none" w:sz="0" w:space="0" w:color="auto"/>
      </w:divBdr>
    </w:div>
    <w:div w:id="1665952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323950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138532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7791">
      <w:bodyDiv w:val="1"/>
      <w:marLeft w:val="0"/>
      <w:marRight w:val="0"/>
      <w:marTop w:val="0"/>
      <w:marBottom w:val="0"/>
      <w:divBdr>
        <w:top w:val="none" w:sz="0" w:space="0" w:color="auto"/>
        <w:left w:val="none" w:sz="0" w:space="0" w:color="auto"/>
        <w:bottom w:val="none" w:sz="0" w:space="0" w:color="auto"/>
        <w:right w:val="none" w:sz="0" w:space="0" w:color="auto"/>
      </w:divBdr>
    </w:div>
    <w:div w:id="1015114774">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0891816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953927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general/circuit-capacity-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1957</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2017-08-29T14:52:00Z</dcterms:created>
  <dcterms:modified xsi:type="dcterms:W3CDTF">2017-08-29T14:52:00Z</dcterms:modified>
  <cp:category> </cp:category>
  <cp:contentStatus> </cp:contentStatus>
</cp:coreProperties>
</file>