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251243">
        <w:rPr>
          <w:szCs w:val="22"/>
        </w:rPr>
        <w:t>HORRY TELEPHONE COOPERATIVE,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C74C19">
        <w:rPr>
          <w:szCs w:val="22"/>
        </w:rPr>
        <w:t>226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C07029">
        <w:rPr>
          <w:szCs w:val="22"/>
        </w:rPr>
        <w:t xml:space="preserve">August </w:t>
      </w:r>
      <w:r w:rsidR="00251243">
        <w:rPr>
          <w:szCs w:val="22"/>
        </w:rPr>
        <w:t>30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74</w:t>
      </w:r>
      <w:r w:rsidR="00251243">
        <w:rPr>
          <w:szCs w:val="22"/>
        </w:rPr>
        <w:t>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1D6D4E" w:rsidP="008C4E05">
      <w:pPr>
        <w:tabs>
          <w:tab w:val="left" w:pos="-720"/>
        </w:tabs>
        <w:suppressAutoHyphens/>
        <w:rPr>
          <w:b/>
          <w:szCs w:val="22"/>
          <w:u w:val="single"/>
        </w:rPr>
      </w:pPr>
      <w:r>
        <w:rPr>
          <w:szCs w:val="22"/>
        </w:rPr>
        <w:t>Horry Telephone Cooperative, Inc.</w:t>
      </w:r>
      <w:r w:rsidR="001354C0">
        <w:rPr>
          <w:szCs w:val="22"/>
        </w:rPr>
        <w:t xml:space="preserve"> </w:t>
      </w:r>
      <w:r w:rsidR="00197061">
        <w:rPr>
          <w:szCs w:val="22"/>
        </w:rPr>
        <w:t>(</w:t>
      </w:r>
      <w:r>
        <w:rPr>
          <w:szCs w:val="22"/>
        </w:rPr>
        <w:t>Horry Telephone</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notice of network change(s) (total of two pages).  </w:t>
      </w:r>
      <w:r w:rsidR="00B1206E">
        <w:rPr>
          <w:szCs w:val="22"/>
        </w:rPr>
        <w:t xml:space="preserve">A copy of </w:t>
      </w:r>
      <w:r w:rsidR="00230784">
        <w:rPr>
          <w:szCs w:val="22"/>
        </w:rPr>
        <w:t>Horry Telephone</w:t>
      </w:r>
      <w:r w:rsidR="00B1206E">
        <w:rPr>
          <w:szCs w:val="22"/>
        </w:rPr>
        <w:t xml:space="preserve">’s notice also may be obtained on the Internet at:  </w:t>
      </w:r>
      <w:hyperlink r:id="rId8" w:history="1">
        <w:r w:rsidR="0048701D" w:rsidRPr="00300C3B">
          <w:rPr>
            <w:rStyle w:val="Hyperlink"/>
            <w:szCs w:val="22"/>
          </w:rPr>
          <w:t>http://www.htcinc.net/maintenance-alerts</w:t>
        </w:r>
      </w:hyperlink>
      <w:r w:rsidR="00B1206E">
        <w:rPr>
          <w:szCs w:val="22"/>
        </w:rPr>
        <w:t xml:space="preserve">.  </w:t>
      </w:r>
      <w:r w:rsidR="00AD5A0B">
        <w:rPr>
          <w:szCs w:val="22"/>
        </w:rPr>
        <w:t>Upon initial review the filing appears to be complete.</w:t>
      </w:r>
      <w:r w:rsidR="00AD5A0B">
        <w:rPr>
          <w:rStyle w:val="FootnoteReference"/>
          <w:szCs w:val="22"/>
        </w:rPr>
        <w:footnoteReference w:id="2"/>
      </w:r>
      <w:r w:rsidR="00E65774">
        <w:rPr>
          <w:szCs w:val="22"/>
        </w:rPr>
        <w:t xml:space="preserve">  </w:t>
      </w:r>
      <w:r w:rsidR="00BC2C29" w:rsidRPr="00BC2C29">
        <w:rPr>
          <w:szCs w:val="22"/>
        </w:rPr>
        <w:t xml:space="preserve">In addition, </w:t>
      </w:r>
      <w:r w:rsidR="004A640E">
        <w:rPr>
          <w:szCs w:val="22"/>
        </w:rPr>
        <w:t>Horry Telephone</w:t>
      </w:r>
      <w:r w:rsidR="00BC2C29" w:rsidRPr="00BC2C29">
        <w:rPr>
          <w:szCs w:val="22"/>
        </w:rPr>
        <w:t xml:space="preserve"> has filed</w:t>
      </w:r>
      <w:r w:rsidR="00BC2C29">
        <w:rPr>
          <w:szCs w:val="22"/>
        </w:rPr>
        <w:t xml:space="preserve"> some</w:t>
      </w:r>
      <w:r w:rsidR="00BC2C29" w:rsidRPr="00BC2C29">
        <w:rPr>
          <w:szCs w:val="22"/>
        </w:rPr>
        <w:t xml:space="preserve"> initial certification pursuant to section 51.332(d).</w:t>
      </w:r>
      <w:r w:rsidR="00BC2C29">
        <w:rPr>
          <w:rStyle w:val="FootnoteReference"/>
          <w:szCs w:val="22"/>
        </w:rPr>
        <w:footnoteReference w:id="3"/>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3330"/>
      </w:tblGrid>
      <w:tr w:rsidR="0080304A" w:rsidRPr="007506DB" w:rsidTr="007562F4">
        <w:trPr>
          <w:trHeight w:val="305"/>
        </w:trPr>
        <w:tc>
          <w:tcPr>
            <w:tcW w:w="3870" w:type="dxa"/>
            <w:shd w:val="clear" w:color="auto" w:fill="auto"/>
          </w:tcPr>
          <w:p w:rsidR="0080304A" w:rsidRPr="007506DB" w:rsidRDefault="0080304A" w:rsidP="005E4D88">
            <w:pPr>
              <w:tabs>
                <w:tab w:val="left" w:pos="-720"/>
              </w:tabs>
              <w:suppressAutoHyphens/>
              <w:rPr>
                <w:b/>
                <w:szCs w:val="22"/>
              </w:rPr>
            </w:pPr>
            <w:r w:rsidRPr="007506DB">
              <w:rPr>
                <w:b/>
                <w:szCs w:val="22"/>
              </w:rPr>
              <w:t>Type of Change(s)</w:t>
            </w:r>
          </w:p>
        </w:tc>
        <w:tc>
          <w:tcPr>
            <w:tcW w:w="2160" w:type="dxa"/>
            <w:shd w:val="clear" w:color="auto" w:fill="auto"/>
          </w:tcPr>
          <w:p w:rsidR="0080304A" w:rsidRPr="007506DB" w:rsidRDefault="0080304A" w:rsidP="005E4D88">
            <w:pPr>
              <w:tabs>
                <w:tab w:val="left" w:pos="-720"/>
              </w:tabs>
              <w:suppressAutoHyphens/>
              <w:rPr>
                <w:b/>
                <w:szCs w:val="22"/>
              </w:rPr>
            </w:pPr>
            <w:r w:rsidRPr="007506DB">
              <w:rPr>
                <w:b/>
                <w:szCs w:val="22"/>
              </w:rPr>
              <w:t>Location of Change(s)</w:t>
            </w:r>
          </w:p>
        </w:tc>
        <w:tc>
          <w:tcPr>
            <w:tcW w:w="3330" w:type="dxa"/>
          </w:tcPr>
          <w:p w:rsidR="0080304A" w:rsidRPr="007506DB" w:rsidRDefault="0080304A" w:rsidP="005E4D88">
            <w:pPr>
              <w:tabs>
                <w:tab w:val="left" w:pos="-720"/>
              </w:tabs>
              <w:suppressAutoHyphens/>
              <w:rPr>
                <w:b/>
                <w:szCs w:val="22"/>
              </w:rPr>
            </w:pPr>
            <w:r w:rsidRPr="007506DB">
              <w:rPr>
                <w:b/>
                <w:szCs w:val="22"/>
              </w:rPr>
              <w:t>Planned Implementation Date(s)</w:t>
            </w:r>
          </w:p>
        </w:tc>
      </w:tr>
      <w:tr w:rsidR="0080304A" w:rsidRPr="007506DB" w:rsidTr="007562F4">
        <w:tc>
          <w:tcPr>
            <w:tcW w:w="3870" w:type="dxa"/>
            <w:shd w:val="clear" w:color="auto" w:fill="auto"/>
          </w:tcPr>
          <w:p w:rsidR="0080304A" w:rsidRPr="007506DB" w:rsidRDefault="0080304A" w:rsidP="005E4D88">
            <w:pPr>
              <w:tabs>
                <w:tab w:val="left" w:pos="-720"/>
              </w:tabs>
              <w:suppressAutoHyphens/>
              <w:rPr>
                <w:szCs w:val="22"/>
              </w:rPr>
            </w:pPr>
            <w:r>
              <w:rPr>
                <w:szCs w:val="22"/>
              </w:rPr>
              <w:t>In response to a South Carolina Department of Transportation road project, Horry Telephone plans to retire copper facilities and deploy its fiber-to-the-home network to provide services over it fiber optic network infrastructure.</w:t>
            </w:r>
          </w:p>
        </w:tc>
        <w:tc>
          <w:tcPr>
            <w:tcW w:w="2160" w:type="dxa"/>
            <w:shd w:val="clear" w:color="auto" w:fill="auto"/>
          </w:tcPr>
          <w:p w:rsidR="0080304A" w:rsidRPr="007506DB" w:rsidRDefault="00037767" w:rsidP="005E4D88">
            <w:pPr>
              <w:tabs>
                <w:tab w:val="left" w:pos="-720"/>
              </w:tabs>
              <w:suppressAutoHyphens/>
              <w:rPr>
                <w:szCs w:val="22"/>
              </w:rPr>
            </w:pPr>
            <w:r>
              <w:rPr>
                <w:szCs w:val="22"/>
              </w:rPr>
              <w:t>A</w:t>
            </w:r>
            <w:r w:rsidR="0080304A">
              <w:rPr>
                <w:szCs w:val="22"/>
              </w:rPr>
              <w:t xml:space="preserve">t facilities associated with the locations </w:t>
            </w:r>
            <w:r w:rsidR="00767672">
              <w:rPr>
                <w:szCs w:val="22"/>
              </w:rPr>
              <w:t>in Myrtle Beach &amp; Conway, SC</w:t>
            </w:r>
            <w:r w:rsidR="0080304A">
              <w:rPr>
                <w:szCs w:val="22"/>
              </w:rPr>
              <w:t xml:space="preserve"> </w:t>
            </w:r>
            <w:r w:rsidR="007562F4">
              <w:rPr>
                <w:szCs w:val="22"/>
              </w:rPr>
              <w:t xml:space="preserve">listed in Exhibit A of the notice </w:t>
            </w:r>
            <w:r w:rsidR="0080304A">
              <w:rPr>
                <w:szCs w:val="22"/>
              </w:rPr>
              <w:t>(attached).</w:t>
            </w:r>
          </w:p>
        </w:tc>
        <w:tc>
          <w:tcPr>
            <w:tcW w:w="3330" w:type="dxa"/>
          </w:tcPr>
          <w:p w:rsidR="0080304A" w:rsidRPr="007506DB" w:rsidRDefault="0080304A" w:rsidP="005E4D88">
            <w:pPr>
              <w:tabs>
                <w:tab w:val="left" w:pos="-720"/>
              </w:tabs>
              <w:suppressAutoHyphens/>
              <w:rPr>
                <w:szCs w:val="22"/>
              </w:rPr>
            </w:pPr>
            <w:r>
              <w:rPr>
                <w:szCs w:val="22"/>
              </w:rPr>
              <w:t>On or after February 28,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E60975" w:rsidRPr="00E60975" w:rsidRDefault="000940C5" w:rsidP="00E60975">
      <w:pPr>
        <w:tabs>
          <w:tab w:val="left" w:pos="0"/>
        </w:tabs>
        <w:suppressAutoHyphens/>
        <w:rPr>
          <w:szCs w:val="22"/>
        </w:rPr>
      </w:pPr>
      <w:r>
        <w:rPr>
          <w:szCs w:val="22"/>
        </w:rPr>
        <w:t>Jamie Ponder</w:t>
      </w:r>
    </w:p>
    <w:p w:rsidR="00E60975" w:rsidRPr="00E60975" w:rsidRDefault="006209FD" w:rsidP="00E60975">
      <w:pPr>
        <w:tabs>
          <w:tab w:val="left" w:pos="0"/>
        </w:tabs>
        <w:suppressAutoHyphens/>
        <w:rPr>
          <w:szCs w:val="22"/>
        </w:rPr>
      </w:pPr>
      <w:r>
        <w:rPr>
          <w:szCs w:val="22"/>
        </w:rPr>
        <w:t>Manager</w:t>
      </w:r>
      <w:r w:rsidR="000940C5">
        <w:rPr>
          <w:szCs w:val="22"/>
        </w:rPr>
        <w:t xml:space="preserve"> Industry</w:t>
      </w:r>
      <w:r w:rsidR="00CC396D">
        <w:rPr>
          <w:szCs w:val="22"/>
        </w:rPr>
        <w:t xml:space="preserve"> Affairs</w:t>
      </w:r>
    </w:p>
    <w:p w:rsidR="00E60975" w:rsidRPr="00E60975" w:rsidRDefault="000940C5" w:rsidP="00E60975">
      <w:pPr>
        <w:tabs>
          <w:tab w:val="left" w:pos="0"/>
        </w:tabs>
        <w:suppressAutoHyphens/>
        <w:rPr>
          <w:szCs w:val="22"/>
        </w:rPr>
      </w:pPr>
      <w:r>
        <w:rPr>
          <w:szCs w:val="22"/>
        </w:rPr>
        <w:t>Horry Telephone Cooperative, Inc.</w:t>
      </w:r>
    </w:p>
    <w:p w:rsidR="00E60975" w:rsidRDefault="000940C5" w:rsidP="00E60975">
      <w:pPr>
        <w:tabs>
          <w:tab w:val="left" w:pos="0"/>
        </w:tabs>
        <w:suppressAutoHyphens/>
        <w:rPr>
          <w:szCs w:val="22"/>
        </w:rPr>
      </w:pPr>
      <w:r>
        <w:rPr>
          <w:szCs w:val="22"/>
        </w:rPr>
        <w:t>3480 Hwy 701 North</w:t>
      </w:r>
    </w:p>
    <w:p w:rsidR="000940C5" w:rsidRDefault="000940C5" w:rsidP="00E60975">
      <w:pPr>
        <w:tabs>
          <w:tab w:val="left" w:pos="0"/>
        </w:tabs>
        <w:suppressAutoHyphens/>
        <w:rPr>
          <w:szCs w:val="22"/>
        </w:rPr>
      </w:pPr>
      <w:r>
        <w:rPr>
          <w:szCs w:val="22"/>
        </w:rPr>
        <w:t>PO Box 1820</w:t>
      </w:r>
    </w:p>
    <w:p w:rsidR="00E60975" w:rsidRPr="00E60975" w:rsidRDefault="000940C5" w:rsidP="00E60975">
      <w:pPr>
        <w:tabs>
          <w:tab w:val="left" w:pos="0"/>
        </w:tabs>
        <w:suppressAutoHyphens/>
        <w:rPr>
          <w:szCs w:val="22"/>
        </w:rPr>
      </w:pPr>
      <w:r>
        <w:rPr>
          <w:szCs w:val="22"/>
        </w:rPr>
        <w:t>Conway, SC</w:t>
      </w:r>
      <w:r w:rsidR="006209FD">
        <w:rPr>
          <w:szCs w:val="22"/>
        </w:rPr>
        <w:t xml:space="preserve"> </w:t>
      </w:r>
      <w:r>
        <w:rPr>
          <w:szCs w:val="22"/>
        </w:rPr>
        <w:t>29528</w:t>
      </w:r>
    </w:p>
    <w:p w:rsidR="008761FE" w:rsidRDefault="00E60975" w:rsidP="00E60975">
      <w:pPr>
        <w:rPr>
          <w:szCs w:val="22"/>
        </w:rPr>
      </w:pPr>
      <w:r w:rsidRPr="00E60975">
        <w:rPr>
          <w:szCs w:val="22"/>
        </w:rPr>
        <w:t>(</w:t>
      </w:r>
      <w:r w:rsidR="000940C5">
        <w:rPr>
          <w:szCs w:val="22"/>
        </w:rPr>
        <w:t>843</w:t>
      </w:r>
      <w:r w:rsidRPr="00E60975">
        <w:rPr>
          <w:szCs w:val="22"/>
        </w:rPr>
        <w:t xml:space="preserve">) </w:t>
      </w:r>
      <w:r w:rsidR="000940C5">
        <w:rPr>
          <w:szCs w:val="22"/>
        </w:rPr>
        <w:t>369</w:t>
      </w:r>
      <w:r w:rsidRPr="00E60975">
        <w:rPr>
          <w:szCs w:val="22"/>
        </w:rPr>
        <w:t>-</w:t>
      </w:r>
      <w:r w:rsidR="000940C5">
        <w:rPr>
          <w:szCs w:val="22"/>
        </w:rPr>
        <w:t>8640</w:t>
      </w:r>
    </w:p>
    <w:p w:rsidR="008761FE" w:rsidRDefault="008761FE" w:rsidP="00E60975">
      <w:pPr>
        <w:rPr>
          <w:szCs w:val="22"/>
        </w:rPr>
      </w:pP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4"/>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83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59" w:rsidRDefault="005B6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p>
  </w:footnote>
  <w:footnote w:id="3">
    <w:p w:rsidR="00BC2C29" w:rsidRDefault="00BC2C29">
      <w:pPr>
        <w:pStyle w:val="FootnoteText"/>
      </w:pPr>
      <w:r>
        <w:rPr>
          <w:rStyle w:val="FootnoteReference"/>
        </w:rPr>
        <w:footnoteRef/>
      </w:r>
      <w:r>
        <w:t xml:space="preserve"> </w:t>
      </w:r>
      <w:r>
        <w:rPr>
          <w:i/>
          <w:sz w:val="20"/>
        </w:rPr>
        <w:t>See</w:t>
      </w:r>
      <w:r>
        <w:rPr>
          <w:sz w:val="20"/>
        </w:rPr>
        <w:t xml:space="preserve"> 47 CFR § 51.332(d).  Incumbent LECs must file certification of all the information required under section 51.332(d) no later than 90 days after the release date of the Commission’s public notice.  </w:t>
      </w:r>
      <w:r>
        <w:rPr>
          <w:i/>
          <w:sz w:val="20"/>
        </w:rPr>
        <w:t>Id</w:t>
      </w:r>
      <w:r>
        <w:rPr>
          <w:sz w:val="20"/>
        </w:rPr>
        <w:t>.</w:t>
      </w:r>
    </w:p>
  </w:footnote>
  <w:footnote w:id="4">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59" w:rsidRDefault="005B6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59" w:rsidRDefault="005B6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9083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554257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665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083E"/>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inc.net/maintenance-alert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749</Words>
  <Characters>4274</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5046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2017-08-30T00:10:00Z</dcterms:created>
  <dcterms:modified xsi:type="dcterms:W3CDTF">2017-08-30T00:10:00Z</dcterms:modified>
  <cp:category> </cp:category>
  <cp:contentStatus> </cp:contentStatus>
</cp:coreProperties>
</file>