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VERIZON DELAWARE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D3DCB">
        <w:rPr>
          <w:szCs w:val="22"/>
        </w:rPr>
        <w:t>167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Verizon Delaware LLC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55177F">
        <w:rPr>
          <w:szCs w:val="22"/>
        </w:rPr>
        <w:t>one</w:t>
      </w:r>
      <w:r w:rsidR="00BC2C29">
        <w:rPr>
          <w:szCs w:val="22"/>
        </w:rPr>
        <w:t xml:space="preserve"> page).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Pr="00335B85" w:rsidRDefault="008961DF" w:rsidP="00107ECC">
      <w:pPr>
        <w:tabs>
          <w:tab w:val="left" w:pos="-720"/>
        </w:tabs>
        <w:suppressAutoHyphens/>
        <w:rPr>
          <w:szCs w:val="22"/>
          <w:lang w:val="de-DE"/>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3600"/>
        <w:gridCol w:w="2430"/>
      </w:tblGrid>
      <w:tr w:rsidR="0076077D" w:rsidRPr="00335B85" w:rsidTr="00DE5192">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71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60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76077D" w:rsidRPr="00335B85" w:rsidTr="00DE5192">
        <w:tc>
          <w:tcPr>
            <w:tcW w:w="1620" w:type="dxa"/>
          </w:tcPr>
          <w:p w:rsidR="0076077D" w:rsidRPr="00335B85" w:rsidRDefault="0076077D" w:rsidP="005C33E2">
            <w:pPr>
              <w:autoSpaceDE w:val="0"/>
              <w:autoSpaceDN w:val="0"/>
              <w:adjustRightInd w:val="0"/>
              <w:rPr>
                <w:szCs w:val="22"/>
              </w:rPr>
            </w:pPr>
            <w:r w:rsidRPr="00335B85">
              <w:rPr>
                <w:bCs/>
                <w:szCs w:val="22"/>
              </w:rPr>
              <w:t>2017-01-A-DE</w:t>
            </w:r>
          </w:p>
        </w:tc>
        <w:tc>
          <w:tcPr>
            <w:tcW w:w="171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600" w:type="dxa"/>
            <w:shd w:val="clear" w:color="auto" w:fill="auto"/>
          </w:tcPr>
          <w:p w:rsidR="0076077D" w:rsidRPr="00335B85" w:rsidRDefault="0076077D" w:rsidP="00DE5192">
            <w:pPr>
              <w:autoSpaceDE w:val="0"/>
              <w:autoSpaceDN w:val="0"/>
              <w:adjustRightInd w:val="0"/>
              <w:rPr>
                <w:szCs w:val="22"/>
              </w:rPr>
            </w:pPr>
            <w:r w:rsidRPr="00335B85">
              <w:rPr>
                <w:szCs w:val="22"/>
              </w:rPr>
              <w:t xml:space="preserve">The Newark, DE Wire Center (CLLI:  NWRKDENB) – 1 Washington Street, Newark, DE 19712 &amp; at facilities associated with the locations served by this wire center listed </w:t>
            </w:r>
            <w:r w:rsidR="00335B85" w:rsidRPr="00335B85">
              <w:rPr>
                <w:szCs w:val="22"/>
              </w:rPr>
              <w:t>in Exhibit A to the notice under</w:t>
            </w:r>
            <w:r w:rsidRPr="00335B85">
              <w:rPr>
                <w:szCs w:val="22"/>
              </w:rPr>
              <w:t xml:space="preserve"> </w:t>
            </w:r>
            <w:r w:rsidR="00335B85" w:rsidRPr="00335B85">
              <w:rPr>
                <w:szCs w:val="22"/>
              </w:rPr>
              <w:t xml:space="preserve">Copper Retirement ID No. </w:t>
            </w:r>
            <w:r w:rsidRPr="00335B85">
              <w:rPr>
                <w:szCs w:val="22"/>
              </w:rPr>
              <w:t xml:space="preserve">2017-01-A-DE at </w:t>
            </w:r>
            <w:hyperlink r:id="rId9" w:history="1">
              <w:r w:rsidRPr="00335B85">
                <w:rPr>
                  <w:rStyle w:val="Hyperlink"/>
                  <w:szCs w:val="22"/>
                </w:rPr>
                <w:t>http://www.verizon.com/about/terms-conditions/network-disclosures</w:t>
              </w:r>
            </w:hyperlink>
            <w:r w:rsidRPr="00335B85">
              <w:rPr>
                <w:szCs w:val="22"/>
              </w:rPr>
              <w:t>.</w:t>
            </w:r>
          </w:p>
        </w:tc>
        <w:tc>
          <w:tcPr>
            <w:tcW w:w="2430" w:type="dxa"/>
            <w:shd w:val="clear" w:color="auto" w:fill="auto"/>
          </w:tcPr>
          <w:p w:rsidR="0076077D" w:rsidRPr="00335B85" w:rsidRDefault="0076077D" w:rsidP="005C33E2">
            <w:pPr>
              <w:tabs>
                <w:tab w:val="left" w:pos="0"/>
              </w:tabs>
              <w:suppressAutoHyphens/>
              <w:rPr>
                <w:b/>
                <w:szCs w:val="22"/>
              </w:rPr>
            </w:pPr>
            <w:r w:rsidRPr="00335B85">
              <w:rPr>
                <w:szCs w:val="22"/>
              </w:rPr>
              <w:t>On or after February 28,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Pr="00335B85" w:rsidRDefault="0076077D" w:rsidP="0076077D">
      <w:pPr>
        <w:rPr>
          <w:szCs w:val="22"/>
        </w:rPr>
      </w:pPr>
      <w:r w:rsidRPr="00335B85">
        <w:rPr>
          <w:szCs w:val="22"/>
        </w:rPr>
        <w:t>Phone:  (202) 515-2497</w:t>
      </w: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2F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96" w:rsidRDefault="00CB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96" w:rsidRDefault="00CB7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96" w:rsidRDefault="00CB7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B62F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569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B7596"/>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2F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755</Words>
  <Characters>4375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5150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2017-09-07T17:22:00Z</dcterms:created>
  <dcterms:modified xsi:type="dcterms:W3CDTF">2017-09-07T17:22:00Z</dcterms:modified>
  <cp:category> </cp:category>
  <cp:contentStatus> </cp:contentStatus>
</cp:coreProperties>
</file>