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E049E" w:rsidRDefault="0022093F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 xml:space="preserve">PROPOSES </w:t>
            </w:r>
            <w:r w:rsidR="00CB0662">
              <w:rPr>
                <w:b/>
                <w:bCs/>
                <w:sz w:val="26"/>
                <w:szCs w:val="26"/>
              </w:rPr>
              <w:t>$3.9</w:t>
            </w:r>
            <w:r>
              <w:rPr>
                <w:b/>
                <w:bCs/>
                <w:sz w:val="26"/>
                <w:szCs w:val="26"/>
              </w:rPr>
              <w:t xml:space="preserve"> MILLION FINE </w:t>
            </w:r>
            <w:r w:rsidR="007D5A77">
              <w:rPr>
                <w:b/>
                <w:bCs/>
                <w:sz w:val="26"/>
                <w:szCs w:val="26"/>
              </w:rPr>
              <w:t>AGAINST NEON PHONE SERVICE</w:t>
            </w:r>
            <w:r w:rsidR="00197AB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FOR </w:t>
            </w:r>
            <w:r w:rsidR="00E63318">
              <w:rPr>
                <w:b/>
                <w:bCs/>
                <w:sz w:val="26"/>
                <w:szCs w:val="26"/>
              </w:rPr>
              <w:t>SLAMMING AND CRAMMING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22093F" w:rsidRDefault="00595EBA" w:rsidP="0004012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Neon </w:t>
            </w:r>
            <w:r w:rsidR="002A7F25">
              <w:rPr>
                <w:b/>
                <w:bCs/>
                <w:i/>
              </w:rPr>
              <w:t xml:space="preserve">Apparently Used Deceptive Marketing Practices &amp; </w:t>
            </w:r>
          </w:p>
          <w:p w:rsidR="00CC5E08" w:rsidRPr="008A3940" w:rsidRDefault="002A7F25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Provided the Commission </w:t>
            </w:r>
            <w:r w:rsidR="0022093F">
              <w:rPr>
                <w:b/>
                <w:bCs/>
                <w:i/>
              </w:rPr>
              <w:t>with</w:t>
            </w:r>
            <w:r>
              <w:rPr>
                <w:b/>
                <w:bCs/>
                <w:i/>
              </w:rPr>
              <w:t xml:space="preserve"> False Information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2A7F25" w:rsidRDefault="00FF1C0B" w:rsidP="002A7F25">
            <w:pPr>
              <w:tabs>
                <w:tab w:val="left" w:pos="8640"/>
              </w:tabs>
              <w:rPr>
                <w:snapToGrid w:val="0"/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595EBA" w:rsidRPr="00F63788">
              <w:rPr>
                <w:sz w:val="22"/>
                <w:szCs w:val="22"/>
              </w:rPr>
              <w:t>October</w:t>
            </w:r>
            <w:r w:rsidR="000E049E" w:rsidRPr="00F63788">
              <w:rPr>
                <w:sz w:val="22"/>
                <w:szCs w:val="22"/>
              </w:rPr>
              <w:t xml:space="preserve"> </w:t>
            </w:r>
            <w:r w:rsidR="00F63788" w:rsidRPr="00F63788">
              <w:rPr>
                <w:sz w:val="22"/>
                <w:szCs w:val="22"/>
              </w:rPr>
              <w:t>3</w:t>
            </w:r>
            <w:r w:rsidR="0070589A" w:rsidRPr="00F63788">
              <w:rPr>
                <w:sz w:val="22"/>
                <w:szCs w:val="22"/>
              </w:rPr>
              <w:t>, 2017</w:t>
            </w:r>
            <w:r w:rsidR="00D861EE">
              <w:rPr>
                <w:sz w:val="22"/>
                <w:szCs w:val="22"/>
              </w:rPr>
              <w:t>—</w:t>
            </w:r>
            <w:r w:rsidR="000E049E" w:rsidRP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2A7F25">
              <w:rPr>
                <w:sz w:val="22"/>
                <w:szCs w:val="22"/>
              </w:rPr>
              <w:t>proposed a nearly $4 million fine against Neon Phone Service</w:t>
            </w:r>
            <w:r w:rsidR="0022093F">
              <w:rPr>
                <w:sz w:val="22"/>
                <w:szCs w:val="22"/>
              </w:rPr>
              <w:t xml:space="preserve"> of Rockledge, Florida</w:t>
            </w:r>
            <w:r w:rsidR="002A7F25">
              <w:rPr>
                <w:sz w:val="22"/>
                <w:szCs w:val="22"/>
              </w:rPr>
              <w:t xml:space="preserve"> </w:t>
            </w:r>
            <w:r w:rsidR="00ED11C0">
              <w:rPr>
                <w:sz w:val="22"/>
                <w:szCs w:val="22"/>
              </w:rPr>
              <w:t xml:space="preserve">for </w:t>
            </w:r>
            <w:r w:rsidR="002A7F25">
              <w:rPr>
                <w:sz w:val="22"/>
                <w:szCs w:val="22"/>
              </w:rPr>
              <w:t xml:space="preserve">“slamming” and “cramming.”  </w:t>
            </w:r>
            <w:r w:rsidR="002A7F25" w:rsidRPr="008E5C17">
              <w:rPr>
                <w:sz w:val="22"/>
                <w:szCs w:val="22"/>
              </w:rPr>
              <w:t xml:space="preserve">The </w:t>
            </w:r>
            <w:r w:rsidR="00570B09">
              <w:rPr>
                <w:sz w:val="22"/>
                <w:szCs w:val="22"/>
              </w:rPr>
              <w:t xml:space="preserve">company </w:t>
            </w:r>
            <w:r w:rsidR="0022093F">
              <w:rPr>
                <w:sz w:val="22"/>
                <w:szCs w:val="22"/>
              </w:rPr>
              <w:t>appears to have</w:t>
            </w:r>
            <w:r w:rsidR="00570B09">
              <w:rPr>
                <w:sz w:val="22"/>
                <w:szCs w:val="22"/>
              </w:rPr>
              <w:t xml:space="preserve"> </w:t>
            </w:r>
            <w:r w:rsidR="002A7F25">
              <w:rPr>
                <w:sz w:val="22"/>
                <w:szCs w:val="22"/>
              </w:rPr>
              <w:t>violated Commission rules by switching customers’ long</w:t>
            </w:r>
            <w:r w:rsidR="0042310C">
              <w:rPr>
                <w:sz w:val="22"/>
                <w:szCs w:val="22"/>
              </w:rPr>
              <w:t xml:space="preserve"> </w:t>
            </w:r>
            <w:r w:rsidR="002A7F25">
              <w:rPr>
                <w:sz w:val="22"/>
                <w:szCs w:val="22"/>
              </w:rPr>
              <w:t>distance carriers without obtaining proper, verified authorization</w:t>
            </w:r>
            <w:r w:rsidR="0042310C">
              <w:rPr>
                <w:sz w:val="22"/>
                <w:szCs w:val="22"/>
              </w:rPr>
              <w:t>—</w:t>
            </w:r>
            <w:r w:rsidR="00B06A87">
              <w:rPr>
                <w:sz w:val="22"/>
                <w:szCs w:val="22"/>
              </w:rPr>
              <w:t xml:space="preserve">an illegal practice </w:t>
            </w:r>
            <w:r w:rsidR="002A7F25">
              <w:rPr>
                <w:sz w:val="22"/>
                <w:szCs w:val="22"/>
              </w:rPr>
              <w:t xml:space="preserve">called slamming.  </w:t>
            </w:r>
            <w:r w:rsidR="0042310C">
              <w:rPr>
                <w:sz w:val="22"/>
                <w:szCs w:val="22"/>
              </w:rPr>
              <w:t xml:space="preserve">It </w:t>
            </w:r>
            <w:r w:rsidR="00960059">
              <w:rPr>
                <w:sz w:val="22"/>
                <w:szCs w:val="22"/>
              </w:rPr>
              <w:t xml:space="preserve">also apparently added </w:t>
            </w:r>
            <w:r w:rsidR="00960059" w:rsidRPr="0021138C">
              <w:rPr>
                <w:sz w:val="22"/>
              </w:rPr>
              <w:t xml:space="preserve">unauthorized charges </w:t>
            </w:r>
            <w:r w:rsidR="00960059">
              <w:rPr>
                <w:snapToGrid w:val="0"/>
                <w:sz w:val="22"/>
                <w:szCs w:val="22"/>
              </w:rPr>
              <w:t>onto</w:t>
            </w:r>
            <w:r w:rsidR="00960059" w:rsidRPr="0021138C">
              <w:rPr>
                <w:sz w:val="22"/>
              </w:rPr>
              <w:t xml:space="preserve"> consumers’ </w:t>
            </w:r>
            <w:r w:rsidR="00960059">
              <w:rPr>
                <w:sz w:val="22"/>
              </w:rPr>
              <w:t xml:space="preserve">telephone </w:t>
            </w:r>
            <w:r w:rsidR="00960059" w:rsidRPr="0021138C">
              <w:rPr>
                <w:sz w:val="22"/>
              </w:rPr>
              <w:t>bills</w:t>
            </w:r>
            <w:r w:rsidR="0042310C">
              <w:rPr>
                <w:sz w:val="22"/>
              </w:rPr>
              <w:t>—</w:t>
            </w:r>
            <w:r w:rsidR="00960059">
              <w:rPr>
                <w:sz w:val="22"/>
              </w:rPr>
              <w:t>often referred to as cramming</w:t>
            </w:r>
            <w:r w:rsidR="00960059">
              <w:rPr>
                <w:snapToGrid w:val="0"/>
                <w:sz w:val="22"/>
                <w:szCs w:val="22"/>
              </w:rPr>
              <w:t xml:space="preserve">.  </w:t>
            </w:r>
          </w:p>
          <w:p w:rsidR="00C24663" w:rsidRDefault="00C24663" w:rsidP="002A7F25">
            <w:pPr>
              <w:tabs>
                <w:tab w:val="left" w:pos="8640"/>
              </w:tabs>
              <w:rPr>
                <w:snapToGrid w:val="0"/>
                <w:sz w:val="22"/>
                <w:szCs w:val="22"/>
              </w:rPr>
            </w:pPr>
          </w:p>
          <w:p w:rsidR="00C24663" w:rsidRDefault="00C24663" w:rsidP="002A7F25">
            <w:pPr>
              <w:tabs>
                <w:tab w:val="left" w:pos="864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The Commission received </w:t>
            </w:r>
            <w:r w:rsidR="0022093F">
              <w:rPr>
                <w:snapToGrid w:val="0"/>
                <w:sz w:val="22"/>
                <w:szCs w:val="22"/>
              </w:rPr>
              <w:t>numerous</w:t>
            </w:r>
            <w:r>
              <w:rPr>
                <w:snapToGrid w:val="0"/>
                <w:sz w:val="22"/>
                <w:szCs w:val="22"/>
              </w:rPr>
              <w:t xml:space="preserve"> consumer complaints claiming that</w:t>
            </w:r>
            <w:r w:rsidR="0076728B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Neon had </w:t>
            </w:r>
            <w:r w:rsidR="00172290">
              <w:rPr>
                <w:snapToGrid w:val="0"/>
                <w:sz w:val="22"/>
                <w:szCs w:val="22"/>
              </w:rPr>
              <w:t>switched their long</w:t>
            </w:r>
            <w:r w:rsidR="0042310C">
              <w:rPr>
                <w:snapToGrid w:val="0"/>
                <w:sz w:val="22"/>
                <w:szCs w:val="22"/>
              </w:rPr>
              <w:t xml:space="preserve"> </w:t>
            </w:r>
            <w:r w:rsidR="00172290">
              <w:rPr>
                <w:snapToGrid w:val="0"/>
                <w:sz w:val="22"/>
                <w:szCs w:val="22"/>
              </w:rPr>
              <w:t xml:space="preserve">distance service </w:t>
            </w:r>
            <w:r w:rsidR="002B2D49">
              <w:rPr>
                <w:snapToGrid w:val="0"/>
                <w:sz w:val="22"/>
                <w:szCs w:val="22"/>
              </w:rPr>
              <w:t>provider</w:t>
            </w:r>
            <w:r w:rsidR="00A10AD4">
              <w:rPr>
                <w:snapToGrid w:val="0"/>
                <w:sz w:val="22"/>
                <w:szCs w:val="22"/>
              </w:rPr>
              <w:t>s</w:t>
            </w:r>
            <w:r w:rsidR="002B2D49">
              <w:rPr>
                <w:snapToGrid w:val="0"/>
                <w:sz w:val="22"/>
                <w:szCs w:val="22"/>
              </w:rPr>
              <w:t xml:space="preserve"> </w:t>
            </w:r>
            <w:r w:rsidR="00172290">
              <w:rPr>
                <w:snapToGrid w:val="0"/>
                <w:sz w:val="22"/>
                <w:szCs w:val="22"/>
              </w:rPr>
              <w:t xml:space="preserve">without authorization and </w:t>
            </w:r>
            <w:r>
              <w:rPr>
                <w:snapToGrid w:val="0"/>
                <w:sz w:val="22"/>
                <w:szCs w:val="22"/>
              </w:rPr>
              <w:t xml:space="preserve">added unauthorized charges to their bills.  As is FCC practice, the </w:t>
            </w:r>
            <w:r w:rsidR="0022093F">
              <w:rPr>
                <w:snapToGrid w:val="0"/>
                <w:sz w:val="22"/>
                <w:szCs w:val="22"/>
              </w:rPr>
              <w:t>agency’s</w:t>
            </w:r>
            <w:r>
              <w:rPr>
                <w:snapToGrid w:val="0"/>
                <w:sz w:val="22"/>
                <w:szCs w:val="22"/>
              </w:rPr>
              <w:t xml:space="preserve"> Consumer and Governmental Affairs Bureau served Neon with </w:t>
            </w:r>
            <w:r w:rsidR="00ED11C0">
              <w:rPr>
                <w:snapToGrid w:val="0"/>
                <w:sz w:val="22"/>
                <w:szCs w:val="22"/>
              </w:rPr>
              <w:t xml:space="preserve">these </w:t>
            </w:r>
            <w:r>
              <w:rPr>
                <w:snapToGrid w:val="0"/>
                <w:sz w:val="22"/>
                <w:szCs w:val="22"/>
              </w:rPr>
              <w:t xml:space="preserve">complaints </w:t>
            </w:r>
            <w:r w:rsidR="00ED11C0">
              <w:rPr>
                <w:snapToGrid w:val="0"/>
                <w:sz w:val="22"/>
                <w:szCs w:val="22"/>
              </w:rPr>
              <w:t>and asked for a response from the company</w:t>
            </w:r>
            <w:r>
              <w:rPr>
                <w:snapToGrid w:val="0"/>
                <w:sz w:val="22"/>
                <w:szCs w:val="22"/>
              </w:rPr>
              <w:t>.  In response, Neon prov</w:t>
            </w:r>
            <w:r w:rsidR="00ED11C0">
              <w:rPr>
                <w:snapToGrid w:val="0"/>
                <w:sz w:val="22"/>
                <w:szCs w:val="22"/>
              </w:rPr>
              <w:t>ided the agency with apparently</w:t>
            </w:r>
            <w:r w:rsidR="002B2D49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fabricated audio recording</w:t>
            </w:r>
            <w:r w:rsidR="00ED11C0">
              <w:rPr>
                <w:snapToGrid w:val="0"/>
                <w:sz w:val="22"/>
                <w:szCs w:val="22"/>
              </w:rPr>
              <w:t>s</w:t>
            </w:r>
            <w:r w:rsidR="007D5A77">
              <w:rPr>
                <w:snapToGrid w:val="0"/>
                <w:sz w:val="22"/>
                <w:szCs w:val="22"/>
              </w:rPr>
              <w:t xml:space="preserve"> as evidence that the consumers had agreed to </w:t>
            </w:r>
            <w:r w:rsidR="003763A2">
              <w:rPr>
                <w:snapToGrid w:val="0"/>
                <w:sz w:val="22"/>
                <w:szCs w:val="22"/>
              </w:rPr>
              <w:t xml:space="preserve">switch to </w:t>
            </w:r>
            <w:r w:rsidR="007D5A77">
              <w:rPr>
                <w:snapToGrid w:val="0"/>
                <w:sz w:val="22"/>
                <w:szCs w:val="22"/>
              </w:rPr>
              <w:t>Neon’s service.</w:t>
            </w:r>
            <w:r w:rsidR="00FD1111">
              <w:rPr>
                <w:snapToGrid w:val="0"/>
                <w:sz w:val="22"/>
                <w:szCs w:val="22"/>
              </w:rPr>
              <w:t xml:space="preserve">  The Commission</w:t>
            </w:r>
            <w:r w:rsidR="00ED11C0">
              <w:rPr>
                <w:snapToGrid w:val="0"/>
                <w:sz w:val="22"/>
                <w:szCs w:val="22"/>
              </w:rPr>
              <w:t>’s Enforcement Bureau then</w:t>
            </w:r>
            <w:r w:rsidR="00FD1111">
              <w:rPr>
                <w:snapToGrid w:val="0"/>
                <w:sz w:val="22"/>
                <w:szCs w:val="22"/>
              </w:rPr>
              <w:t xml:space="preserve"> formally inquired about the</w:t>
            </w:r>
            <w:r w:rsidR="002B2D49">
              <w:rPr>
                <w:snapToGrid w:val="0"/>
                <w:sz w:val="22"/>
                <w:szCs w:val="22"/>
              </w:rPr>
              <w:t xml:space="preserve"> consumer complaints,</w:t>
            </w:r>
            <w:r w:rsidR="009A516C">
              <w:rPr>
                <w:snapToGrid w:val="0"/>
                <w:sz w:val="22"/>
                <w:szCs w:val="22"/>
              </w:rPr>
              <w:t xml:space="preserve"> and Neon failed</w:t>
            </w:r>
            <w:r w:rsidR="00172290">
              <w:rPr>
                <w:snapToGrid w:val="0"/>
                <w:sz w:val="22"/>
                <w:szCs w:val="22"/>
              </w:rPr>
              <w:t xml:space="preserve"> to respond to the Bureau’s request for information</w:t>
            </w:r>
            <w:r w:rsidR="007D5A77">
              <w:rPr>
                <w:snapToGrid w:val="0"/>
                <w:sz w:val="22"/>
                <w:szCs w:val="22"/>
              </w:rPr>
              <w:t xml:space="preserve"> or </w:t>
            </w:r>
            <w:r w:rsidR="00172290">
              <w:rPr>
                <w:snapToGrid w:val="0"/>
                <w:sz w:val="22"/>
                <w:szCs w:val="22"/>
              </w:rPr>
              <w:t>provide any type of proof that the carrier changes were authorized</w:t>
            </w:r>
            <w:r w:rsidR="00FD1111">
              <w:rPr>
                <w:snapToGrid w:val="0"/>
                <w:sz w:val="22"/>
                <w:szCs w:val="22"/>
              </w:rPr>
              <w:t>.</w:t>
            </w:r>
            <w:r w:rsidR="009215E1">
              <w:rPr>
                <w:snapToGrid w:val="0"/>
                <w:sz w:val="22"/>
                <w:szCs w:val="22"/>
              </w:rPr>
              <w:t xml:space="preserve">  </w:t>
            </w:r>
          </w:p>
          <w:p w:rsidR="00FD1111" w:rsidRDefault="00FD1111" w:rsidP="002A7F25">
            <w:pPr>
              <w:tabs>
                <w:tab w:val="left" w:pos="8640"/>
              </w:tabs>
              <w:rPr>
                <w:snapToGrid w:val="0"/>
                <w:sz w:val="22"/>
                <w:szCs w:val="22"/>
              </w:rPr>
            </w:pPr>
          </w:p>
          <w:p w:rsidR="0076728B" w:rsidRDefault="0076728B" w:rsidP="002A7F25">
            <w:pPr>
              <w:tabs>
                <w:tab w:val="left" w:pos="864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The Enforcement Bureau’s investigation</w:t>
            </w:r>
            <w:r w:rsidR="0022093F">
              <w:rPr>
                <w:snapToGrid w:val="0"/>
                <w:sz w:val="22"/>
                <w:szCs w:val="22"/>
              </w:rPr>
              <w:t xml:space="preserve"> also</w:t>
            </w:r>
            <w:r>
              <w:rPr>
                <w:snapToGrid w:val="0"/>
                <w:sz w:val="22"/>
                <w:szCs w:val="22"/>
              </w:rPr>
              <w:t xml:space="preserve"> found that, in at least one case, </w:t>
            </w:r>
            <w:r w:rsidRPr="0076728B">
              <w:rPr>
                <w:snapToGrid w:val="0"/>
                <w:sz w:val="22"/>
                <w:szCs w:val="22"/>
              </w:rPr>
              <w:t>Neon’s telemarketer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76728B">
              <w:rPr>
                <w:snapToGrid w:val="0"/>
                <w:sz w:val="22"/>
                <w:szCs w:val="22"/>
              </w:rPr>
              <w:t xml:space="preserve">deceptively claimed to be calling on behalf of the consumer’s existing provider to trick the </w:t>
            </w:r>
            <w:r>
              <w:rPr>
                <w:snapToGrid w:val="0"/>
                <w:sz w:val="22"/>
                <w:szCs w:val="22"/>
              </w:rPr>
              <w:t>consumer</w:t>
            </w:r>
            <w:r w:rsidR="00B06A87">
              <w:rPr>
                <w:snapToGrid w:val="0"/>
                <w:sz w:val="22"/>
                <w:szCs w:val="22"/>
              </w:rPr>
              <w:t xml:space="preserve"> into switching carriers. </w:t>
            </w:r>
          </w:p>
          <w:p w:rsidR="0076728B" w:rsidRDefault="0076728B" w:rsidP="002A7F25">
            <w:pPr>
              <w:tabs>
                <w:tab w:val="left" w:pos="8640"/>
              </w:tabs>
              <w:rPr>
                <w:snapToGrid w:val="0"/>
                <w:sz w:val="22"/>
                <w:szCs w:val="22"/>
              </w:rPr>
            </w:pPr>
          </w:p>
          <w:p w:rsidR="002A7F25" w:rsidRDefault="00FD1111" w:rsidP="00C84C53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Due to </w:t>
            </w:r>
            <w:r w:rsidR="00C07DFF">
              <w:rPr>
                <w:snapToGrid w:val="0"/>
                <w:sz w:val="22"/>
                <w:szCs w:val="22"/>
              </w:rPr>
              <w:t>Neon’s</w:t>
            </w:r>
            <w:r>
              <w:rPr>
                <w:snapToGrid w:val="0"/>
                <w:sz w:val="22"/>
                <w:szCs w:val="22"/>
              </w:rPr>
              <w:t xml:space="preserve"> apparent violation</w:t>
            </w:r>
            <w:r w:rsidR="0076728B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 xml:space="preserve"> of</w:t>
            </w:r>
            <w:r w:rsidR="00702D26">
              <w:rPr>
                <w:snapToGrid w:val="0"/>
                <w:sz w:val="22"/>
                <w:szCs w:val="22"/>
              </w:rPr>
              <w:t xml:space="preserve"> the Communication Act and</w:t>
            </w:r>
            <w:r>
              <w:rPr>
                <w:snapToGrid w:val="0"/>
                <w:sz w:val="22"/>
                <w:szCs w:val="22"/>
              </w:rPr>
              <w:t xml:space="preserve"> FCC rules </w:t>
            </w:r>
            <w:r w:rsidR="00702D26">
              <w:rPr>
                <w:snapToGrid w:val="0"/>
                <w:sz w:val="22"/>
                <w:szCs w:val="22"/>
              </w:rPr>
              <w:t>for these actions</w:t>
            </w:r>
            <w:r w:rsidR="00ED11C0">
              <w:rPr>
                <w:snapToGrid w:val="0"/>
                <w:sz w:val="22"/>
                <w:szCs w:val="22"/>
              </w:rPr>
              <w:t>,</w:t>
            </w:r>
            <w:r>
              <w:rPr>
                <w:snapToGrid w:val="0"/>
                <w:sz w:val="22"/>
                <w:szCs w:val="22"/>
              </w:rPr>
              <w:t xml:space="preserve"> the Commission is proposing a $</w:t>
            </w:r>
            <w:r>
              <w:rPr>
                <w:sz w:val="22"/>
                <w:szCs w:val="22"/>
              </w:rPr>
              <w:t>3,963</w:t>
            </w:r>
            <w:r w:rsidRPr="0078710A">
              <w:rPr>
                <w:sz w:val="22"/>
                <w:szCs w:val="22"/>
              </w:rPr>
              <w:t>,722</w:t>
            </w:r>
            <w:r>
              <w:rPr>
                <w:sz w:val="22"/>
                <w:szCs w:val="22"/>
              </w:rPr>
              <w:t xml:space="preserve"> fine </w:t>
            </w:r>
            <w:r w:rsidR="00A10AD4">
              <w:rPr>
                <w:sz w:val="22"/>
                <w:szCs w:val="22"/>
              </w:rPr>
              <w:t>against</w:t>
            </w:r>
            <w:r>
              <w:rPr>
                <w:sz w:val="22"/>
                <w:szCs w:val="22"/>
              </w:rPr>
              <w:t xml:space="preserve"> Neon. </w:t>
            </w:r>
            <w:r w:rsidR="00C84C53">
              <w:rPr>
                <w:sz w:val="22"/>
                <w:szCs w:val="22"/>
              </w:rPr>
              <w:t xml:space="preserve"> </w:t>
            </w:r>
            <w:r w:rsidR="00702D2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Neon will have 30 days to respond to this proposed fine, formally called a Notice of Apparent Liability for Forfeiture.  The Commission will then review the response and any additional evidence, and may then proceed to issue a final forfeiture order.  </w:t>
            </w:r>
          </w:p>
          <w:p w:rsidR="002A7F25" w:rsidRDefault="002A7F25" w:rsidP="002A7F25">
            <w:pPr>
              <w:rPr>
                <w:sz w:val="22"/>
                <w:szCs w:val="22"/>
              </w:rPr>
            </w:pPr>
          </w:p>
          <w:p w:rsidR="0076728B" w:rsidRDefault="002A7F25" w:rsidP="002A7F25">
            <w:pPr>
              <w:rPr>
                <w:sz w:val="22"/>
                <w:szCs w:val="22"/>
              </w:rPr>
            </w:pPr>
            <w:r w:rsidRPr="005166ED">
              <w:rPr>
                <w:sz w:val="22"/>
              </w:rPr>
              <w:t xml:space="preserve">For more information about the FCC’s rules protecting consumers from unauthorized charges on </w:t>
            </w:r>
            <w:r w:rsidRPr="00B00725">
              <w:rPr>
                <w:sz w:val="22"/>
                <w:szCs w:val="22"/>
              </w:rPr>
              <w:t>telephone</w:t>
            </w:r>
            <w:r w:rsidRPr="005166ED">
              <w:rPr>
                <w:sz w:val="22"/>
              </w:rPr>
              <w:t xml:space="preserve"> bills, see the FCC consumer </w:t>
            </w:r>
            <w:r w:rsidRPr="00B00725">
              <w:rPr>
                <w:sz w:val="22"/>
                <w:szCs w:val="22"/>
              </w:rPr>
              <w:t xml:space="preserve">guides regarding </w:t>
            </w:r>
            <w:hyperlink r:id="rId9" w:history="1">
              <w:r w:rsidRPr="00466D31">
                <w:rPr>
                  <w:rStyle w:val="Hyperlink"/>
                  <w:sz w:val="22"/>
                  <w:szCs w:val="22"/>
                </w:rPr>
                <w:t>cramming</w:t>
              </w:r>
            </w:hyperlink>
            <w:r>
              <w:rPr>
                <w:sz w:val="22"/>
                <w:szCs w:val="22"/>
              </w:rPr>
              <w:t xml:space="preserve"> and </w:t>
            </w:r>
            <w:hyperlink r:id="rId10" w:history="1">
              <w:r w:rsidRPr="00466D31">
                <w:rPr>
                  <w:rStyle w:val="Hyperlink"/>
                  <w:sz w:val="22"/>
                  <w:szCs w:val="22"/>
                </w:rPr>
                <w:t>slamming</w:t>
              </w:r>
            </w:hyperlink>
            <w:r w:rsidRPr="00B00725">
              <w:rPr>
                <w:sz w:val="22"/>
                <w:szCs w:val="22"/>
              </w:rPr>
              <w:t>.</w:t>
            </w:r>
          </w:p>
          <w:p w:rsidR="00E35FE1" w:rsidRDefault="00E35FE1" w:rsidP="00E35FE1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E35FE1" w:rsidRPr="000A41A3" w:rsidRDefault="00E35FE1" w:rsidP="00E35FE1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0A41A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The Notice of Apparent Liability for Forfeiture is available at: </w:t>
            </w:r>
            <w:hyperlink r:id="rId11" w:history="1">
              <w:r w:rsidR="00C04B78" w:rsidRPr="00F316DD">
                <w:rPr>
                  <w:rStyle w:val="Hyperlink"/>
                  <w:sz w:val="22"/>
                  <w:szCs w:val="22"/>
                </w:rPr>
                <w:t>https://apps.fcc.gov/edocs_public/attachmatch/FCC-17-128A1.pdf</w:t>
              </w:r>
            </w:hyperlink>
            <w:r w:rsidR="00C04B78">
              <w:rPr>
                <w:sz w:val="22"/>
                <w:szCs w:val="22"/>
              </w:rPr>
              <w:t xml:space="preserve"> </w:t>
            </w:r>
            <w:r w:rsidR="005B3F52" w:rsidRPr="005B3F52">
              <w:rPr>
                <w:sz w:val="22"/>
                <w:szCs w:val="22"/>
              </w:rPr>
              <w:t xml:space="preserve"> </w:t>
            </w:r>
            <w:r w:rsidR="00C04B78">
              <w:rPr>
                <w:sz w:val="22"/>
                <w:szCs w:val="22"/>
              </w:rPr>
              <w:t xml:space="preserve"> </w:t>
            </w:r>
            <w:r w:rsidR="005B3F52" w:rsidRPr="005B3F52">
              <w:rPr>
                <w:sz w:val="22"/>
                <w:szCs w:val="22"/>
              </w:rPr>
              <w:t xml:space="preserve"> </w:t>
            </w:r>
          </w:p>
          <w:p w:rsidR="00E35FE1" w:rsidRPr="000A41A3" w:rsidRDefault="00E35FE1" w:rsidP="00E35FE1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2361" w:rsidRPr="004F2361" w:rsidRDefault="004F2361" w:rsidP="004F2361">
            <w:pPr>
              <w:autoSpaceDE w:val="0"/>
              <w:autoSpaceDN w:val="0"/>
              <w:rPr>
                <w:sz w:val="22"/>
                <w:szCs w:val="22"/>
              </w:rPr>
            </w:pPr>
            <w:r w:rsidRPr="004F2361">
              <w:rPr>
                <w:sz w:val="22"/>
                <w:szCs w:val="22"/>
              </w:rPr>
              <w:lastRenderedPageBreak/>
              <w:t>Action by the Commission October 3, 2017 by Notice of Apparent Liability for Forfeiture (FCC 17-128).  Chairman Pai, Commissioners Clyburn, Carr and Rosenworcel approving.  Commissioner O’Rielly approving in part and dissenting in part.  Chairman Pai and Commissioner Clyburn issuing a joint statement.  Commissioner Rosenworcel issuing a statement.</w:t>
            </w:r>
          </w:p>
          <w:p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E3" w:rsidRDefault="008604E3" w:rsidP="008604E3">
      <w:r>
        <w:separator/>
      </w:r>
    </w:p>
  </w:endnote>
  <w:endnote w:type="continuationSeparator" w:id="0">
    <w:p w:rsidR="008604E3" w:rsidRDefault="008604E3" w:rsidP="0086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E3" w:rsidRDefault="00860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E3" w:rsidRDefault="008604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E3" w:rsidRDefault="00860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E3" w:rsidRDefault="008604E3" w:rsidP="008604E3">
      <w:r>
        <w:separator/>
      </w:r>
    </w:p>
  </w:footnote>
  <w:footnote w:type="continuationSeparator" w:id="0">
    <w:p w:rsidR="008604E3" w:rsidRDefault="008604E3" w:rsidP="0086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E3" w:rsidRDefault="00860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E3" w:rsidRDefault="008604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E3" w:rsidRDefault="00860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1F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2290"/>
    <w:rsid w:val="001733A6"/>
    <w:rsid w:val="001865A9"/>
    <w:rsid w:val="00187DB2"/>
    <w:rsid w:val="00197ABF"/>
    <w:rsid w:val="001B20BB"/>
    <w:rsid w:val="001C4370"/>
    <w:rsid w:val="001D3779"/>
    <w:rsid w:val="001F0469"/>
    <w:rsid w:val="00203A98"/>
    <w:rsid w:val="00206EDD"/>
    <w:rsid w:val="0021247E"/>
    <w:rsid w:val="002146F6"/>
    <w:rsid w:val="0022093F"/>
    <w:rsid w:val="00231C32"/>
    <w:rsid w:val="00240345"/>
    <w:rsid w:val="002421F0"/>
    <w:rsid w:val="00247274"/>
    <w:rsid w:val="00266966"/>
    <w:rsid w:val="00294C0C"/>
    <w:rsid w:val="002A0934"/>
    <w:rsid w:val="002A7F25"/>
    <w:rsid w:val="002B1013"/>
    <w:rsid w:val="002B2D49"/>
    <w:rsid w:val="002D03E5"/>
    <w:rsid w:val="002E3F1D"/>
    <w:rsid w:val="002F31D0"/>
    <w:rsid w:val="00300359"/>
    <w:rsid w:val="0031773E"/>
    <w:rsid w:val="00333871"/>
    <w:rsid w:val="00347716"/>
    <w:rsid w:val="003506E1"/>
    <w:rsid w:val="003727E3"/>
    <w:rsid w:val="003763A2"/>
    <w:rsid w:val="00385A93"/>
    <w:rsid w:val="003910F1"/>
    <w:rsid w:val="003E42FC"/>
    <w:rsid w:val="003E5991"/>
    <w:rsid w:val="003F344A"/>
    <w:rsid w:val="00403FF0"/>
    <w:rsid w:val="0042046D"/>
    <w:rsid w:val="0042116E"/>
    <w:rsid w:val="0042310C"/>
    <w:rsid w:val="00425AEF"/>
    <w:rsid w:val="00426518"/>
    <w:rsid w:val="00427B06"/>
    <w:rsid w:val="00441F59"/>
    <w:rsid w:val="0044499E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4F2361"/>
    <w:rsid w:val="005022AA"/>
    <w:rsid w:val="00504845"/>
    <w:rsid w:val="0050757F"/>
    <w:rsid w:val="00512740"/>
    <w:rsid w:val="00516AD2"/>
    <w:rsid w:val="00545DAE"/>
    <w:rsid w:val="00570B09"/>
    <w:rsid w:val="00571B83"/>
    <w:rsid w:val="00575A00"/>
    <w:rsid w:val="0058673C"/>
    <w:rsid w:val="00595EBA"/>
    <w:rsid w:val="005A7972"/>
    <w:rsid w:val="005B17E7"/>
    <w:rsid w:val="005B2643"/>
    <w:rsid w:val="005B3F52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2D26"/>
    <w:rsid w:val="0070589A"/>
    <w:rsid w:val="007167DD"/>
    <w:rsid w:val="0072478B"/>
    <w:rsid w:val="0073414D"/>
    <w:rsid w:val="0075235E"/>
    <w:rsid w:val="007528A5"/>
    <w:rsid w:val="0076728B"/>
    <w:rsid w:val="007732CC"/>
    <w:rsid w:val="00774079"/>
    <w:rsid w:val="0077752B"/>
    <w:rsid w:val="00793AAB"/>
    <w:rsid w:val="00793D6F"/>
    <w:rsid w:val="00794090"/>
    <w:rsid w:val="007A44F8"/>
    <w:rsid w:val="007D21BF"/>
    <w:rsid w:val="007D5A77"/>
    <w:rsid w:val="007F3C12"/>
    <w:rsid w:val="007F5205"/>
    <w:rsid w:val="008215E7"/>
    <w:rsid w:val="00830FC6"/>
    <w:rsid w:val="00850E26"/>
    <w:rsid w:val="008604E3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15E1"/>
    <w:rsid w:val="00922F1F"/>
    <w:rsid w:val="0093373C"/>
    <w:rsid w:val="009413C4"/>
    <w:rsid w:val="00960059"/>
    <w:rsid w:val="00961620"/>
    <w:rsid w:val="009734B6"/>
    <w:rsid w:val="0098096F"/>
    <w:rsid w:val="0098437A"/>
    <w:rsid w:val="00984E46"/>
    <w:rsid w:val="00986C92"/>
    <w:rsid w:val="00993C47"/>
    <w:rsid w:val="009972BC"/>
    <w:rsid w:val="009A516C"/>
    <w:rsid w:val="009B4B16"/>
    <w:rsid w:val="009E54A1"/>
    <w:rsid w:val="009F4E25"/>
    <w:rsid w:val="009F5B1F"/>
    <w:rsid w:val="00A10AD4"/>
    <w:rsid w:val="00A26FB3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06A87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04B78"/>
    <w:rsid w:val="00C07DFF"/>
    <w:rsid w:val="00C24663"/>
    <w:rsid w:val="00C432E4"/>
    <w:rsid w:val="00C64BA1"/>
    <w:rsid w:val="00C70C26"/>
    <w:rsid w:val="00C72001"/>
    <w:rsid w:val="00C772B7"/>
    <w:rsid w:val="00C80347"/>
    <w:rsid w:val="00C84C53"/>
    <w:rsid w:val="00CB0662"/>
    <w:rsid w:val="00CB7C1A"/>
    <w:rsid w:val="00CC5E08"/>
    <w:rsid w:val="00CE14FD"/>
    <w:rsid w:val="00CF24F4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35FE1"/>
    <w:rsid w:val="00E41390"/>
    <w:rsid w:val="00E41CA0"/>
    <w:rsid w:val="00E4366B"/>
    <w:rsid w:val="00E50A4A"/>
    <w:rsid w:val="00E606DE"/>
    <w:rsid w:val="00E63318"/>
    <w:rsid w:val="00E644FE"/>
    <w:rsid w:val="00E72733"/>
    <w:rsid w:val="00E742FA"/>
    <w:rsid w:val="00E76816"/>
    <w:rsid w:val="00E83DBF"/>
    <w:rsid w:val="00E87C13"/>
    <w:rsid w:val="00E94CD9"/>
    <w:rsid w:val="00EA1716"/>
    <w:rsid w:val="00EA1A76"/>
    <w:rsid w:val="00EA290B"/>
    <w:rsid w:val="00ED11C0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3788"/>
    <w:rsid w:val="00F708E3"/>
    <w:rsid w:val="00F76561"/>
    <w:rsid w:val="00F84736"/>
    <w:rsid w:val="00FC459B"/>
    <w:rsid w:val="00FC6C29"/>
    <w:rsid w:val="00FD1111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97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7AB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3F5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860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04E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60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04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97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7AB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3F5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860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04E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60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04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ps.fcc.gov/edocs_public/attachmatch/FCC-17-128A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cc.gov/consumers/guides/slamming-switching-your-authorized-telephone-company-without-permiss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cc.gov/consumers/guides/cramming-unauthorized-charges-your-phone-bil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2646</Characters>
  <Application>Microsoft Office Word</Application>
  <DocSecurity>0</DocSecurity>
  <Lines>61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2017-10-03T20:19:00Z</dcterms:created>
  <dcterms:modified xsi:type="dcterms:W3CDTF">2017-10-03T20:19:00Z</dcterms:modified>
  <cp:category> </cp:category>
  <cp:contentStatus> </cp:contentStatus>
</cp:coreProperties>
</file>