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A41840" w:rsidP="006A7D75">
            <w:pPr>
              <w:jc w:val="center"/>
              <w:rPr>
                <w:b/>
              </w:rPr>
            </w:pPr>
            <w:bookmarkStart w:id="0" w:name="_GoBack"/>
            <w:bookmarkEnd w:id="0"/>
            <w:r>
              <w:rPr>
                <w:b/>
                <w:i/>
                <w:noProof/>
                <w:sz w:val="28"/>
                <w:szCs w:val="28"/>
              </w:rPr>
              <w:drawing>
                <wp:inline distT="0" distB="0" distL="0" distR="0" wp14:anchorId="30CB7669" wp14:editId="088A7AA8">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A41840" w:rsidP="00BB4E29">
            <w:pPr>
              <w:rPr>
                <w:bCs/>
                <w:sz w:val="22"/>
                <w:szCs w:val="22"/>
              </w:rPr>
            </w:pPr>
            <w:r>
              <w:rPr>
                <w:bCs/>
                <w:sz w:val="22"/>
                <w:szCs w:val="22"/>
              </w:rPr>
              <w:t>Will Wiquist, 202-418-0509</w:t>
            </w:r>
          </w:p>
          <w:p w:rsidR="007A44F8" w:rsidRDefault="00A41840" w:rsidP="00BB4E29">
            <w:pPr>
              <w:rPr>
                <w:bCs/>
                <w:sz w:val="22"/>
                <w:szCs w:val="22"/>
              </w:rPr>
            </w:pPr>
            <w:r>
              <w:rPr>
                <w:bCs/>
                <w:sz w:val="22"/>
                <w:szCs w:val="22"/>
              </w:rPr>
              <w:t>will.wiquist</w:t>
            </w:r>
            <w:r w:rsidR="00767BA3" w:rsidRPr="00767BA3">
              <w:rPr>
                <w:bCs/>
                <w:sz w:val="22"/>
                <w:szCs w:val="22"/>
              </w:rPr>
              <w:t xml:space="preserve">@fcc.gov </w:t>
            </w:r>
          </w:p>
          <w:p w:rsidR="00767BA3" w:rsidRPr="008A3940" w:rsidRDefault="00767BA3"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E34E3F" w:rsidRPr="00B47F70" w:rsidRDefault="00E34E3F" w:rsidP="00A41840">
            <w:pPr>
              <w:widowControl w:val="0"/>
              <w:autoSpaceDE w:val="0"/>
              <w:autoSpaceDN w:val="0"/>
              <w:adjustRightInd w:val="0"/>
              <w:jc w:val="center"/>
              <w:rPr>
                <w:b/>
                <w:bCs/>
                <w:caps/>
              </w:rPr>
            </w:pPr>
            <w:r w:rsidRPr="00B47F70">
              <w:rPr>
                <w:b/>
                <w:bCs/>
                <w:caps/>
              </w:rPr>
              <w:t xml:space="preserve">FCC </w:t>
            </w:r>
            <w:r w:rsidR="00A41840" w:rsidRPr="00B47F70">
              <w:rPr>
                <w:b/>
                <w:bCs/>
                <w:caps/>
              </w:rPr>
              <w:t xml:space="preserve">ANNOUNCES TENTATIVE AGENDA FOR </w:t>
            </w:r>
            <w:r w:rsidR="00933E87">
              <w:rPr>
                <w:b/>
                <w:bCs/>
                <w:caps/>
              </w:rPr>
              <w:t>OCTOBER</w:t>
            </w:r>
            <w:r w:rsidR="00A41840" w:rsidRPr="00B47F70">
              <w:rPr>
                <w:b/>
                <w:bCs/>
                <w:caps/>
              </w:rPr>
              <w:t xml:space="preserve"> OPEN MEETING</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A41840" w:rsidRPr="00A41840" w:rsidRDefault="00FF1C0B" w:rsidP="00A41840">
            <w:pPr>
              <w:tabs>
                <w:tab w:val="left" w:pos="8640"/>
              </w:tabs>
              <w:rPr>
                <w:sz w:val="22"/>
                <w:szCs w:val="22"/>
              </w:rPr>
            </w:pPr>
            <w:r w:rsidRPr="008A3940">
              <w:rPr>
                <w:sz w:val="22"/>
                <w:szCs w:val="22"/>
              </w:rPr>
              <w:t xml:space="preserve">WASHINGTON, </w:t>
            </w:r>
            <w:r w:rsidR="00933E87">
              <w:rPr>
                <w:sz w:val="22"/>
                <w:szCs w:val="22"/>
              </w:rPr>
              <w:t>October 3</w:t>
            </w:r>
            <w:r w:rsidR="00D148D6">
              <w:rPr>
                <w:sz w:val="22"/>
                <w:szCs w:val="22"/>
              </w:rPr>
              <w:t>, 201</w:t>
            </w:r>
            <w:r w:rsidR="00A27E96">
              <w:rPr>
                <w:sz w:val="22"/>
                <w:szCs w:val="22"/>
              </w:rPr>
              <w:t>7</w:t>
            </w:r>
            <w:r w:rsidR="002B1013" w:rsidRPr="008A3940">
              <w:rPr>
                <w:sz w:val="22"/>
                <w:szCs w:val="22"/>
              </w:rPr>
              <w:t xml:space="preserve"> –</w:t>
            </w:r>
            <w:r w:rsidR="00E34E3F">
              <w:rPr>
                <w:sz w:val="22"/>
                <w:szCs w:val="22"/>
              </w:rPr>
              <w:t xml:space="preserve"> </w:t>
            </w:r>
            <w:r w:rsidR="00A41840" w:rsidRPr="00A41840">
              <w:rPr>
                <w:sz w:val="22"/>
                <w:szCs w:val="22"/>
              </w:rPr>
              <w:t xml:space="preserve">Federal Communications Commission Chairman </w:t>
            </w:r>
            <w:r w:rsidR="00A27E96">
              <w:rPr>
                <w:sz w:val="22"/>
                <w:szCs w:val="22"/>
              </w:rPr>
              <w:t xml:space="preserve">Ajit Pai </w:t>
            </w:r>
            <w:r w:rsidR="00A41840" w:rsidRPr="00A41840">
              <w:rPr>
                <w:sz w:val="22"/>
                <w:szCs w:val="22"/>
              </w:rPr>
              <w:t xml:space="preserve">announced that the following items are tentatively on the agenda for the </w:t>
            </w:r>
            <w:r w:rsidR="00933E87">
              <w:rPr>
                <w:sz w:val="22"/>
                <w:szCs w:val="22"/>
              </w:rPr>
              <w:t>October</w:t>
            </w:r>
            <w:r w:rsidR="00A41840" w:rsidRPr="00A41840">
              <w:rPr>
                <w:sz w:val="22"/>
                <w:szCs w:val="22"/>
              </w:rPr>
              <w:t xml:space="preserve"> Open Commission Meeting scheduled for </w:t>
            </w:r>
            <w:r w:rsidR="00933E87" w:rsidRPr="00933E87">
              <w:rPr>
                <w:sz w:val="22"/>
                <w:szCs w:val="22"/>
              </w:rPr>
              <w:t>Tuesday, October 24</w:t>
            </w:r>
            <w:r w:rsidR="00D148D6" w:rsidRPr="00933E87">
              <w:rPr>
                <w:sz w:val="22"/>
                <w:szCs w:val="22"/>
              </w:rPr>
              <w:t>, 201</w:t>
            </w:r>
            <w:r w:rsidR="00A27E96" w:rsidRPr="00933E87">
              <w:rPr>
                <w:sz w:val="22"/>
                <w:szCs w:val="22"/>
              </w:rPr>
              <w:t>7</w:t>
            </w:r>
            <w:r w:rsidR="00A41840" w:rsidRPr="00933E87">
              <w:rPr>
                <w:sz w:val="22"/>
                <w:szCs w:val="22"/>
              </w:rPr>
              <w:t>:</w:t>
            </w:r>
          </w:p>
          <w:p w:rsidR="00FE7B11" w:rsidRDefault="00FE7B11" w:rsidP="00FE7B11">
            <w:pPr>
              <w:tabs>
                <w:tab w:val="left" w:pos="8640"/>
              </w:tabs>
              <w:rPr>
                <w:b/>
                <w:bCs/>
                <w:sz w:val="22"/>
                <w:szCs w:val="22"/>
              </w:rPr>
            </w:pPr>
          </w:p>
          <w:p w:rsidR="00FE7B11" w:rsidRDefault="00FE7B11" w:rsidP="00FE7B11">
            <w:pPr>
              <w:tabs>
                <w:tab w:val="left" w:pos="8640"/>
              </w:tabs>
              <w:rPr>
                <w:bCs/>
                <w:sz w:val="22"/>
                <w:szCs w:val="22"/>
              </w:rPr>
            </w:pPr>
            <w:bookmarkStart w:id="1" w:name="_Hlk494787541"/>
            <w:r>
              <w:rPr>
                <w:b/>
                <w:bCs/>
                <w:sz w:val="22"/>
                <w:szCs w:val="22"/>
              </w:rPr>
              <w:t>Support for Puerto Rico and U.S. Virgin Islands</w:t>
            </w:r>
            <w:r w:rsidRPr="00EA2126">
              <w:rPr>
                <w:b/>
                <w:bCs/>
                <w:sz w:val="22"/>
                <w:szCs w:val="22"/>
              </w:rPr>
              <w:t xml:space="preserve"> </w:t>
            </w:r>
            <w:r>
              <w:rPr>
                <w:b/>
                <w:bCs/>
                <w:sz w:val="22"/>
                <w:szCs w:val="22"/>
              </w:rPr>
              <w:t xml:space="preserve">– </w:t>
            </w:r>
            <w:r w:rsidRPr="00EA2126">
              <w:rPr>
                <w:bCs/>
                <w:sz w:val="22"/>
                <w:szCs w:val="22"/>
              </w:rPr>
              <w:t>The Commission will consider an Order to clarify the use of high-cost universal service support and permit forward funding of support to aid in reconstruction of telecommunications networks damaged by Hurricane Maria in Puerto Rico and the U.S. Virgin Islands.</w:t>
            </w:r>
            <w:r w:rsidR="00A97156">
              <w:rPr>
                <w:bCs/>
                <w:sz w:val="22"/>
                <w:szCs w:val="22"/>
              </w:rPr>
              <w:t xml:space="preserve"> </w:t>
            </w:r>
            <w:r>
              <w:rPr>
                <w:bCs/>
                <w:sz w:val="22"/>
                <w:szCs w:val="22"/>
              </w:rPr>
              <w:t xml:space="preserve"> (</w:t>
            </w:r>
            <w:r w:rsidRPr="00EA2126">
              <w:rPr>
                <w:bCs/>
                <w:sz w:val="22"/>
                <w:szCs w:val="22"/>
              </w:rPr>
              <w:t>WC Docket No. 10-90</w:t>
            </w:r>
            <w:r>
              <w:rPr>
                <w:bCs/>
                <w:sz w:val="22"/>
                <w:szCs w:val="22"/>
              </w:rPr>
              <w:t>)</w:t>
            </w:r>
          </w:p>
          <w:p w:rsidR="00FE7B11" w:rsidRPr="00D43636" w:rsidRDefault="00FE7B11" w:rsidP="00FE7B11">
            <w:pPr>
              <w:tabs>
                <w:tab w:val="left" w:pos="8640"/>
              </w:tabs>
              <w:rPr>
                <w:sz w:val="22"/>
                <w:szCs w:val="22"/>
              </w:rPr>
            </w:pPr>
          </w:p>
          <w:p w:rsidR="00FE7B11" w:rsidRDefault="00FE7B11" w:rsidP="00FE7B11">
            <w:pPr>
              <w:tabs>
                <w:tab w:val="left" w:pos="8640"/>
              </w:tabs>
              <w:rPr>
                <w:sz w:val="22"/>
                <w:szCs w:val="22"/>
              </w:rPr>
            </w:pPr>
            <w:r w:rsidRPr="00730A14">
              <w:rPr>
                <w:b/>
                <w:bCs/>
                <w:sz w:val="22"/>
                <w:szCs w:val="22"/>
              </w:rPr>
              <w:t xml:space="preserve">Exemption to Calling Number Identification Service </w:t>
            </w:r>
            <w:r>
              <w:rPr>
                <w:b/>
                <w:bCs/>
                <w:sz w:val="22"/>
                <w:szCs w:val="22"/>
              </w:rPr>
              <w:t xml:space="preserve">– </w:t>
            </w:r>
            <w:r w:rsidRPr="00D43636">
              <w:rPr>
                <w:sz w:val="22"/>
                <w:szCs w:val="22"/>
              </w:rPr>
              <w:t>The Commission will consider a Report and Order that would enable law enforcement and security personnel to obtain quick access to blocked Caller ID information needed t</w:t>
            </w:r>
            <w:r w:rsidR="00A97156">
              <w:rPr>
                <w:sz w:val="22"/>
                <w:szCs w:val="22"/>
              </w:rPr>
              <w:t xml:space="preserve">o investigate threatening calls.  </w:t>
            </w:r>
            <w:r w:rsidRPr="00D43636">
              <w:rPr>
                <w:sz w:val="22"/>
                <w:szCs w:val="22"/>
              </w:rPr>
              <w:t>It also would amend the Commission’s rules to allow non-public emergency services, such as private ambulance companies, to obtain blocked Caller ID information associated with calls requesting assistance.</w:t>
            </w:r>
            <w:r w:rsidR="00A97156">
              <w:rPr>
                <w:sz w:val="22"/>
                <w:szCs w:val="22"/>
              </w:rPr>
              <w:t xml:space="preserve">  </w:t>
            </w:r>
            <w:r w:rsidRPr="00D43636">
              <w:rPr>
                <w:sz w:val="22"/>
                <w:szCs w:val="22"/>
              </w:rPr>
              <w:t>(CC Docket No. 91-281)</w:t>
            </w:r>
          </w:p>
          <w:p w:rsidR="00FE7B11" w:rsidRDefault="00FE7B11" w:rsidP="00FE7B11">
            <w:pPr>
              <w:tabs>
                <w:tab w:val="left" w:pos="8640"/>
              </w:tabs>
              <w:rPr>
                <w:bCs/>
                <w:sz w:val="22"/>
                <w:szCs w:val="22"/>
              </w:rPr>
            </w:pPr>
          </w:p>
          <w:p w:rsidR="00FE7B11" w:rsidRPr="00EA2126" w:rsidRDefault="00FE7B11" w:rsidP="00FE7B11">
            <w:pPr>
              <w:tabs>
                <w:tab w:val="left" w:pos="8640"/>
              </w:tabs>
              <w:rPr>
                <w:bCs/>
                <w:sz w:val="22"/>
                <w:szCs w:val="22"/>
              </w:rPr>
            </w:pPr>
            <w:r w:rsidRPr="00EA2126">
              <w:rPr>
                <w:b/>
                <w:bCs/>
                <w:sz w:val="22"/>
                <w:szCs w:val="22"/>
              </w:rPr>
              <w:t xml:space="preserve">Nationwide Number Portability </w:t>
            </w:r>
            <w:r>
              <w:rPr>
                <w:b/>
                <w:bCs/>
                <w:sz w:val="22"/>
                <w:szCs w:val="22"/>
              </w:rPr>
              <w:t xml:space="preserve">– </w:t>
            </w:r>
            <w:r w:rsidRPr="00EA2126">
              <w:rPr>
                <w:bCs/>
                <w:sz w:val="22"/>
                <w:szCs w:val="22"/>
              </w:rPr>
              <w:t>The Commission will consider a Notice of Proposed Rulemaking and Notice of Inquiry that proposes to amend the Commission’s rules as well as seeks comment on industry models to move toward complete nationwide number portability to promote competition between all service providers and increase network routing efficiencies.</w:t>
            </w:r>
            <w:r>
              <w:rPr>
                <w:bCs/>
                <w:sz w:val="22"/>
                <w:szCs w:val="22"/>
              </w:rPr>
              <w:t xml:space="preserve">  </w:t>
            </w:r>
            <w:r w:rsidRPr="00EA2126">
              <w:rPr>
                <w:bCs/>
                <w:sz w:val="22"/>
                <w:szCs w:val="22"/>
              </w:rPr>
              <w:t>(WC Docket N</w:t>
            </w:r>
            <w:r>
              <w:rPr>
                <w:bCs/>
                <w:sz w:val="22"/>
                <w:szCs w:val="22"/>
              </w:rPr>
              <w:t>o. 17-244; WC Docket No. 13-97)</w:t>
            </w:r>
          </w:p>
          <w:p w:rsidR="00FE7B11" w:rsidRDefault="00FE7B11" w:rsidP="00FE7B11">
            <w:pPr>
              <w:tabs>
                <w:tab w:val="left" w:pos="8640"/>
              </w:tabs>
              <w:rPr>
                <w:b/>
                <w:bCs/>
                <w:sz w:val="22"/>
                <w:szCs w:val="22"/>
              </w:rPr>
            </w:pPr>
          </w:p>
          <w:p w:rsidR="00875893" w:rsidRPr="00875893" w:rsidRDefault="00875893" w:rsidP="00875893">
            <w:pPr>
              <w:tabs>
                <w:tab w:val="left" w:pos="8640"/>
              </w:tabs>
              <w:rPr>
                <w:b/>
                <w:bCs/>
                <w:sz w:val="22"/>
                <w:szCs w:val="22"/>
              </w:rPr>
            </w:pPr>
            <w:bookmarkStart w:id="2" w:name="_Hlk494800060"/>
            <w:r w:rsidRPr="00875893">
              <w:rPr>
                <w:b/>
                <w:bCs/>
                <w:sz w:val="22"/>
                <w:szCs w:val="22"/>
              </w:rPr>
              <w:t xml:space="preserve">Promoting Investment in the 3550-3700 MHz Band – </w:t>
            </w:r>
            <w:r w:rsidRPr="00875893">
              <w:rPr>
                <w:bCs/>
                <w:sz w:val="22"/>
                <w:szCs w:val="22"/>
              </w:rPr>
              <w:t>The Commission will consider a Notice of Proposed Rulemaking that would seek comment and propose changes to the Priority Access License rules in the 3550-3700 MHz (3.5 GHz) band to increase incentives for investment, encourage more efficient spectrum use, and promote faster and more widespread network deployments.  (GN Docket No. 17-258)</w:t>
            </w:r>
          </w:p>
          <w:p w:rsidR="00FE7B11" w:rsidRDefault="00FE7B11" w:rsidP="00FE7B11">
            <w:pPr>
              <w:tabs>
                <w:tab w:val="left" w:pos="8640"/>
              </w:tabs>
              <w:rPr>
                <w:sz w:val="22"/>
                <w:szCs w:val="22"/>
              </w:rPr>
            </w:pPr>
          </w:p>
          <w:p w:rsidR="00FE7B11" w:rsidRPr="00D43636" w:rsidRDefault="00FE7B11" w:rsidP="00FE7B11">
            <w:pPr>
              <w:tabs>
                <w:tab w:val="left" w:pos="8640"/>
              </w:tabs>
              <w:rPr>
                <w:sz w:val="22"/>
                <w:szCs w:val="22"/>
              </w:rPr>
            </w:pPr>
            <w:r w:rsidRPr="00D43636">
              <w:rPr>
                <w:b/>
                <w:sz w:val="22"/>
                <w:szCs w:val="22"/>
              </w:rPr>
              <w:t>Hearing Aid Compatibility and Volume Control</w:t>
            </w:r>
            <w:r>
              <w:rPr>
                <w:sz w:val="22"/>
                <w:szCs w:val="22"/>
              </w:rPr>
              <w:t xml:space="preserve"> – </w:t>
            </w:r>
            <w:r w:rsidRPr="00D43636">
              <w:rPr>
                <w:sz w:val="22"/>
                <w:szCs w:val="22"/>
              </w:rPr>
              <w:t>The Commission will consider a Report and Order and Order on Reconsideration on hearing aid compatibility (HAC) that would update the volume control standard for wireline telephones, extend wireline HAC requirements to cover telephones used with advanced communications services, adopt a volume control rule for wireless handsets, and delete from the Commission’s rules an obsolete wireless HAC standard.</w:t>
            </w:r>
            <w:r w:rsidR="00A97156">
              <w:rPr>
                <w:sz w:val="22"/>
                <w:szCs w:val="22"/>
              </w:rPr>
              <w:t xml:space="preserve"> </w:t>
            </w:r>
            <w:r w:rsidRPr="00D43636">
              <w:rPr>
                <w:sz w:val="22"/>
                <w:szCs w:val="22"/>
              </w:rPr>
              <w:t xml:space="preserve"> (CG Docket No. 13-46, WT Docket Nos. 07-250, 10-254)</w:t>
            </w:r>
          </w:p>
          <w:p w:rsidR="00FE7B11" w:rsidRDefault="00FE7B11" w:rsidP="00A41840">
            <w:pPr>
              <w:tabs>
                <w:tab w:val="left" w:pos="8640"/>
              </w:tabs>
              <w:rPr>
                <w:b/>
                <w:bCs/>
                <w:sz w:val="22"/>
                <w:szCs w:val="22"/>
              </w:rPr>
            </w:pPr>
          </w:p>
          <w:p w:rsidR="0067024B" w:rsidRPr="0067024B" w:rsidRDefault="0067024B" w:rsidP="0067024B">
            <w:pPr>
              <w:tabs>
                <w:tab w:val="left" w:pos="8640"/>
              </w:tabs>
              <w:rPr>
                <w:b/>
                <w:bCs/>
                <w:sz w:val="22"/>
                <w:szCs w:val="22"/>
              </w:rPr>
            </w:pPr>
            <w:r w:rsidRPr="0067024B">
              <w:rPr>
                <w:b/>
                <w:bCs/>
                <w:sz w:val="22"/>
                <w:szCs w:val="22"/>
              </w:rPr>
              <w:t xml:space="preserve">Part 43 Reporting Requirements for U.S. Providers of International Services – </w:t>
            </w:r>
            <w:r w:rsidRPr="0067024B">
              <w:rPr>
                <w:bCs/>
                <w:sz w:val="22"/>
                <w:szCs w:val="22"/>
              </w:rPr>
              <w:t xml:space="preserve">The </w:t>
            </w:r>
            <w:r w:rsidRPr="0067024B">
              <w:rPr>
                <w:bCs/>
                <w:sz w:val="22"/>
                <w:szCs w:val="22"/>
              </w:rPr>
              <w:lastRenderedPageBreak/>
              <w:t>Commission will consider a Report and Order that would: (1) eliminate the Traffic and Revenue Reports and (2) streamline the Circuit Capacity Reports.  (IB Docket Nos. 17-55 and 16-131)</w:t>
            </w:r>
          </w:p>
          <w:p w:rsidR="00FE7B11" w:rsidRDefault="00FE7B11" w:rsidP="00A41840">
            <w:pPr>
              <w:tabs>
                <w:tab w:val="left" w:pos="8640"/>
              </w:tabs>
              <w:rPr>
                <w:b/>
                <w:bCs/>
                <w:sz w:val="22"/>
                <w:szCs w:val="22"/>
              </w:rPr>
            </w:pPr>
          </w:p>
          <w:bookmarkEnd w:id="1"/>
          <w:p w:rsidR="00496EC9" w:rsidRPr="00496EC9" w:rsidRDefault="00496EC9" w:rsidP="00496EC9">
            <w:pPr>
              <w:tabs>
                <w:tab w:val="left" w:pos="8640"/>
              </w:tabs>
              <w:rPr>
                <w:b/>
                <w:bCs/>
                <w:sz w:val="22"/>
                <w:szCs w:val="22"/>
              </w:rPr>
            </w:pPr>
            <w:r w:rsidRPr="00496EC9">
              <w:rPr>
                <w:b/>
                <w:bCs/>
                <w:sz w:val="22"/>
                <w:szCs w:val="22"/>
              </w:rPr>
              <w:t xml:space="preserve">Elimination of Main Studio Rule – </w:t>
            </w:r>
            <w:r w:rsidRPr="00496EC9">
              <w:rPr>
                <w:bCs/>
                <w:sz w:val="22"/>
                <w:szCs w:val="22"/>
              </w:rPr>
              <w:t>The Commission will consider a Report and Order eliminating the rule that requires each AM, FM, and television broadcast station to maintain a main studio located in or near its community of license.  (MB Docket No. 17-106)</w:t>
            </w:r>
          </w:p>
          <w:p w:rsidR="00496EC9" w:rsidRPr="00496EC9" w:rsidRDefault="00496EC9" w:rsidP="00496EC9">
            <w:pPr>
              <w:tabs>
                <w:tab w:val="left" w:pos="8640"/>
              </w:tabs>
              <w:rPr>
                <w:b/>
                <w:bCs/>
                <w:sz w:val="22"/>
                <w:szCs w:val="22"/>
              </w:rPr>
            </w:pPr>
          </w:p>
          <w:p w:rsidR="00875893" w:rsidRPr="00875893" w:rsidRDefault="00875893" w:rsidP="00875893">
            <w:pPr>
              <w:tabs>
                <w:tab w:val="left" w:pos="8640"/>
              </w:tabs>
              <w:rPr>
                <w:b/>
                <w:bCs/>
                <w:sz w:val="22"/>
                <w:szCs w:val="22"/>
              </w:rPr>
            </w:pPr>
            <w:r w:rsidRPr="00875893">
              <w:rPr>
                <w:b/>
                <w:bCs/>
                <w:sz w:val="22"/>
                <w:szCs w:val="22"/>
              </w:rPr>
              <w:t xml:space="preserve">Updates to Rules Governing Ancillary/Supplementary Services and Broadcast Public Notices – </w:t>
            </w:r>
            <w:r w:rsidRPr="00875893">
              <w:rPr>
                <w:bCs/>
                <w:sz w:val="22"/>
                <w:szCs w:val="22"/>
              </w:rPr>
              <w:t>The Commission will consider a Notice of Proposed Rulemaking that seeks comment on updates to Section 73.624(g) of its rules, which imposes certain reporting obligations for broadcasters relating to the provision of ancillary or supplementary services, and Section 73.3580, which requires public notice of the filing of broadcast applications, including through newspapers.  (MB Docket Nos. 17-264, 17-105)</w:t>
            </w:r>
          </w:p>
          <w:bookmarkEnd w:id="2"/>
          <w:p w:rsidR="00EA2126" w:rsidRPr="00A41840" w:rsidRDefault="00496EC9" w:rsidP="00496EC9">
            <w:pPr>
              <w:tabs>
                <w:tab w:val="left" w:pos="8640"/>
              </w:tabs>
              <w:rPr>
                <w:sz w:val="22"/>
                <w:szCs w:val="22"/>
              </w:rPr>
            </w:pPr>
            <w:r w:rsidRPr="00496EC9">
              <w:rPr>
                <w:b/>
                <w:bCs/>
                <w:sz w:val="22"/>
                <w:szCs w:val="22"/>
              </w:rPr>
              <w:t xml:space="preserve"> </w:t>
            </w:r>
          </w:p>
          <w:p w:rsidR="00933E87" w:rsidRDefault="00933E87" w:rsidP="00933E87">
            <w:pPr>
              <w:tabs>
                <w:tab w:val="left" w:pos="8640"/>
              </w:tabs>
              <w:rPr>
                <w:bCs/>
                <w:sz w:val="22"/>
                <w:szCs w:val="22"/>
              </w:rPr>
            </w:pPr>
          </w:p>
          <w:p w:rsidR="00933E87" w:rsidRDefault="00933E87" w:rsidP="00933E87">
            <w:pPr>
              <w:tabs>
                <w:tab w:val="left" w:pos="8640"/>
              </w:tabs>
            </w:pPr>
            <w:r>
              <w:rPr>
                <w:bCs/>
                <w:sz w:val="22"/>
                <w:szCs w:val="22"/>
              </w:rPr>
              <w:t>Public Drafts of Meeting Items – Continuing the Chairman’s pilot program, the FCC is publicly releasing the draft text of each item expected to be considered at the next Open Commission Meeting</w:t>
            </w:r>
            <w:r w:rsidR="0067024B">
              <w:rPr>
                <w:bCs/>
                <w:sz w:val="22"/>
                <w:szCs w:val="22"/>
              </w:rPr>
              <w:t xml:space="preserve">.  </w:t>
            </w:r>
            <w:r>
              <w:rPr>
                <w:bCs/>
                <w:sz w:val="22"/>
                <w:szCs w:val="22"/>
              </w:rPr>
              <w:t xml:space="preserve">One-page cover sheets are included in the public drafts to help summarize each item.  All these materials will be available on the event page for the Open Meeting: </w:t>
            </w:r>
            <w:hyperlink r:id="rId9" w:history="1">
              <w:r>
                <w:rPr>
                  <w:rStyle w:val="Hyperlink"/>
                  <w:sz w:val="22"/>
                  <w:szCs w:val="22"/>
                </w:rPr>
                <w:t>https://go.usa.gov/xX5Qn</w:t>
              </w:r>
            </w:hyperlink>
          </w:p>
          <w:p w:rsidR="00933E87" w:rsidRDefault="00933E87" w:rsidP="00933E87">
            <w:pPr>
              <w:tabs>
                <w:tab w:val="left" w:pos="8640"/>
              </w:tabs>
              <w:rPr>
                <w:sz w:val="22"/>
                <w:szCs w:val="22"/>
              </w:rPr>
            </w:pPr>
          </w:p>
          <w:p w:rsidR="00933E87" w:rsidRDefault="00933E87" w:rsidP="00933E87">
            <w:pPr>
              <w:tabs>
                <w:tab w:val="left" w:pos="8640"/>
              </w:tabs>
              <w:rPr>
                <w:sz w:val="22"/>
                <w:szCs w:val="22"/>
              </w:rPr>
            </w:pPr>
            <w:r>
              <w:rPr>
                <w:sz w:val="22"/>
                <w:szCs w:val="22"/>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Open Meetings are streamed live at </w:t>
            </w:r>
            <w:hyperlink r:id="rId10" w:history="1">
              <w:r>
                <w:rPr>
                  <w:rStyle w:val="Hyperlink"/>
                  <w:sz w:val="22"/>
                  <w:szCs w:val="22"/>
                </w:rPr>
                <w:t>www.fcc.gov/live</w:t>
              </w:r>
            </w:hyperlink>
            <w:r>
              <w:rPr>
                <w:sz w:val="22"/>
                <w:szCs w:val="22"/>
              </w:rPr>
              <w:t xml:space="preserve"> and can be followed on social media with #OpenMtgFCC.</w:t>
            </w:r>
          </w:p>
          <w:p w:rsidR="00933E87" w:rsidRDefault="00933E87" w:rsidP="00933E87">
            <w:pPr>
              <w:tabs>
                <w:tab w:val="left" w:pos="8640"/>
              </w:tabs>
              <w:rPr>
                <w:sz w:val="22"/>
                <w:szCs w:val="22"/>
              </w:rPr>
            </w:pPr>
          </w:p>
          <w:p w:rsidR="002819BC" w:rsidRPr="00933E87" w:rsidRDefault="00933E87" w:rsidP="00933E87">
            <w:pPr>
              <w:jc w:val="both"/>
              <w:rPr>
                <w:rStyle w:val="Hyperlink"/>
                <w:color w:val="auto"/>
                <w:u w:val="none"/>
              </w:rPr>
            </w:pPr>
            <w:r>
              <w:rPr>
                <w:sz w:val="22"/>
                <w:szCs w:val="22"/>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p>
          <w:p w:rsidR="00BD19E8" w:rsidRPr="008A3940" w:rsidRDefault="00BD19E8" w:rsidP="00E349AA">
            <w:pPr>
              <w:jc w:val="both"/>
              <w:rPr>
                <w:rStyle w:val="Hyperlink"/>
                <w:sz w:val="22"/>
                <w:szCs w:val="22"/>
              </w:rPr>
            </w:pPr>
          </w:p>
          <w:p w:rsidR="004F0F1F" w:rsidRPr="008A3940" w:rsidRDefault="00F708E3" w:rsidP="00B47F70">
            <w:pPr>
              <w:ind w:right="72"/>
              <w:jc w:val="center"/>
              <w:rPr>
                <w:sz w:val="22"/>
                <w:szCs w:val="22"/>
              </w:rPr>
            </w:pPr>
            <w:r w:rsidRPr="008A3940">
              <w:rPr>
                <w:sz w:val="22"/>
                <w:szCs w:val="22"/>
              </w:rPr>
              <w:t>###</w:t>
            </w:r>
          </w:p>
          <w:p w:rsidR="00E644FE" w:rsidRPr="006B0A70" w:rsidRDefault="00E644FE" w:rsidP="00B47F70">
            <w:pPr>
              <w:ind w:right="72"/>
              <w:jc w:val="center"/>
              <w:rPr>
                <w:b/>
                <w:bCs/>
                <w:sz w:val="18"/>
                <w:szCs w:val="18"/>
              </w:rPr>
            </w:pPr>
            <w:r w:rsidRPr="006B0A70">
              <w:rPr>
                <w:b/>
                <w:bCs/>
                <w:sz w:val="32"/>
                <w:szCs w:val="32"/>
              </w:rPr>
              <w:br/>
            </w:r>
            <w:r w:rsidRPr="006B0A70">
              <w:rPr>
                <w:b/>
                <w:bCs/>
                <w:sz w:val="18"/>
                <w:szCs w:val="18"/>
              </w:rPr>
              <w:t>Office of Media Relations: 202.418.0500</w:t>
            </w:r>
          </w:p>
          <w:p w:rsidR="002819BC" w:rsidRDefault="002819BC" w:rsidP="00B47F70">
            <w:pPr>
              <w:ind w:right="72"/>
              <w:jc w:val="center"/>
              <w:rPr>
                <w:b/>
                <w:bCs/>
                <w:sz w:val="18"/>
                <w:szCs w:val="18"/>
              </w:rPr>
            </w:pPr>
            <w:r>
              <w:rPr>
                <w:b/>
                <w:bCs/>
                <w:sz w:val="18"/>
                <w:szCs w:val="18"/>
              </w:rPr>
              <w:t xml:space="preserve">ASL Videophone: </w:t>
            </w:r>
            <w:r w:rsidRPr="00D9464F">
              <w:rPr>
                <w:b/>
                <w:bCs/>
                <w:sz w:val="18"/>
                <w:szCs w:val="18"/>
              </w:rPr>
              <w:t>844-432-2275</w:t>
            </w:r>
          </w:p>
          <w:p w:rsidR="002819BC" w:rsidRDefault="002819BC" w:rsidP="00B47F70">
            <w:pPr>
              <w:ind w:right="72"/>
              <w:jc w:val="center"/>
              <w:rPr>
                <w:b/>
                <w:bCs/>
                <w:sz w:val="18"/>
                <w:szCs w:val="18"/>
              </w:rPr>
            </w:pPr>
            <w:r>
              <w:rPr>
                <w:b/>
                <w:bCs/>
                <w:sz w:val="18"/>
                <w:szCs w:val="18"/>
              </w:rPr>
              <w:t>Twitter: @FCC</w:t>
            </w:r>
          </w:p>
          <w:p w:rsidR="002819BC" w:rsidRDefault="002819BC" w:rsidP="00B47F70">
            <w:pPr>
              <w:ind w:right="72"/>
              <w:jc w:val="center"/>
              <w:rPr>
                <w:b/>
                <w:bCs/>
                <w:sz w:val="18"/>
                <w:szCs w:val="18"/>
              </w:rPr>
            </w:pPr>
            <w:r>
              <w:rPr>
                <w:b/>
                <w:bCs/>
                <w:sz w:val="18"/>
                <w:szCs w:val="18"/>
              </w:rPr>
              <w:t>#OpenMtgFCC</w:t>
            </w:r>
          </w:p>
          <w:p w:rsidR="002819BC" w:rsidRPr="00EE0E90" w:rsidRDefault="002819BC" w:rsidP="00B47F70">
            <w:pPr>
              <w:ind w:right="72"/>
              <w:jc w:val="center"/>
              <w:rPr>
                <w:b/>
                <w:bCs/>
                <w:sz w:val="18"/>
                <w:szCs w:val="18"/>
              </w:rPr>
            </w:pPr>
            <w:r w:rsidRPr="007B3A48">
              <w:rPr>
                <w:b/>
                <w:bCs/>
                <w:sz w:val="18"/>
                <w:szCs w:val="18"/>
              </w:rPr>
              <w:t>www.fcc.gov/office-media-relations</w:t>
            </w:r>
          </w:p>
          <w:p w:rsidR="00EE0E90" w:rsidRDefault="00EE0E90" w:rsidP="00B47F70">
            <w:pPr>
              <w:ind w:right="72"/>
              <w:jc w:val="center"/>
              <w:rPr>
                <w:b/>
                <w:bCs/>
                <w:sz w:val="18"/>
                <w:szCs w:val="18"/>
              </w:rPr>
            </w:pPr>
          </w:p>
          <w:p w:rsidR="00EE0E90" w:rsidRPr="00986C92" w:rsidRDefault="00EE0E90" w:rsidP="00B47F70">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RDefault="00EE0E90" w:rsidP="00142C13">
            <w:pPr>
              <w:ind w:left="360" w:right="498"/>
              <w:jc w:val="center"/>
              <w:rPr>
                <w:b/>
                <w:bCs/>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9D3" w:rsidRDefault="00CA49D3" w:rsidP="008C225C">
      <w:r>
        <w:separator/>
      </w:r>
    </w:p>
  </w:endnote>
  <w:endnote w:type="continuationSeparator" w:id="0">
    <w:p w:rsidR="00CA49D3" w:rsidRDefault="00CA49D3" w:rsidP="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3E" w:rsidRDefault="002B1D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3E" w:rsidRDefault="002B1D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3E" w:rsidRDefault="002B1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9D3" w:rsidRDefault="00CA49D3" w:rsidP="008C225C">
      <w:r>
        <w:separator/>
      </w:r>
    </w:p>
  </w:footnote>
  <w:footnote w:type="continuationSeparator" w:id="0">
    <w:p w:rsidR="00CA49D3" w:rsidRDefault="00CA49D3" w:rsidP="008C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3E" w:rsidRDefault="002B1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3E" w:rsidRDefault="002B1D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3E" w:rsidRDefault="002B1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DD343A9"/>
    <w:multiLevelType w:val="hybridMultilevel"/>
    <w:tmpl w:val="AF607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D3"/>
    <w:rsid w:val="0002500C"/>
    <w:rsid w:val="000311FC"/>
    <w:rsid w:val="00081232"/>
    <w:rsid w:val="00091E65"/>
    <w:rsid w:val="00096D4A"/>
    <w:rsid w:val="000A38EA"/>
    <w:rsid w:val="000A56AE"/>
    <w:rsid w:val="000C1E47"/>
    <w:rsid w:val="000C26F3"/>
    <w:rsid w:val="0010799B"/>
    <w:rsid w:val="00117DB2"/>
    <w:rsid w:val="00123ED2"/>
    <w:rsid w:val="00125BE0"/>
    <w:rsid w:val="00142384"/>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19BC"/>
    <w:rsid w:val="00294C0C"/>
    <w:rsid w:val="002A0934"/>
    <w:rsid w:val="002B1013"/>
    <w:rsid w:val="002B1D3E"/>
    <w:rsid w:val="002D03E5"/>
    <w:rsid w:val="002E3F1D"/>
    <w:rsid w:val="002F31D0"/>
    <w:rsid w:val="00300359"/>
    <w:rsid w:val="0031773E"/>
    <w:rsid w:val="00347716"/>
    <w:rsid w:val="003506E1"/>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6EC9"/>
    <w:rsid w:val="00497858"/>
    <w:rsid w:val="004B4FEA"/>
    <w:rsid w:val="004C0ADA"/>
    <w:rsid w:val="004C433E"/>
    <w:rsid w:val="004C4512"/>
    <w:rsid w:val="004C4F36"/>
    <w:rsid w:val="004D3D85"/>
    <w:rsid w:val="004E2BD8"/>
    <w:rsid w:val="004F0F1F"/>
    <w:rsid w:val="005022AA"/>
    <w:rsid w:val="00504845"/>
    <w:rsid w:val="0050757F"/>
    <w:rsid w:val="00516AD2"/>
    <w:rsid w:val="00533F9F"/>
    <w:rsid w:val="00545DAE"/>
    <w:rsid w:val="00565823"/>
    <w:rsid w:val="00571B83"/>
    <w:rsid w:val="00575A00"/>
    <w:rsid w:val="0058673C"/>
    <w:rsid w:val="005A7407"/>
    <w:rsid w:val="005A7972"/>
    <w:rsid w:val="005B17E7"/>
    <w:rsid w:val="005B2643"/>
    <w:rsid w:val="005B578D"/>
    <w:rsid w:val="005D17FD"/>
    <w:rsid w:val="005D315A"/>
    <w:rsid w:val="005F0D55"/>
    <w:rsid w:val="005F183E"/>
    <w:rsid w:val="00600DDA"/>
    <w:rsid w:val="00604211"/>
    <w:rsid w:val="00613498"/>
    <w:rsid w:val="00617B94"/>
    <w:rsid w:val="00620BED"/>
    <w:rsid w:val="006415B4"/>
    <w:rsid w:val="00644E3D"/>
    <w:rsid w:val="00651B9E"/>
    <w:rsid w:val="00652019"/>
    <w:rsid w:val="00653A2D"/>
    <w:rsid w:val="00657EC9"/>
    <w:rsid w:val="00665633"/>
    <w:rsid w:val="0067024B"/>
    <w:rsid w:val="00674C86"/>
    <w:rsid w:val="0068015E"/>
    <w:rsid w:val="006861AB"/>
    <w:rsid w:val="00686B89"/>
    <w:rsid w:val="0069430C"/>
    <w:rsid w:val="00694685"/>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67BA3"/>
    <w:rsid w:val="007732CC"/>
    <w:rsid w:val="00774079"/>
    <w:rsid w:val="0077752B"/>
    <w:rsid w:val="00793D6F"/>
    <w:rsid w:val="00794090"/>
    <w:rsid w:val="007A44F8"/>
    <w:rsid w:val="007D21BF"/>
    <w:rsid w:val="007F3C12"/>
    <w:rsid w:val="007F5205"/>
    <w:rsid w:val="00805560"/>
    <w:rsid w:val="008215E7"/>
    <w:rsid w:val="00830FC6"/>
    <w:rsid w:val="00865EAA"/>
    <w:rsid w:val="008728F5"/>
    <w:rsid w:val="00875893"/>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22D85"/>
    <w:rsid w:val="00933E87"/>
    <w:rsid w:val="00961620"/>
    <w:rsid w:val="009734B6"/>
    <w:rsid w:val="0098096F"/>
    <w:rsid w:val="0098437A"/>
    <w:rsid w:val="00986C92"/>
    <w:rsid w:val="00993C47"/>
    <w:rsid w:val="009A5E3A"/>
    <w:rsid w:val="009B4B16"/>
    <w:rsid w:val="009B4B73"/>
    <w:rsid w:val="009C7723"/>
    <w:rsid w:val="009E54A1"/>
    <w:rsid w:val="009F4E25"/>
    <w:rsid w:val="009F5B1F"/>
    <w:rsid w:val="00A27E96"/>
    <w:rsid w:val="00A35DFD"/>
    <w:rsid w:val="00A41840"/>
    <w:rsid w:val="00A702DF"/>
    <w:rsid w:val="00A775A3"/>
    <w:rsid w:val="00A81B5B"/>
    <w:rsid w:val="00A82FAD"/>
    <w:rsid w:val="00A9673A"/>
    <w:rsid w:val="00A96EF2"/>
    <w:rsid w:val="00A97156"/>
    <w:rsid w:val="00AA3AB9"/>
    <w:rsid w:val="00AA5C35"/>
    <w:rsid w:val="00AA5ED9"/>
    <w:rsid w:val="00AC4E0E"/>
    <w:rsid w:val="00AC517B"/>
    <w:rsid w:val="00AD55A7"/>
    <w:rsid w:val="00AE4A3A"/>
    <w:rsid w:val="00AF051B"/>
    <w:rsid w:val="00B037A2"/>
    <w:rsid w:val="00B31870"/>
    <w:rsid w:val="00B35EE2"/>
    <w:rsid w:val="00B36DEF"/>
    <w:rsid w:val="00B47F70"/>
    <w:rsid w:val="00B57131"/>
    <w:rsid w:val="00B62F2C"/>
    <w:rsid w:val="00B727C9"/>
    <w:rsid w:val="00B735C8"/>
    <w:rsid w:val="00B76A63"/>
    <w:rsid w:val="00BA6350"/>
    <w:rsid w:val="00BB4E29"/>
    <w:rsid w:val="00BB74C9"/>
    <w:rsid w:val="00BC3AB6"/>
    <w:rsid w:val="00BD19E8"/>
    <w:rsid w:val="00BD4273"/>
    <w:rsid w:val="00C26DBB"/>
    <w:rsid w:val="00C432E4"/>
    <w:rsid w:val="00C70C26"/>
    <w:rsid w:val="00C72001"/>
    <w:rsid w:val="00C772B7"/>
    <w:rsid w:val="00C80347"/>
    <w:rsid w:val="00CA49D3"/>
    <w:rsid w:val="00CB7C1A"/>
    <w:rsid w:val="00CC5E08"/>
    <w:rsid w:val="00CF6860"/>
    <w:rsid w:val="00D02AC6"/>
    <w:rsid w:val="00D03F0C"/>
    <w:rsid w:val="00D04312"/>
    <w:rsid w:val="00D148D6"/>
    <w:rsid w:val="00D16A7F"/>
    <w:rsid w:val="00D16AD2"/>
    <w:rsid w:val="00D22596"/>
    <w:rsid w:val="00D22691"/>
    <w:rsid w:val="00D24C3D"/>
    <w:rsid w:val="00D43636"/>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126"/>
    <w:rsid w:val="00EA290B"/>
    <w:rsid w:val="00EC0573"/>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E7B11"/>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2B1D3E"/>
    <w:rPr>
      <w:rFonts w:ascii="Tahoma" w:hAnsi="Tahoma" w:cs="Tahoma"/>
      <w:sz w:val="16"/>
      <w:szCs w:val="16"/>
    </w:rPr>
  </w:style>
  <w:style w:type="character" w:customStyle="1" w:styleId="BalloonTextChar">
    <w:name w:val="Balloon Text Char"/>
    <w:basedOn w:val="DefaultParagraphFont"/>
    <w:link w:val="BalloonText"/>
    <w:semiHidden/>
    <w:rsid w:val="002B1D3E"/>
    <w:rPr>
      <w:rFonts w:ascii="Tahoma" w:hAnsi="Tahoma" w:cs="Tahoma"/>
      <w:sz w:val="16"/>
      <w:szCs w:val="16"/>
    </w:rPr>
  </w:style>
  <w:style w:type="paragraph" w:styleId="Header">
    <w:name w:val="header"/>
    <w:basedOn w:val="Normal"/>
    <w:link w:val="HeaderChar"/>
    <w:unhideWhenUsed/>
    <w:rsid w:val="002B1D3E"/>
    <w:pPr>
      <w:tabs>
        <w:tab w:val="center" w:pos="4680"/>
        <w:tab w:val="right" w:pos="9360"/>
      </w:tabs>
    </w:pPr>
  </w:style>
  <w:style w:type="character" w:customStyle="1" w:styleId="HeaderChar">
    <w:name w:val="Header Char"/>
    <w:basedOn w:val="DefaultParagraphFont"/>
    <w:link w:val="Header"/>
    <w:rsid w:val="002B1D3E"/>
    <w:rPr>
      <w:sz w:val="24"/>
      <w:szCs w:val="24"/>
    </w:rPr>
  </w:style>
  <w:style w:type="paragraph" w:styleId="Footer">
    <w:name w:val="footer"/>
    <w:basedOn w:val="Normal"/>
    <w:link w:val="FooterChar"/>
    <w:unhideWhenUsed/>
    <w:rsid w:val="002B1D3E"/>
    <w:pPr>
      <w:tabs>
        <w:tab w:val="center" w:pos="4680"/>
        <w:tab w:val="right" w:pos="9360"/>
      </w:tabs>
    </w:pPr>
  </w:style>
  <w:style w:type="character" w:customStyle="1" w:styleId="FooterChar">
    <w:name w:val="Footer Char"/>
    <w:basedOn w:val="DefaultParagraphFont"/>
    <w:link w:val="Footer"/>
    <w:rsid w:val="002B1D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2B1D3E"/>
    <w:rPr>
      <w:rFonts w:ascii="Tahoma" w:hAnsi="Tahoma" w:cs="Tahoma"/>
      <w:sz w:val="16"/>
      <w:szCs w:val="16"/>
    </w:rPr>
  </w:style>
  <w:style w:type="character" w:customStyle="1" w:styleId="BalloonTextChar">
    <w:name w:val="Balloon Text Char"/>
    <w:basedOn w:val="DefaultParagraphFont"/>
    <w:link w:val="BalloonText"/>
    <w:semiHidden/>
    <w:rsid w:val="002B1D3E"/>
    <w:rPr>
      <w:rFonts w:ascii="Tahoma" w:hAnsi="Tahoma" w:cs="Tahoma"/>
      <w:sz w:val="16"/>
      <w:szCs w:val="16"/>
    </w:rPr>
  </w:style>
  <w:style w:type="paragraph" w:styleId="Header">
    <w:name w:val="header"/>
    <w:basedOn w:val="Normal"/>
    <w:link w:val="HeaderChar"/>
    <w:unhideWhenUsed/>
    <w:rsid w:val="002B1D3E"/>
    <w:pPr>
      <w:tabs>
        <w:tab w:val="center" w:pos="4680"/>
        <w:tab w:val="right" w:pos="9360"/>
      </w:tabs>
    </w:pPr>
  </w:style>
  <w:style w:type="character" w:customStyle="1" w:styleId="HeaderChar">
    <w:name w:val="Header Char"/>
    <w:basedOn w:val="DefaultParagraphFont"/>
    <w:link w:val="Header"/>
    <w:rsid w:val="002B1D3E"/>
    <w:rPr>
      <w:sz w:val="24"/>
      <w:szCs w:val="24"/>
    </w:rPr>
  </w:style>
  <w:style w:type="paragraph" w:styleId="Footer">
    <w:name w:val="footer"/>
    <w:basedOn w:val="Normal"/>
    <w:link w:val="FooterChar"/>
    <w:unhideWhenUsed/>
    <w:rsid w:val="002B1D3E"/>
    <w:pPr>
      <w:tabs>
        <w:tab w:val="center" w:pos="4680"/>
        <w:tab w:val="right" w:pos="9360"/>
      </w:tabs>
    </w:pPr>
  </w:style>
  <w:style w:type="character" w:customStyle="1" w:styleId="FooterChar">
    <w:name w:val="Footer Char"/>
    <w:basedOn w:val="DefaultParagraphFont"/>
    <w:link w:val="Footer"/>
    <w:rsid w:val="002B1D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068">
      <w:bodyDiv w:val="1"/>
      <w:marLeft w:val="0"/>
      <w:marRight w:val="0"/>
      <w:marTop w:val="0"/>
      <w:marBottom w:val="0"/>
      <w:divBdr>
        <w:top w:val="none" w:sz="0" w:space="0" w:color="auto"/>
        <w:left w:val="none" w:sz="0" w:space="0" w:color="auto"/>
        <w:bottom w:val="none" w:sz="0" w:space="0" w:color="auto"/>
        <w:right w:val="none" w:sz="0" w:space="0" w:color="auto"/>
      </w:divBdr>
    </w:div>
    <w:div w:id="79329047">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51123">
      <w:bodyDiv w:val="1"/>
      <w:marLeft w:val="0"/>
      <w:marRight w:val="0"/>
      <w:marTop w:val="0"/>
      <w:marBottom w:val="0"/>
      <w:divBdr>
        <w:top w:val="none" w:sz="0" w:space="0" w:color="auto"/>
        <w:left w:val="none" w:sz="0" w:space="0" w:color="auto"/>
        <w:bottom w:val="none" w:sz="0" w:space="0" w:color="auto"/>
        <w:right w:val="none" w:sz="0" w:space="0" w:color="auto"/>
      </w:divBdr>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92484">
      <w:bodyDiv w:val="1"/>
      <w:marLeft w:val="0"/>
      <w:marRight w:val="0"/>
      <w:marTop w:val="0"/>
      <w:marBottom w:val="0"/>
      <w:divBdr>
        <w:top w:val="none" w:sz="0" w:space="0" w:color="auto"/>
        <w:left w:val="none" w:sz="0" w:space="0" w:color="auto"/>
        <w:bottom w:val="none" w:sz="0" w:space="0" w:color="auto"/>
        <w:right w:val="none" w:sz="0" w:space="0" w:color="auto"/>
      </w:divBdr>
    </w:div>
    <w:div w:id="964778184">
      <w:bodyDiv w:val="1"/>
      <w:marLeft w:val="0"/>
      <w:marRight w:val="0"/>
      <w:marTop w:val="0"/>
      <w:marBottom w:val="0"/>
      <w:divBdr>
        <w:top w:val="none" w:sz="0" w:space="0" w:color="auto"/>
        <w:left w:val="none" w:sz="0" w:space="0" w:color="auto"/>
        <w:bottom w:val="none" w:sz="0" w:space="0" w:color="auto"/>
        <w:right w:val="none" w:sz="0" w:space="0" w:color="auto"/>
      </w:divBdr>
    </w:div>
    <w:div w:id="1000042583">
      <w:bodyDiv w:val="1"/>
      <w:marLeft w:val="0"/>
      <w:marRight w:val="0"/>
      <w:marTop w:val="0"/>
      <w:marBottom w:val="0"/>
      <w:divBdr>
        <w:top w:val="none" w:sz="0" w:space="0" w:color="auto"/>
        <w:left w:val="none" w:sz="0" w:space="0" w:color="auto"/>
        <w:bottom w:val="none" w:sz="0" w:space="0" w:color="auto"/>
        <w:right w:val="none" w:sz="0" w:space="0" w:color="auto"/>
      </w:divBdr>
    </w:div>
    <w:div w:id="1030492427">
      <w:bodyDiv w:val="1"/>
      <w:marLeft w:val="0"/>
      <w:marRight w:val="0"/>
      <w:marTop w:val="0"/>
      <w:marBottom w:val="0"/>
      <w:divBdr>
        <w:top w:val="none" w:sz="0" w:space="0" w:color="auto"/>
        <w:left w:val="none" w:sz="0" w:space="0" w:color="auto"/>
        <w:bottom w:val="none" w:sz="0" w:space="0" w:color="auto"/>
        <w:right w:val="none" w:sz="0" w:space="0" w:color="auto"/>
      </w:divBdr>
    </w:div>
    <w:div w:id="1050690280">
      <w:bodyDiv w:val="1"/>
      <w:marLeft w:val="0"/>
      <w:marRight w:val="0"/>
      <w:marTop w:val="0"/>
      <w:marBottom w:val="0"/>
      <w:divBdr>
        <w:top w:val="none" w:sz="0" w:space="0" w:color="auto"/>
        <w:left w:val="none" w:sz="0" w:space="0" w:color="auto"/>
        <w:bottom w:val="none" w:sz="0" w:space="0" w:color="auto"/>
        <w:right w:val="none" w:sz="0" w:space="0" w:color="auto"/>
      </w:divBdr>
    </w:div>
    <w:div w:id="1082141531">
      <w:bodyDiv w:val="1"/>
      <w:marLeft w:val="0"/>
      <w:marRight w:val="0"/>
      <w:marTop w:val="0"/>
      <w:marBottom w:val="0"/>
      <w:divBdr>
        <w:top w:val="none" w:sz="0" w:space="0" w:color="auto"/>
        <w:left w:val="none" w:sz="0" w:space="0" w:color="auto"/>
        <w:bottom w:val="none" w:sz="0" w:space="0" w:color="auto"/>
        <w:right w:val="none" w:sz="0" w:space="0" w:color="auto"/>
      </w:divBdr>
    </w:div>
    <w:div w:id="1101220852">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910">
      <w:bodyDiv w:val="1"/>
      <w:marLeft w:val="0"/>
      <w:marRight w:val="0"/>
      <w:marTop w:val="0"/>
      <w:marBottom w:val="0"/>
      <w:divBdr>
        <w:top w:val="none" w:sz="0" w:space="0" w:color="auto"/>
        <w:left w:val="none" w:sz="0" w:space="0" w:color="auto"/>
        <w:bottom w:val="none" w:sz="0" w:space="0" w:color="auto"/>
        <w:right w:val="none" w:sz="0" w:space="0" w:color="auto"/>
      </w:divBdr>
    </w:div>
    <w:div w:id="1339960773">
      <w:bodyDiv w:val="1"/>
      <w:marLeft w:val="0"/>
      <w:marRight w:val="0"/>
      <w:marTop w:val="0"/>
      <w:marBottom w:val="0"/>
      <w:divBdr>
        <w:top w:val="none" w:sz="0" w:space="0" w:color="auto"/>
        <w:left w:val="none" w:sz="0" w:space="0" w:color="auto"/>
        <w:bottom w:val="none" w:sz="0" w:space="0" w:color="auto"/>
        <w:right w:val="none" w:sz="0" w:space="0" w:color="auto"/>
      </w:divBdr>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22820">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399315">
      <w:bodyDiv w:val="1"/>
      <w:marLeft w:val="0"/>
      <w:marRight w:val="0"/>
      <w:marTop w:val="0"/>
      <w:marBottom w:val="0"/>
      <w:divBdr>
        <w:top w:val="none" w:sz="0" w:space="0" w:color="auto"/>
        <w:left w:val="none" w:sz="0" w:space="0" w:color="auto"/>
        <w:bottom w:val="none" w:sz="0" w:space="0" w:color="auto"/>
        <w:right w:val="none" w:sz="0" w:space="0" w:color="auto"/>
      </w:divBdr>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768396">
      <w:bodyDiv w:val="1"/>
      <w:marLeft w:val="0"/>
      <w:marRight w:val="0"/>
      <w:marTop w:val="0"/>
      <w:marBottom w:val="0"/>
      <w:divBdr>
        <w:top w:val="none" w:sz="0" w:space="0" w:color="auto"/>
        <w:left w:val="none" w:sz="0" w:space="0" w:color="auto"/>
        <w:bottom w:val="none" w:sz="0" w:space="0" w:color="auto"/>
        <w:right w:val="none" w:sz="0" w:space="0" w:color="auto"/>
      </w:divBdr>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live" TargetMode="External"/><Relationship Id="rId4" Type="http://schemas.openxmlformats.org/officeDocument/2006/relationships/settings" Target="settings.xml"/><Relationship Id="rId9" Type="http://schemas.openxmlformats.org/officeDocument/2006/relationships/hyperlink" Target="https://go.usa.gov/xX5Q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4496</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2017-10-03T18:14:00Z</dcterms:created>
  <dcterms:modified xsi:type="dcterms:W3CDTF">2017-10-03T18:14:00Z</dcterms:modified>
  <cp:category> </cp:category>
  <cp:contentStatus> </cp:contentStatus>
</cp:coreProperties>
</file>