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Pr="00F9589C" w:rsidRDefault="00354D4C">
      <w:pPr>
        <w:tabs>
          <w:tab w:val="center" w:pos="4770"/>
        </w:tabs>
        <w:spacing w:line="226" w:lineRule="auto"/>
        <w:jc w:val="center"/>
        <w:rPr>
          <w:b/>
          <w:sz w:val="22"/>
        </w:rPr>
      </w:pPr>
      <w:bookmarkStart w:id="0" w:name="_GoBack"/>
      <w:bookmarkEnd w:id="0"/>
      <w:r w:rsidRPr="00F9589C">
        <w:rPr>
          <w:b/>
          <w:sz w:val="22"/>
        </w:rPr>
        <w:t>Before the</w:t>
      </w:r>
    </w:p>
    <w:p w:rsidR="00354D4C" w:rsidRPr="00F9589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sidRPr="00F9589C">
        <w:rPr>
          <w:snapToGrid/>
        </w:rPr>
        <w:t>Federal Communications Commission</w:t>
      </w:r>
    </w:p>
    <w:p w:rsidR="00354D4C" w:rsidRPr="00F9589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sidRPr="00F9589C">
            <w:rPr>
              <w:snapToGrid/>
            </w:rPr>
            <w:t>Washington</w:t>
          </w:r>
        </w:smartTag>
        <w:r w:rsidRPr="00F9589C">
          <w:rPr>
            <w:snapToGrid/>
          </w:rPr>
          <w:t xml:space="preserve">, </w:t>
        </w:r>
        <w:smartTag w:uri="urn:schemas-microsoft-com:office:smarttags" w:element="State">
          <w:r w:rsidRPr="00F9589C">
            <w:rPr>
              <w:snapToGrid/>
            </w:rPr>
            <w:t>D.C.</w:t>
          </w:r>
        </w:smartTag>
        <w:r w:rsidRPr="00F9589C">
          <w:rPr>
            <w:snapToGrid/>
          </w:rPr>
          <w:t xml:space="preserve"> </w:t>
        </w:r>
        <w:smartTag w:uri="urn:schemas-microsoft-com:office:smarttags" w:element="PostalCode">
          <w:r w:rsidRPr="00F9589C">
            <w:rPr>
              <w:snapToGrid/>
            </w:rPr>
            <w:t>20554</w:t>
          </w:r>
        </w:smartTag>
      </w:smartTag>
    </w:p>
    <w:p w:rsidR="00354D4C" w:rsidRPr="00F9589C" w:rsidRDefault="00354D4C">
      <w:pPr>
        <w:tabs>
          <w:tab w:val="left" w:pos="4680"/>
        </w:tabs>
        <w:spacing w:line="226" w:lineRule="auto"/>
        <w:jc w:val="center"/>
        <w:rPr>
          <w:sz w:val="22"/>
        </w:rPr>
      </w:pPr>
    </w:p>
    <w:p w:rsidR="00354D4C" w:rsidRPr="00F9589C" w:rsidRDefault="00354D4C">
      <w:pPr>
        <w:pStyle w:val="BodyText2"/>
        <w:tabs>
          <w:tab w:val="left" w:pos="4680"/>
        </w:tabs>
        <w:spacing w:line="226" w:lineRule="auto"/>
      </w:pPr>
    </w:p>
    <w:p w:rsidR="00354D4C" w:rsidRPr="00F9589C" w:rsidRDefault="00354D4C" w:rsidP="00390372">
      <w:pPr>
        <w:pStyle w:val="BodyText"/>
        <w:tabs>
          <w:tab w:val="left" w:pos="4680"/>
          <w:tab w:val="left" w:pos="5760"/>
          <w:tab w:val="left" w:pos="6300"/>
        </w:tabs>
        <w:rPr>
          <w:szCs w:val="22"/>
        </w:rPr>
      </w:pPr>
      <w:r w:rsidRPr="00F9589C">
        <w:rPr>
          <w:szCs w:val="22"/>
        </w:rPr>
        <w:t>In the Matter of</w:t>
      </w:r>
      <w:r w:rsidRPr="00F9589C">
        <w:rPr>
          <w:szCs w:val="22"/>
        </w:rPr>
        <w:tab/>
        <w:t>)</w:t>
      </w:r>
    </w:p>
    <w:p w:rsidR="00354D4C" w:rsidRPr="00F9589C" w:rsidRDefault="00354D4C" w:rsidP="00390372">
      <w:pPr>
        <w:tabs>
          <w:tab w:val="left" w:pos="4680"/>
          <w:tab w:val="left" w:pos="5760"/>
          <w:tab w:val="left" w:pos="6300"/>
        </w:tabs>
        <w:spacing w:line="226" w:lineRule="auto"/>
        <w:rPr>
          <w:sz w:val="22"/>
          <w:szCs w:val="22"/>
        </w:rPr>
      </w:pPr>
      <w:r w:rsidRPr="00F9589C">
        <w:rPr>
          <w:sz w:val="22"/>
          <w:szCs w:val="22"/>
        </w:rPr>
        <w:tab/>
        <w:t>)</w:t>
      </w:r>
    </w:p>
    <w:p w:rsidR="0002201F" w:rsidRPr="00F9589C" w:rsidRDefault="003E1FEE" w:rsidP="00A946B0">
      <w:pPr>
        <w:tabs>
          <w:tab w:val="left" w:pos="4680"/>
          <w:tab w:val="left" w:pos="5580"/>
        </w:tabs>
        <w:spacing w:line="226" w:lineRule="auto"/>
        <w:rPr>
          <w:sz w:val="22"/>
          <w:szCs w:val="22"/>
        </w:rPr>
      </w:pPr>
      <w:r>
        <w:rPr>
          <w:sz w:val="22"/>
          <w:szCs w:val="22"/>
        </w:rPr>
        <w:t>Dan Blancho</w:t>
      </w:r>
      <w:r w:rsidR="0002201F" w:rsidRPr="00F9589C">
        <w:rPr>
          <w:sz w:val="22"/>
          <w:szCs w:val="22"/>
        </w:rPr>
        <w:tab/>
        <w:t>)</w:t>
      </w:r>
      <w:r w:rsidR="009876B2" w:rsidRPr="00F9589C">
        <w:rPr>
          <w:sz w:val="22"/>
          <w:szCs w:val="22"/>
        </w:rPr>
        <w:tab/>
        <w:t>File No.</w:t>
      </w:r>
      <w:r w:rsidR="00390372" w:rsidRPr="00F9589C">
        <w:rPr>
          <w:sz w:val="22"/>
          <w:szCs w:val="22"/>
        </w:rPr>
        <w:t>:</w:t>
      </w:r>
      <w:r w:rsidR="009876B2" w:rsidRPr="00F9589C">
        <w:rPr>
          <w:sz w:val="22"/>
          <w:szCs w:val="22"/>
        </w:rPr>
        <w:t xml:space="preserve"> </w:t>
      </w:r>
      <w:r w:rsidR="00F9589C" w:rsidRPr="00F9589C">
        <w:rPr>
          <w:sz w:val="22"/>
          <w:szCs w:val="22"/>
        </w:rPr>
        <w:t xml:space="preserve"> </w:t>
      </w:r>
      <w:r w:rsidR="00F9589C" w:rsidRPr="00F9589C">
        <w:rPr>
          <w:spacing w:val="-2"/>
          <w:sz w:val="22"/>
          <w:szCs w:val="22"/>
        </w:rPr>
        <w:t>EB-</w:t>
      </w:r>
      <w:r w:rsidR="00F9589C" w:rsidRPr="00F9589C">
        <w:rPr>
          <w:spacing w:val="-2"/>
          <w:sz w:val="22"/>
          <w:szCs w:val="22"/>
          <w:lang w:eastAsia="zh-TW"/>
        </w:rPr>
        <w:t>FIELD</w:t>
      </w:r>
      <w:r w:rsidR="008A3542">
        <w:rPr>
          <w:spacing w:val="-2"/>
          <w:sz w:val="22"/>
          <w:szCs w:val="22"/>
          <w:lang w:eastAsia="zh-TW"/>
        </w:rPr>
        <w:t>NE</w:t>
      </w:r>
      <w:r w:rsidR="00F9589C" w:rsidRPr="00F9589C">
        <w:rPr>
          <w:spacing w:val="-2"/>
          <w:sz w:val="22"/>
          <w:szCs w:val="22"/>
          <w:lang w:eastAsia="zh-TW"/>
        </w:rPr>
        <w:t>R-17-000</w:t>
      </w:r>
      <w:r w:rsidR="00725D2B">
        <w:rPr>
          <w:spacing w:val="-2"/>
          <w:sz w:val="22"/>
          <w:szCs w:val="22"/>
          <w:lang w:eastAsia="zh-TW"/>
        </w:rPr>
        <w:t>25162</w:t>
      </w:r>
      <w:r w:rsidR="00F9589C" w:rsidRPr="00F9589C">
        <w:rPr>
          <w:spacing w:val="-2"/>
          <w:sz w:val="22"/>
          <w:szCs w:val="22"/>
          <w:lang w:eastAsia="zh-TW"/>
        </w:rPr>
        <w:t xml:space="preserve">                                                                                                   </w:t>
      </w:r>
    </w:p>
    <w:p w:rsidR="0015777C" w:rsidRPr="00F9589C" w:rsidRDefault="003E1FEE" w:rsidP="00390372">
      <w:pPr>
        <w:tabs>
          <w:tab w:val="left" w:pos="4680"/>
          <w:tab w:val="left" w:pos="6300"/>
          <w:tab w:val="left" w:pos="6480"/>
        </w:tabs>
        <w:spacing w:line="226" w:lineRule="auto"/>
        <w:jc w:val="both"/>
        <w:rPr>
          <w:sz w:val="22"/>
          <w:szCs w:val="22"/>
        </w:rPr>
      </w:pPr>
      <w:r>
        <w:rPr>
          <w:sz w:val="22"/>
          <w:szCs w:val="22"/>
        </w:rPr>
        <w:t>Owner</w:t>
      </w:r>
      <w:r w:rsidR="00F9589C" w:rsidRPr="00F9589C">
        <w:rPr>
          <w:sz w:val="22"/>
          <w:szCs w:val="22"/>
        </w:rPr>
        <w:t xml:space="preserve"> of an Emergency Position</w:t>
      </w:r>
      <w:r w:rsidR="0015777C" w:rsidRPr="00F9589C">
        <w:rPr>
          <w:sz w:val="22"/>
          <w:szCs w:val="22"/>
        </w:rPr>
        <w:t xml:space="preserve"> </w:t>
      </w:r>
      <w:r w:rsidR="0015777C" w:rsidRPr="00F9589C">
        <w:rPr>
          <w:sz w:val="22"/>
          <w:szCs w:val="22"/>
        </w:rPr>
        <w:tab/>
        <w:t>)</w:t>
      </w:r>
    </w:p>
    <w:p w:rsidR="00354D4C" w:rsidRPr="00F9589C" w:rsidRDefault="00F9589C" w:rsidP="00A946B0">
      <w:pPr>
        <w:tabs>
          <w:tab w:val="left" w:pos="4680"/>
          <w:tab w:val="left" w:pos="5580"/>
        </w:tabs>
        <w:spacing w:line="226" w:lineRule="auto"/>
        <w:jc w:val="both"/>
        <w:rPr>
          <w:sz w:val="22"/>
          <w:szCs w:val="22"/>
        </w:rPr>
      </w:pPr>
      <w:r>
        <w:rPr>
          <w:sz w:val="22"/>
          <w:szCs w:val="22"/>
        </w:rPr>
        <w:t xml:space="preserve">Indicating </w:t>
      </w:r>
      <w:r w:rsidR="003E1FEE">
        <w:rPr>
          <w:sz w:val="22"/>
          <w:szCs w:val="22"/>
        </w:rPr>
        <w:t>Radio Beacon</w:t>
      </w:r>
      <w:r w:rsidR="00354D4C" w:rsidRPr="00F9589C">
        <w:rPr>
          <w:sz w:val="22"/>
          <w:szCs w:val="22"/>
        </w:rPr>
        <w:tab/>
        <w:t>)</w:t>
      </w:r>
      <w:r w:rsidR="001F5922" w:rsidRPr="00F9589C">
        <w:rPr>
          <w:sz w:val="22"/>
          <w:szCs w:val="22"/>
        </w:rPr>
        <w:tab/>
      </w:r>
    </w:p>
    <w:p w:rsidR="00314AE7" w:rsidRPr="00F9589C" w:rsidRDefault="003E1FEE" w:rsidP="00F9589C">
      <w:pPr>
        <w:pStyle w:val="BodyText2"/>
        <w:tabs>
          <w:tab w:val="left" w:pos="4680"/>
          <w:tab w:val="left" w:pos="6300"/>
          <w:tab w:val="left" w:pos="6480"/>
        </w:tabs>
        <w:spacing w:line="226" w:lineRule="auto"/>
        <w:rPr>
          <w:szCs w:val="22"/>
        </w:rPr>
      </w:pPr>
      <w:r>
        <w:rPr>
          <w:szCs w:val="22"/>
        </w:rPr>
        <w:t>Norfolk, Virginia</w:t>
      </w:r>
      <w:r w:rsidR="002B1A58" w:rsidRPr="00F9589C">
        <w:rPr>
          <w:szCs w:val="22"/>
        </w:rPr>
        <w:tab/>
        <w:t>)</w:t>
      </w:r>
    </w:p>
    <w:p w:rsidR="00F9589C" w:rsidRPr="00F9589C" w:rsidRDefault="00F9589C" w:rsidP="00F9589C">
      <w:pPr>
        <w:pStyle w:val="BodyText2"/>
        <w:tabs>
          <w:tab w:val="left" w:pos="4680"/>
          <w:tab w:val="left" w:pos="6300"/>
          <w:tab w:val="left" w:pos="6480"/>
        </w:tabs>
        <w:spacing w:line="226" w:lineRule="auto"/>
        <w:rPr>
          <w:szCs w:val="22"/>
        </w:rPr>
      </w:pPr>
      <w:r w:rsidRPr="00F9589C">
        <w:rPr>
          <w:szCs w:val="22"/>
        </w:rPr>
        <w:tab/>
        <w:t>)</w:t>
      </w:r>
    </w:p>
    <w:p w:rsidR="002B1A58" w:rsidRDefault="002B1A58" w:rsidP="002B1A58">
      <w:pPr>
        <w:pStyle w:val="BodyText2"/>
        <w:tabs>
          <w:tab w:val="left" w:pos="4680"/>
          <w:tab w:val="left" w:pos="5760"/>
          <w:tab w:val="left" w:pos="6300"/>
        </w:tabs>
        <w:spacing w:line="226" w:lineRule="auto"/>
        <w:rPr>
          <w:color w:val="000000"/>
          <w:szCs w:val="22"/>
        </w:rPr>
      </w:pPr>
      <w:r w:rsidRPr="00796C0C">
        <w:rPr>
          <w:color w:val="FF0000"/>
          <w:szCs w:val="22"/>
        </w:rPr>
        <w:tab/>
      </w:r>
      <w:r>
        <w:rPr>
          <w:color w:val="000000"/>
          <w:szCs w:val="22"/>
        </w:rPr>
        <w:tab/>
      </w:r>
      <w:r>
        <w:rPr>
          <w:color w:val="000000"/>
          <w:szCs w:val="22"/>
        </w:rPr>
        <w:tab/>
      </w:r>
    </w:p>
    <w:p w:rsidR="00E60EAB" w:rsidRPr="009876B2" w:rsidRDefault="00E60EAB" w:rsidP="002B1A58">
      <w:pPr>
        <w:pStyle w:val="BodyText2"/>
        <w:tabs>
          <w:tab w:val="left" w:pos="4680"/>
          <w:tab w:val="left" w:pos="5760"/>
          <w:tab w:val="left" w:pos="6300"/>
        </w:tabs>
        <w:spacing w:line="226" w:lineRule="auto"/>
        <w:rPr>
          <w:szCs w:val="22"/>
        </w:rPr>
      </w:pPr>
    </w:p>
    <w:p w:rsidR="002B1A58" w:rsidRPr="009211C8" w:rsidRDefault="002B1A58" w:rsidP="002B1A58">
      <w:pPr>
        <w:pStyle w:val="BodyText2"/>
        <w:tabs>
          <w:tab w:val="left" w:pos="4680"/>
          <w:tab w:val="left" w:pos="6300"/>
          <w:tab w:val="left" w:pos="6480"/>
        </w:tabs>
        <w:spacing w:line="226" w:lineRule="auto"/>
        <w:jc w:val="left"/>
        <w:rPr>
          <w:szCs w:val="22"/>
        </w:rPr>
      </w:pPr>
    </w:p>
    <w:p w:rsidR="00354D4C" w:rsidRPr="009876B2" w:rsidRDefault="00354D4C">
      <w:pPr>
        <w:pStyle w:val="Title"/>
        <w:tabs>
          <w:tab w:val="left" w:pos="5760"/>
        </w:tabs>
        <w:rPr>
          <w:sz w:val="22"/>
          <w:szCs w:val="22"/>
        </w:rPr>
      </w:pPr>
      <w:r w:rsidRPr="009876B2">
        <w:rPr>
          <w:sz w:val="22"/>
          <w:szCs w:val="22"/>
        </w:rPr>
        <w:t>NOTICE OF VIOLATION</w:t>
      </w:r>
    </w:p>
    <w:p w:rsidR="00AE04A5" w:rsidRDefault="00AE04A5" w:rsidP="00F72912">
      <w:pPr>
        <w:pStyle w:val="Subtitle"/>
        <w:jc w:val="left"/>
        <w:rPr>
          <w:szCs w:val="22"/>
        </w:rPr>
      </w:pPr>
    </w:p>
    <w:p w:rsidR="00354D4C" w:rsidRPr="009876B2" w:rsidRDefault="003E1FEE" w:rsidP="003E1FEE">
      <w:pPr>
        <w:pStyle w:val="Subtitle"/>
        <w:tabs>
          <w:tab w:val="clear" w:pos="6480"/>
          <w:tab w:val="left" w:pos="6390"/>
        </w:tabs>
        <w:jc w:val="left"/>
        <w:rPr>
          <w:szCs w:val="22"/>
        </w:rPr>
      </w:pPr>
      <w:r>
        <w:rPr>
          <w:szCs w:val="22"/>
        </w:rPr>
        <w:tab/>
      </w:r>
      <w:r w:rsidR="00354D4C" w:rsidRPr="009876B2">
        <w:rPr>
          <w:szCs w:val="22"/>
        </w:rPr>
        <w:t xml:space="preserve">Released: </w:t>
      </w:r>
      <w:r w:rsidR="004B0DE7">
        <w:rPr>
          <w:szCs w:val="22"/>
        </w:rPr>
        <w:t>October</w:t>
      </w:r>
      <w:r w:rsidR="005A124C">
        <w:rPr>
          <w:szCs w:val="22"/>
        </w:rPr>
        <w:t xml:space="preserve"> 12</w:t>
      </w:r>
      <w:r w:rsidR="002C6872" w:rsidRPr="002C6872">
        <w:rPr>
          <w:szCs w:val="22"/>
        </w:rPr>
        <w:t>, 2017</w:t>
      </w:r>
    </w:p>
    <w:p w:rsidR="00354D4C" w:rsidRDefault="00354D4C">
      <w:pPr>
        <w:tabs>
          <w:tab w:val="left" w:pos="5760"/>
        </w:tabs>
        <w:rPr>
          <w:sz w:val="22"/>
          <w:szCs w:val="22"/>
        </w:rPr>
      </w:pPr>
    </w:p>
    <w:p w:rsidR="00E60EAB" w:rsidRPr="00F9589C" w:rsidRDefault="00E60EAB">
      <w:pPr>
        <w:tabs>
          <w:tab w:val="left" w:pos="5760"/>
        </w:tabs>
        <w:rPr>
          <w:sz w:val="22"/>
          <w:szCs w:val="22"/>
        </w:rPr>
      </w:pPr>
    </w:p>
    <w:p w:rsidR="00354D4C" w:rsidRPr="00892623" w:rsidRDefault="00354D4C" w:rsidP="00AE04A5">
      <w:pPr>
        <w:rPr>
          <w:sz w:val="22"/>
          <w:szCs w:val="22"/>
        </w:rPr>
      </w:pPr>
      <w:r w:rsidRPr="00F9589C">
        <w:rPr>
          <w:sz w:val="22"/>
          <w:szCs w:val="22"/>
        </w:rPr>
        <w:t xml:space="preserve">By the </w:t>
      </w:r>
      <w:r w:rsidR="00F9589C" w:rsidRPr="00F9589C">
        <w:rPr>
          <w:sz w:val="22"/>
          <w:szCs w:val="22"/>
        </w:rPr>
        <w:t>Regional</w:t>
      </w:r>
      <w:r w:rsidRPr="00F9589C">
        <w:rPr>
          <w:sz w:val="22"/>
          <w:szCs w:val="22"/>
        </w:rPr>
        <w:t xml:space="preserve"> Directo</w:t>
      </w:r>
      <w:r w:rsidR="00F9589C" w:rsidRPr="00F9589C">
        <w:rPr>
          <w:sz w:val="22"/>
          <w:szCs w:val="22"/>
        </w:rPr>
        <w:t>r</w:t>
      </w:r>
      <w:r w:rsidRPr="00F9589C">
        <w:rPr>
          <w:sz w:val="22"/>
          <w:szCs w:val="22"/>
        </w:rPr>
        <w:t xml:space="preserve">, </w:t>
      </w:r>
      <w:r w:rsidR="00D94108" w:rsidRPr="00F9589C">
        <w:rPr>
          <w:sz w:val="22"/>
          <w:szCs w:val="22"/>
        </w:rPr>
        <w:t>Region</w:t>
      </w:r>
      <w:r w:rsidR="00F9589C" w:rsidRPr="00F9589C">
        <w:rPr>
          <w:sz w:val="22"/>
          <w:szCs w:val="22"/>
        </w:rPr>
        <w:t xml:space="preserve"> </w:t>
      </w:r>
      <w:r w:rsidR="00725D2B">
        <w:rPr>
          <w:sz w:val="22"/>
          <w:szCs w:val="22"/>
        </w:rPr>
        <w:t>One</w:t>
      </w:r>
      <w:r w:rsidR="00D94108" w:rsidRPr="00892623">
        <w:rPr>
          <w:sz w:val="22"/>
          <w:szCs w:val="22"/>
        </w:rPr>
        <w:t xml:space="preserve">, </w:t>
      </w:r>
      <w:r w:rsidRPr="00892623">
        <w:rPr>
          <w:sz w:val="22"/>
          <w:szCs w:val="22"/>
        </w:rPr>
        <w:t>Enforcement Bureau:</w:t>
      </w:r>
    </w:p>
    <w:p w:rsidR="00F66A8F" w:rsidRDefault="00F66A8F" w:rsidP="00F66A8F">
      <w:pPr>
        <w:rPr>
          <w:color w:val="000000"/>
          <w:sz w:val="22"/>
          <w:szCs w:val="22"/>
        </w:rPr>
      </w:pPr>
    </w:p>
    <w:p w:rsidR="00E60EAB" w:rsidRPr="003A4E51" w:rsidRDefault="00E60EAB" w:rsidP="00F66A8F">
      <w:pPr>
        <w:rPr>
          <w:color w:val="000000"/>
          <w:sz w:val="22"/>
          <w:szCs w:val="22"/>
        </w:rPr>
      </w:pPr>
    </w:p>
    <w:p w:rsidR="00F66A8F" w:rsidRPr="009D2578" w:rsidRDefault="00F66A8F" w:rsidP="00065B07">
      <w:pPr>
        <w:pStyle w:val="BodyTextIndent"/>
        <w:numPr>
          <w:ilvl w:val="0"/>
          <w:numId w:val="10"/>
        </w:numPr>
        <w:tabs>
          <w:tab w:val="clear" w:pos="720"/>
        </w:tabs>
        <w:ind w:left="0" w:firstLine="720"/>
        <w:rPr>
          <w:rFonts w:ascii="Times New Roman" w:hAnsi="Times New Roman"/>
          <w:sz w:val="22"/>
          <w:szCs w:val="22"/>
        </w:rPr>
      </w:pPr>
      <w:r w:rsidRPr="00212CBB">
        <w:rPr>
          <w:rFonts w:ascii="Times New Roman" w:hAnsi="Times New Roman"/>
          <w:sz w:val="22"/>
          <w:szCs w:val="22"/>
        </w:rPr>
        <w:t xml:space="preserve">This is a Notice of Violation (Notice) issued pursuant to Section 1.89 of the Commission’s </w:t>
      </w:r>
      <w:r w:rsidR="00B10923" w:rsidRPr="00212CBB">
        <w:rPr>
          <w:rFonts w:ascii="Times New Roman" w:hAnsi="Times New Roman"/>
          <w:sz w:val="22"/>
          <w:szCs w:val="22"/>
        </w:rPr>
        <w:t>r</w:t>
      </w:r>
      <w:r w:rsidRPr="00212CBB">
        <w:rPr>
          <w:rFonts w:ascii="Times New Roman" w:hAnsi="Times New Roman"/>
          <w:sz w:val="22"/>
          <w:szCs w:val="22"/>
        </w:rPr>
        <w:t>ules</w:t>
      </w:r>
      <w:r w:rsidR="00B10923" w:rsidRPr="00212CBB">
        <w:rPr>
          <w:rFonts w:ascii="Times New Roman" w:hAnsi="Times New Roman"/>
          <w:sz w:val="22"/>
          <w:szCs w:val="22"/>
        </w:rPr>
        <w:t xml:space="preserve"> (Rules)</w:t>
      </w:r>
      <w:r w:rsidRPr="00212CBB">
        <w:rPr>
          <w:rStyle w:val="FootnoteReference"/>
          <w:sz w:val="22"/>
          <w:szCs w:val="22"/>
        </w:rPr>
        <w:footnoteReference w:id="1"/>
      </w:r>
      <w:r w:rsidRPr="00212CBB">
        <w:rPr>
          <w:rFonts w:ascii="Times New Roman" w:hAnsi="Times New Roman"/>
          <w:sz w:val="22"/>
          <w:szCs w:val="22"/>
        </w:rPr>
        <w:t xml:space="preserve"> to </w:t>
      </w:r>
      <w:r w:rsidR="003E1FEE">
        <w:rPr>
          <w:rFonts w:ascii="Times New Roman" w:hAnsi="Times New Roman"/>
          <w:sz w:val="22"/>
          <w:szCs w:val="22"/>
        </w:rPr>
        <w:t>Dan Blancho</w:t>
      </w:r>
      <w:r w:rsidRPr="00B90AE8">
        <w:rPr>
          <w:rFonts w:ascii="Times New Roman" w:hAnsi="Times New Roman"/>
          <w:sz w:val="22"/>
          <w:szCs w:val="22"/>
        </w:rPr>
        <w:t>,</w:t>
      </w:r>
      <w:r w:rsidR="00F9589C" w:rsidRPr="00B90AE8">
        <w:rPr>
          <w:rFonts w:ascii="Times New Roman" w:hAnsi="Times New Roman"/>
          <w:sz w:val="22"/>
          <w:szCs w:val="22"/>
        </w:rPr>
        <w:t xml:space="preserve"> </w:t>
      </w:r>
      <w:r w:rsidR="003E1FEE">
        <w:rPr>
          <w:rFonts w:ascii="Times New Roman" w:hAnsi="Times New Roman"/>
          <w:sz w:val="22"/>
          <w:szCs w:val="22"/>
        </w:rPr>
        <w:t>owner</w:t>
      </w:r>
      <w:r w:rsidR="00F9589C">
        <w:rPr>
          <w:rFonts w:ascii="Times New Roman" w:hAnsi="Times New Roman"/>
          <w:sz w:val="22"/>
          <w:szCs w:val="22"/>
        </w:rPr>
        <w:t xml:space="preserve"> of an Emergency Position Indicating </w:t>
      </w:r>
      <w:r w:rsidR="003E1FEE">
        <w:rPr>
          <w:rFonts w:ascii="Times New Roman" w:hAnsi="Times New Roman"/>
          <w:sz w:val="22"/>
          <w:szCs w:val="22"/>
        </w:rPr>
        <w:t>Radio Beacon</w:t>
      </w:r>
      <w:r w:rsidR="00F9589C">
        <w:rPr>
          <w:rFonts w:ascii="Times New Roman" w:hAnsi="Times New Roman"/>
          <w:sz w:val="22"/>
          <w:szCs w:val="22"/>
        </w:rPr>
        <w:t xml:space="preserve"> (“EPIRB”) in </w:t>
      </w:r>
      <w:r w:rsidR="003E1FEE">
        <w:rPr>
          <w:rFonts w:ascii="Times New Roman" w:hAnsi="Times New Roman"/>
          <w:sz w:val="22"/>
          <w:szCs w:val="22"/>
        </w:rPr>
        <w:t>Norfolk, Virginia</w:t>
      </w:r>
      <w:r w:rsidR="00F9589C">
        <w:rPr>
          <w:rFonts w:ascii="Times New Roman" w:hAnsi="Times New Roman"/>
          <w:sz w:val="22"/>
          <w:szCs w:val="22"/>
        </w:rPr>
        <w:t>.</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 xml:space="preserve">does not preclude the Enforcement Bureau from further action if warranted, including </w:t>
      </w:r>
      <w:r w:rsidR="003D6B43" w:rsidRPr="009D2578">
        <w:rPr>
          <w:rFonts w:ascii="Times New Roman" w:hAnsi="Times New Roman"/>
          <w:sz w:val="22"/>
          <w:szCs w:val="22"/>
        </w:rPr>
        <w:t>issuing a Notice of Apparent Liability for Forfeiture for the violation(s) noted herein.</w:t>
      </w:r>
      <w:r w:rsidRPr="009D2578">
        <w:rPr>
          <w:rStyle w:val="FootnoteReference"/>
          <w:sz w:val="22"/>
          <w:szCs w:val="22"/>
        </w:rPr>
        <w:footnoteReference w:id="2"/>
      </w:r>
    </w:p>
    <w:p w:rsidR="00F66A8F" w:rsidRPr="009D2578" w:rsidRDefault="00F66A8F" w:rsidP="00F66A8F">
      <w:pPr>
        <w:rPr>
          <w:color w:val="000000"/>
          <w:sz w:val="22"/>
          <w:szCs w:val="22"/>
        </w:rPr>
      </w:pPr>
    </w:p>
    <w:p w:rsidR="00F66A8F" w:rsidRPr="007D4DF3" w:rsidRDefault="007D4DF3" w:rsidP="00F66A8F">
      <w:pPr>
        <w:pStyle w:val="BodyTextIndent"/>
        <w:numPr>
          <w:ilvl w:val="0"/>
          <w:numId w:val="10"/>
        </w:numPr>
        <w:tabs>
          <w:tab w:val="clear" w:pos="720"/>
        </w:tabs>
        <w:ind w:left="0" w:firstLine="720"/>
        <w:rPr>
          <w:rFonts w:ascii="Times New Roman" w:hAnsi="Times New Roman"/>
          <w:sz w:val="22"/>
          <w:szCs w:val="22"/>
        </w:rPr>
      </w:pPr>
      <w:r w:rsidRPr="007D4DF3">
        <w:rPr>
          <w:rFonts w:ascii="Times New Roman" w:hAnsi="Times New Roman"/>
          <w:sz w:val="22"/>
          <w:szCs w:val="22"/>
        </w:rPr>
        <w:t xml:space="preserve">The </w:t>
      </w:r>
      <w:r w:rsidR="008A3542">
        <w:rPr>
          <w:rFonts w:ascii="Times New Roman" w:hAnsi="Times New Roman"/>
          <w:sz w:val="22"/>
          <w:szCs w:val="22"/>
        </w:rPr>
        <w:t>Federal Communications Commission’s (</w:t>
      </w:r>
      <w:r w:rsidRPr="007D4DF3">
        <w:rPr>
          <w:rFonts w:ascii="Times New Roman" w:hAnsi="Times New Roman"/>
          <w:sz w:val="22"/>
          <w:szCs w:val="22"/>
        </w:rPr>
        <w:t>FCC</w:t>
      </w:r>
      <w:r w:rsidR="00725D2B">
        <w:rPr>
          <w:rFonts w:ascii="Times New Roman" w:hAnsi="Times New Roman"/>
          <w:sz w:val="22"/>
          <w:szCs w:val="22"/>
        </w:rPr>
        <w:t>’s</w:t>
      </w:r>
      <w:r w:rsidR="008A3542">
        <w:rPr>
          <w:rFonts w:ascii="Times New Roman" w:hAnsi="Times New Roman"/>
          <w:sz w:val="22"/>
          <w:szCs w:val="22"/>
        </w:rPr>
        <w:t>)</w:t>
      </w:r>
      <w:r w:rsidRPr="007D4DF3">
        <w:rPr>
          <w:rFonts w:ascii="Times New Roman" w:hAnsi="Times New Roman"/>
          <w:sz w:val="22"/>
          <w:szCs w:val="22"/>
        </w:rPr>
        <w:t xml:space="preserve"> </w:t>
      </w:r>
      <w:r w:rsidR="00725D2B">
        <w:rPr>
          <w:rFonts w:ascii="Times New Roman" w:hAnsi="Times New Roman"/>
          <w:sz w:val="22"/>
          <w:szCs w:val="22"/>
        </w:rPr>
        <w:t xml:space="preserve">Columbia Field Office </w:t>
      </w:r>
      <w:r w:rsidRPr="007D4DF3">
        <w:rPr>
          <w:rFonts w:ascii="Times New Roman" w:hAnsi="Times New Roman"/>
          <w:sz w:val="22"/>
          <w:szCs w:val="22"/>
        </w:rPr>
        <w:t xml:space="preserve">received a </w:t>
      </w:r>
      <w:r w:rsidR="004B0DE7">
        <w:rPr>
          <w:rFonts w:ascii="Times New Roman" w:hAnsi="Times New Roman"/>
          <w:sz w:val="22"/>
          <w:szCs w:val="22"/>
        </w:rPr>
        <w:t xml:space="preserve">telephone </w:t>
      </w:r>
      <w:r w:rsidRPr="007D4DF3">
        <w:rPr>
          <w:rFonts w:ascii="Times New Roman" w:hAnsi="Times New Roman"/>
          <w:sz w:val="22"/>
          <w:szCs w:val="22"/>
        </w:rPr>
        <w:t xml:space="preserve">call from the U.S. Coast Guard Sector </w:t>
      </w:r>
      <w:r w:rsidR="00725D2B">
        <w:rPr>
          <w:rFonts w:ascii="Times New Roman" w:hAnsi="Times New Roman"/>
          <w:sz w:val="22"/>
          <w:szCs w:val="22"/>
        </w:rPr>
        <w:t>Hampton Roads,</w:t>
      </w:r>
      <w:r w:rsidRPr="007D4DF3">
        <w:rPr>
          <w:rFonts w:ascii="Times New Roman" w:hAnsi="Times New Roman"/>
          <w:sz w:val="22"/>
          <w:szCs w:val="22"/>
        </w:rPr>
        <w:t xml:space="preserve"> </w:t>
      </w:r>
      <w:r w:rsidR="00725D2B">
        <w:rPr>
          <w:rFonts w:ascii="Times New Roman" w:hAnsi="Times New Roman"/>
          <w:sz w:val="22"/>
          <w:szCs w:val="22"/>
        </w:rPr>
        <w:t>Virginia</w:t>
      </w:r>
      <w:r w:rsidRPr="007D4DF3">
        <w:rPr>
          <w:rFonts w:ascii="Times New Roman" w:hAnsi="Times New Roman"/>
          <w:sz w:val="22"/>
          <w:szCs w:val="22"/>
        </w:rPr>
        <w:t xml:space="preserve">, requesting assistance in locating interference to </w:t>
      </w:r>
      <w:r w:rsidR="005A0619">
        <w:rPr>
          <w:rFonts w:ascii="Times New Roman" w:hAnsi="Times New Roman"/>
          <w:sz w:val="22"/>
          <w:szCs w:val="22"/>
        </w:rPr>
        <w:t xml:space="preserve">safety and distress frequency 406 MHz.  </w:t>
      </w:r>
      <w:r w:rsidRPr="007D4DF3">
        <w:rPr>
          <w:rFonts w:ascii="Times New Roman" w:hAnsi="Times New Roman"/>
          <w:sz w:val="22"/>
          <w:szCs w:val="22"/>
        </w:rPr>
        <w:t>On</w:t>
      </w:r>
      <w:r>
        <w:rPr>
          <w:rFonts w:ascii="Times New Roman" w:hAnsi="Times New Roman"/>
          <w:sz w:val="22"/>
          <w:szCs w:val="22"/>
        </w:rPr>
        <w:t xml:space="preserve"> </w:t>
      </w:r>
      <w:r w:rsidR="00725D2B">
        <w:rPr>
          <w:rFonts w:ascii="Times New Roman" w:hAnsi="Times New Roman"/>
          <w:sz w:val="22"/>
          <w:szCs w:val="22"/>
        </w:rPr>
        <w:t xml:space="preserve">September </w:t>
      </w:r>
      <w:r w:rsidR="001217BA" w:rsidRPr="007D4DF3">
        <w:rPr>
          <w:rFonts w:ascii="Times New Roman" w:hAnsi="Times New Roman"/>
          <w:sz w:val="22"/>
          <w:szCs w:val="22"/>
        </w:rPr>
        <w:t>7</w:t>
      </w:r>
      <w:r w:rsidR="00B90AE8" w:rsidRPr="007D4DF3">
        <w:rPr>
          <w:rFonts w:ascii="Times New Roman" w:hAnsi="Times New Roman"/>
          <w:sz w:val="22"/>
          <w:szCs w:val="22"/>
        </w:rPr>
        <w:t>, 2017</w:t>
      </w:r>
      <w:r w:rsidR="00F66A8F" w:rsidRPr="007D4DF3">
        <w:rPr>
          <w:rFonts w:ascii="Times New Roman" w:hAnsi="Times New Roman"/>
          <w:sz w:val="22"/>
          <w:szCs w:val="22"/>
        </w:rPr>
        <w:t xml:space="preserve">, an agent of the Enforcement Bureau’s </w:t>
      </w:r>
      <w:r w:rsidR="00725D2B">
        <w:rPr>
          <w:rFonts w:ascii="Times New Roman" w:hAnsi="Times New Roman"/>
          <w:sz w:val="22"/>
          <w:szCs w:val="22"/>
        </w:rPr>
        <w:t>Columbia Office</w:t>
      </w:r>
      <w:r w:rsidR="00F66A8F" w:rsidRPr="007D4DF3">
        <w:rPr>
          <w:rFonts w:ascii="Times New Roman" w:hAnsi="Times New Roman"/>
          <w:sz w:val="22"/>
          <w:szCs w:val="22"/>
        </w:rPr>
        <w:t xml:space="preserve"> </w:t>
      </w:r>
      <w:r w:rsidR="001217BA" w:rsidRPr="007D4DF3">
        <w:rPr>
          <w:rFonts w:ascii="Times New Roman" w:hAnsi="Times New Roman"/>
          <w:sz w:val="22"/>
          <w:szCs w:val="22"/>
        </w:rPr>
        <w:t>used direction finding techniques to locate an active EPIRB operating on both 121.5 MHz and 406.0</w:t>
      </w:r>
      <w:r w:rsidR="00725D2B">
        <w:rPr>
          <w:rFonts w:ascii="Times New Roman" w:hAnsi="Times New Roman"/>
          <w:sz w:val="22"/>
          <w:szCs w:val="22"/>
        </w:rPr>
        <w:t>25</w:t>
      </w:r>
      <w:r w:rsidR="001217BA" w:rsidRPr="007D4DF3">
        <w:rPr>
          <w:rFonts w:ascii="Times New Roman" w:hAnsi="Times New Roman"/>
          <w:sz w:val="22"/>
          <w:szCs w:val="22"/>
        </w:rPr>
        <w:t xml:space="preserve"> MHz in </w:t>
      </w:r>
      <w:r w:rsidR="008759B9">
        <w:rPr>
          <w:rFonts w:ascii="Times New Roman" w:hAnsi="Times New Roman"/>
          <w:sz w:val="22"/>
          <w:szCs w:val="22"/>
        </w:rPr>
        <w:t>Chesapeake, Virginia</w:t>
      </w:r>
      <w:r w:rsidR="00F66A8F" w:rsidRPr="007D4DF3">
        <w:rPr>
          <w:rFonts w:ascii="Times New Roman" w:hAnsi="Times New Roman"/>
          <w:sz w:val="22"/>
          <w:szCs w:val="22"/>
        </w:rPr>
        <w:t>, and observed violation</w:t>
      </w:r>
      <w:r w:rsidR="005A0619">
        <w:rPr>
          <w:rFonts w:ascii="Times New Roman" w:hAnsi="Times New Roman"/>
          <w:sz w:val="22"/>
          <w:szCs w:val="22"/>
        </w:rPr>
        <w:t>s</w:t>
      </w:r>
      <w:r w:rsidR="008A3542">
        <w:rPr>
          <w:rFonts w:ascii="Times New Roman" w:hAnsi="Times New Roman"/>
          <w:sz w:val="22"/>
          <w:szCs w:val="22"/>
        </w:rPr>
        <w:t xml:space="preserve"> of the following rules</w:t>
      </w:r>
      <w:r w:rsidR="00F66A8F" w:rsidRPr="007D4DF3">
        <w:rPr>
          <w:rFonts w:ascii="Times New Roman" w:hAnsi="Times New Roman"/>
          <w:sz w:val="22"/>
          <w:szCs w:val="22"/>
        </w:rPr>
        <w:t>:</w:t>
      </w:r>
    </w:p>
    <w:p w:rsidR="00F66A8F" w:rsidRPr="00892623" w:rsidRDefault="00F66A8F" w:rsidP="00F66A8F">
      <w:pPr>
        <w:ind w:left="720" w:right="720" w:firstLine="720"/>
        <w:rPr>
          <w:sz w:val="22"/>
          <w:szCs w:val="22"/>
        </w:rPr>
      </w:pPr>
    </w:p>
    <w:p w:rsidR="007D4DF3" w:rsidRDefault="00F66A8F" w:rsidP="00E60EAB">
      <w:pPr>
        <w:numPr>
          <w:ilvl w:val="4"/>
          <w:numId w:val="10"/>
        </w:numPr>
        <w:tabs>
          <w:tab w:val="clear" w:pos="3600"/>
          <w:tab w:val="num" w:pos="1440"/>
        </w:tabs>
        <w:ind w:left="1440" w:right="720"/>
        <w:rPr>
          <w:sz w:val="22"/>
          <w:szCs w:val="22"/>
        </w:rPr>
      </w:pPr>
      <w:r w:rsidRPr="00E60EAB">
        <w:rPr>
          <w:sz w:val="22"/>
          <w:szCs w:val="22"/>
        </w:rPr>
        <w:t xml:space="preserve">47 CFR § </w:t>
      </w:r>
      <w:r w:rsidR="007D4DF3" w:rsidRPr="00E60EAB">
        <w:rPr>
          <w:sz w:val="22"/>
          <w:szCs w:val="22"/>
        </w:rPr>
        <w:t>80.1061(f): “To enhance protection of life and property it is mandatory that each 406.0 - 406.1 MHz EPIRB be registered with NOAA before installation and that information be kept up-to-date… Vessel owners shall advise NOAA in writing upon change of vessel or EPIRB ownership, transfer of EPIRB to another vessel, or any other change in registration information</w:t>
      </w:r>
      <w:r w:rsidR="00D82DCB">
        <w:rPr>
          <w:sz w:val="22"/>
          <w:szCs w:val="22"/>
        </w:rPr>
        <w:t>.</w:t>
      </w:r>
      <w:r w:rsidR="00912159" w:rsidRPr="00E60EAB">
        <w:rPr>
          <w:sz w:val="22"/>
          <w:szCs w:val="22"/>
        </w:rPr>
        <w:t xml:space="preserve">” </w:t>
      </w:r>
      <w:r w:rsidR="004130B3">
        <w:rPr>
          <w:sz w:val="22"/>
          <w:szCs w:val="22"/>
        </w:rPr>
        <w:t xml:space="preserve"> </w:t>
      </w:r>
      <w:r w:rsidR="007D4DF3" w:rsidRPr="00E60EAB">
        <w:rPr>
          <w:sz w:val="22"/>
          <w:szCs w:val="22"/>
        </w:rPr>
        <w:t xml:space="preserve">On </w:t>
      </w:r>
      <w:r w:rsidR="004130B3">
        <w:rPr>
          <w:sz w:val="22"/>
          <w:szCs w:val="22"/>
        </w:rPr>
        <w:t xml:space="preserve">September </w:t>
      </w:r>
      <w:r w:rsidR="007D4DF3" w:rsidRPr="00E60EAB">
        <w:rPr>
          <w:sz w:val="22"/>
          <w:szCs w:val="22"/>
        </w:rPr>
        <w:t xml:space="preserve">7, 2017, </w:t>
      </w:r>
      <w:r w:rsidR="00912159" w:rsidRPr="00E60EAB">
        <w:rPr>
          <w:sz w:val="22"/>
          <w:szCs w:val="22"/>
        </w:rPr>
        <w:t>the 406 MHz</w:t>
      </w:r>
      <w:r w:rsidR="007D4DF3" w:rsidRPr="00E60EAB">
        <w:rPr>
          <w:sz w:val="22"/>
          <w:szCs w:val="22"/>
        </w:rPr>
        <w:t xml:space="preserve"> EPIRB with </w:t>
      </w:r>
      <w:r w:rsidR="004130B3">
        <w:rPr>
          <w:sz w:val="22"/>
          <w:szCs w:val="22"/>
        </w:rPr>
        <w:t xml:space="preserve">NOAA Registration </w:t>
      </w:r>
      <w:r w:rsidR="007D4DF3" w:rsidRPr="00E60EAB">
        <w:rPr>
          <w:sz w:val="22"/>
          <w:szCs w:val="22"/>
        </w:rPr>
        <w:t>I</w:t>
      </w:r>
      <w:r w:rsidR="003F5ABD" w:rsidRPr="00E60EAB">
        <w:rPr>
          <w:sz w:val="22"/>
          <w:szCs w:val="22"/>
        </w:rPr>
        <w:t xml:space="preserve">D Code: </w:t>
      </w:r>
      <w:r w:rsidR="004130B3">
        <w:rPr>
          <w:sz w:val="22"/>
          <w:szCs w:val="22"/>
        </w:rPr>
        <w:t>2DD42D80BF81FE0</w:t>
      </w:r>
      <w:r w:rsidR="00C3451E" w:rsidRPr="00E60EAB">
        <w:rPr>
          <w:sz w:val="22"/>
          <w:szCs w:val="22"/>
        </w:rPr>
        <w:t xml:space="preserve"> </w:t>
      </w:r>
      <w:r w:rsidR="002E238B" w:rsidRPr="00E60EAB">
        <w:rPr>
          <w:sz w:val="22"/>
          <w:szCs w:val="22"/>
        </w:rPr>
        <w:t xml:space="preserve">was not registered </w:t>
      </w:r>
      <w:r w:rsidR="00C3451E" w:rsidRPr="00E60EAB">
        <w:rPr>
          <w:sz w:val="22"/>
          <w:szCs w:val="22"/>
        </w:rPr>
        <w:t xml:space="preserve">to </w:t>
      </w:r>
      <w:r w:rsidR="00912159" w:rsidRPr="00E60EAB">
        <w:rPr>
          <w:sz w:val="22"/>
          <w:szCs w:val="22"/>
        </w:rPr>
        <w:t xml:space="preserve">Mr. </w:t>
      </w:r>
      <w:r w:rsidR="003E1FEE">
        <w:rPr>
          <w:sz w:val="22"/>
          <w:szCs w:val="22"/>
        </w:rPr>
        <w:t>Dan Blancho</w:t>
      </w:r>
      <w:r w:rsidR="00912159" w:rsidRPr="00E60EAB">
        <w:rPr>
          <w:sz w:val="22"/>
          <w:szCs w:val="22"/>
        </w:rPr>
        <w:t xml:space="preserve"> or his v</w:t>
      </w:r>
      <w:r w:rsidR="003F5ABD" w:rsidRPr="00E60EAB">
        <w:rPr>
          <w:sz w:val="22"/>
          <w:szCs w:val="22"/>
        </w:rPr>
        <w:t>essel.</w:t>
      </w:r>
    </w:p>
    <w:p w:rsidR="00E60EAB" w:rsidRDefault="00E60EAB" w:rsidP="00E60EAB">
      <w:pPr>
        <w:ind w:left="1440" w:right="720"/>
        <w:rPr>
          <w:sz w:val="22"/>
          <w:szCs w:val="22"/>
        </w:rPr>
      </w:pPr>
    </w:p>
    <w:p w:rsidR="00E60EAB" w:rsidRDefault="00E60EAB" w:rsidP="00E60EAB">
      <w:pPr>
        <w:numPr>
          <w:ilvl w:val="4"/>
          <w:numId w:val="10"/>
        </w:numPr>
        <w:tabs>
          <w:tab w:val="clear" w:pos="3600"/>
          <w:tab w:val="num" w:pos="1440"/>
        </w:tabs>
        <w:ind w:left="1440" w:right="720"/>
        <w:rPr>
          <w:sz w:val="22"/>
          <w:szCs w:val="22"/>
        </w:rPr>
      </w:pPr>
      <w:r w:rsidRPr="00560AA0">
        <w:rPr>
          <w:sz w:val="22"/>
          <w:szCs w:val="22"/>
        </w:rPr>
        <w:lastRenderedPageBreak/>
        <w:t>47 CFR § 80.1161: “</w:t>
      </w:r>
      <w:r w:rsidRPr="008A49FA">
        <w:rPr>
          <w:sz w:val="22"/>
          <w:szCs w:val="22"/>
        </w:rPr>
        <w:t xml:space="preserve">EPIRB transmissions must be used </w:t>
      </w:r>
      <w:r w:rsidRPr="008A49FA">
        <w:rPr>
          <w:b/>
          <w:sz w:val="22"/>
          <w:szCs w:val="22"/>
          <w:u w:val="single"/>
        </w:rPr>
        <w:t>only</w:t>
      </w:r>
      <w:r w:rsidRPr="008A49FA">
        <w:rPr>
          <w:sz w:val="22"/>
          <w:szCs w:val="22"/>
        </w:rPr>
        <w:t xml:space="preserve"> under emergency conditions…” </w:t>
      </w:r>
      <w:r w:rsidR="00BF2B7D">
        <w:rPr>
          <w:sz w:val="22"/>
          <w:szCs w:val="22"/>
        </w:rPr>
        <w:t>(emphasis added).</w:t>
      </w:r>
      <w:r w:rsidRPr="008A49FA">
        <w:rPr>
          <w:sz w:val="22"/>
          <w:szCs w:val="22"/>
        </w:rPr>
        <w:t xml:space="preserve">  </w:t>
      </w:r>
      <w:r w:rsidR="004B0DE7">
        <w:rPr>
          <w:sz w:val="22"/>
          <w:szCs w:val="22"/>
        </w:rPr>
        <w:t xml:space="preserve">Also on September </w:t>
      </w:r>
      <w:r w:rsidR="004B0DE7" w:rsidRPr="00E60EAB">
        <w:rPr>
          <w:sz w:val="22"/>
          <w:szCs w:val="22"/>
        </w:rPr>
        <w:t>7, 2017</w:t>
      </w:r>
      <w:r w:rsidRPr="008A49FA">
        <w:rPr>
          <w:sz w:val="22"/>
          <w:szCs w:val="22"/>
        </w:rPr>
        <w:t xml:space="preserve">, the agent found </w:t>
      </w:r>
      <w:r w:rsidRPr="008A49FA">
        <w:rPr>
          <w:sz w:val="22"/>
          <w:szCs w:val="24"/>
        </w:rPr>
        <w:t xml:space="preserve">the EPIRB </w:t>
      </w:r>
      <w:r w:rsidR="005A0619">
        <w:rPr>
          <w:sz w:val="22"/>
          <w:szCs w:val="24"/>
        </w:rPr>
        <w:t xml:space="preserve">was </w:t>
      </w:r>
      <w:r w:rsidRPr="008A49FA">
        <w:rPr>
          <w:sz w:val="22"/>
          <w:szCs w:val="24"/>
        </w:rPr>
        <w:t>activated in the absence of any actual emergency situation</w:t>
      </w:r>
      <w:r w:rsidR="005A0619">
        <w:rPr>
          <w:sz w:val="22"/>
          <w:szCs w:val="24"/>
        </w:rPr>
        <w:t xml:space="preserve"> and located</w:t>
      </w:r>
      <w:r w:rsidRPr="008A49FA">
        <w:rPr>
          <w:sz w:val="22"/>
          <w:szCs w:val="24"/>
        </w:rPr>
        <w:t xml:space="preserve"> on </w:t>
      </w:r>
      <w:r w:rsidR="00E240EF">
        <w:rPr>
          <w:sz w:val="22"/>
          <w:szCs w:val="24"/>
        </w:rPr>
        <w:t xml:space="preserve">your </w:t>
      </w:r>
      <w:r w:rsidR="005A0619">
        <w:rPr>
          <w:sz w:val="22"/>
          <w:szCs w:val="24"/>
        </w:rPr>
        <w:t xml:space="preserve">submerged </w:t>
      </w:r>
      <w:r w:rsidR="00E240EF">
        <w:rPr>
          <w:sz w:val="22"/>
          <w:szCs w:val="24"/>
        </w:rPr>
        <w:t>vessel, “Salty Reels”</w:t>
      </w:r>
      <w:r w:rsidR="005A0619">
        <w:rPr>
          <w:sz w:val="22"/>
          <w:szCs w:val="24"/>
        </w:rPr>
        <w:t xml:space="preserve"> (</w:t>
      </w:r>
      <w:r w:rsidR="00E240EF">
        <w:rPr>
          <w:sz w:val="22"/>
          <w:szCs w:val="24"/>
        </w:rPr>
        <w:t xml:space="preserve">VA </w:t>
      </w:r>
      <w:r w:rsidR="005A0619">
        <w:rPr>
          <w:sz w:val="22"/>
          <w:szCs w:val="24"/>
        </w:rPr>
        <w:t xml:space="preserve">Registration </w:t>
      </w:r>
      <w:r w:rsidR="00E240EF">
        <w:rPr>
          <w:sz w:val="22"/>
          <w:szCs w:val="24"/>
        </w:rPr>
        <w:t>5157 BZ</w:t>
      </w:r>
      <w:r w:rsidR="005A0619">
        <w:rPr>
          <w:sz w:val="22"/>
          <w:szCs w:val="24"/>
        </w:rPr>
        <w:t xml:space="preserve">) </w:t>
      </w:r>
      <w:r w:rsidR="00E240EF">
        <w:rPr>
          <w:sz w:val="22"/>
          <w:szCs w:val="24"/>
        </w:rPr>
        <w:t xml:space="preserve">while docked at </w:t>
      </w:r>
      <w:r w:rsidR="005A0619">
        <w:rPr>
          <w:sz w:val="22"/>
          <w:szCs w:val="24"/>
        </w:rPr>
        <w:t>th</w:t>
      </w:r>
      <w:r w:rsidR="00E240EF">
        <w:rPr>
          <w:sz w:val="22"/>
          <w:szCs w:val="24"/>
        </w:rPr>
        <w:t xml:space="preserve">e Atlantic Yacht Basin </w:t>
      </w:r>
      <w:r w:rsidR="00427D18">
        <w:rPr>
          <w:sz w:val="22"/>
          <w:szCs w:val="24"/>
        </w:rPr>
        <w:t xml:space="preserve">in </w:t>
      </w:r>
      <w:r w:rsidR="008759B9">
        <w:rPr>
          <w:sz w:val="22"/>
          <w:szCs w:val="24"/>
        </w:rPr>
        <w:t>Chesapeake, Virginia</w:t>
      </w:r>
      <w:r w:rsidR="00427D18">
        <w:rPr>
          <w:sz w:val="22"/>
          <w:szCs w:val="24"/>
        </w:rPr>
        <w:t>.</w:t>
      </w:r>
    </w:p>
    <w:p w:rsidR="00E60EAB" w:rsidRPr="00E60EAB" w:rsidRDefault="00E60EAB" w:rsidP="00E60EAB">
      <w:pPr>
        <w:ind w:left="1080" w:right="720"/>
        <w:rPr>
          <w:sz w:val="22"/>
          <w:szCs w:val="22"/>
        </w:rPr>
      </w:pPr>
    </w:p>
    <w:p w:rsidR="00F66A8F" w:rsidRPr="00FD36F7" w:rsidRDefault="00F66A8F" w:rsidP="00F66A8F">
      <w:pPr>
        <w:numPr>
          <w:ilvl w:val="0"/>
          <w:numId w:val="10"/>
        </w:numPr>
        <w:tabs>
          <w:tab w:val="clear" w:pos="720"/>
        </w:tabs>
        <w:ind w:left="0" w:firstLine="720"/>
        <w:rPr>
          <w:color w:val="000000"/>
          <w:sz w:val="22"/>
          <w:szCs w:val="22"/>
        </w:rPr>
      </w:pPr>
      <w:r w:rsidRPr="00FD36F7">
        <w:rPr>
          <w:sz w:val="22"/>
          <w:szCs w:val="22"/>
        </w:rPr>
        <w:t>Pursuant to</w:t>
      </w:r>
      <w:r w:rsidR="0072561F">
        <w:rPr>
          <w:sz w:val="22"/>
          <w:szCs w:val="22"/>
        </w:rPr>
        <w:t xml:space="preserve"> </w:t>
      </w:r>
      <w:r w:rsidR="0072561F" w:rsidRPr="003F5ABD">
        <w:rPr>
          <w:sz w:val="22"/>
          <w:szCs w:val="22"/>
        </w:rPr>
        <w:t>Section</w:t>
      </w:r>
      <w:r w:rsidR="00C3451E" w:rsidRPr="003F5ABD">
        <w:rPr>
          <w:sz w:val="22"/>
          <w:szCs w:val="22"/>
        </w:rPr>
        <w:t xml:space="preserve"> 308(b) </w:t>
      </w:r>
      <w:r w:rsidRPr="003F5ABD">
        <w:rPr>
          <w:sz w:val="22"/>
          <w:szCs w:val="22"/>
        </w:rPr>
        <w:t>of the Communications Act of 1934, as amended,</w:t>
      </w:r>
      <w:r w:rsidRPr="003F5ABD">
        <w:rPr>
          <w:rStyle w:val="FootnoteReference"/>
          <w:sz w:val="22"/>
          <w:szCs w:val="22"/>
        </w:rPr>
        <w:footnoteReference w:id="3"/>
      </w:r>
      <w:r w:rsidR="00482A21" w:rsidRPr="003F5ABD">
        <w:rPr>
          <w:sz w:val="22"/>
          <w:szCs w:val="22"/>
        </w:rPr>
        <w:t xml:space="preserve"> and Section 1.89 of the R</w:t>
      </w:r>
      <w:r w:rsidRPr="003F5ABD">
        <w:rPr>
          <w:sz w:val="22"/>
          <w:szCs w:val="22"/>
        </w:rPr>
        <w:t xml:space="preserve">ules, we seek additional </w:t>
      </w:r>
      <w:r w:rsidRPr="00FD36F7">
        <w:rPr>
          <w:sz w:val="22"/>
          <w:szCs w:val="22"/>
        </w:rPr>
        <w:t>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3E1FEE">
        <w:rPr>
          <w:sz w:val="22"/>
          <w:szCs w:val="22"/>
        </w:rPr>
        <w:t>Dan Blancho</w:t>
      </w:r>
      <w:r w:rsidR="00C3451E">
        <w:rPr>
          <w:color w:val="FF0000"/>
          <w:sz w:val="22"/>
          <w:szCs w:val="22"/>
        </w:rPr>
        <w:t xml:space="preserve"> </w:t>
      </w:r>
      <w:r w:rsidRPr="00FD36F7">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Default="00F66A8F" w:rsidP="00F66A8F">
      <w:pPr>
        <w:pStyle w:val="BodyTextIndent3"/>
        <w:ind w:firstLine="0"/>
        <w:jc w:val="left"/>
        <w:rPr>
          <w:szCs w:val="22"/>
        </w:rPr>
      </w:pPr>
    </w:p>
    <w:p w:rsidR="00F66A8F" w:rsidRDefault="00F66A8F" w:rsidP="00F66A8F">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F66A8F" w:rsidRDefault="00F66A8F" w:rsidP="00F66A8F">
      <w:pPr>
        <w:rPr>
          <w:color w:val="000000"/>
          <w:sz w:val="22"/>
          <w:szCs w:val="22"/>
        </w:rPr>
      </w:pPr>
    </w:p>
    <w:p w:rsidR="00F66A8F" w:rsidRPr="002E238B" w:rsidRDefault="00F66A8F" w:rsidP="00F66A8F">
      <w:pPr>
        <w:keepNext/>
        <w:keepLines/>
        <w:ind w:left="2520"/>
        <w:rPr>
          <w:sz w:val="22"/>
          <w:szCs w:val="22"/>
        </w:rPr>
      </w:pPr>
      <w:r w:rsidRPr="002E238B">
        <w:rPr>
          <w:sz w:val="22"/>
          <w:szCs w:val="22"/>
        </w:rPr>
        <w:t>Federal Communications Commission</w:t>
      </w:r>
    </w:p>
    <w:p w:rsidR="005A0619" w:rsidRDefault="005A0619" w:rsidP="002E238B">
      <w:pPr>
        <w:keepNext/>
        <w:keepLines/>
        <w:ind w:left="2520"/>
        <w:rPr>
          <w:sz w:val="22"/>
          <w:szCs w:val="22"/>
        </w:rPr>
      </w:pPr>
      <w:r>
        <w:rPr>
          <w:sz w:val="22"/>
          <w:szCs w:val="22"/>
        </w:rPr>
        <w:t xml:space="preserve">Columbia Regional Office </w:t>
      </w:r>
    </w:p>
    <w:p w:rsidR="00A4452C" w:rsidRPr="002C60DD" w:rsidRDefault="00A4452C" w:rsidP="002C60DD">
      <w:pPr>
        <w:keepNext/>
        <w:keepLines/>
        <w:ind w:left="2520"/>
        <w:rPr>
          <w:sz w:val="22"/>
          <w:szCs w:val="22"/>
        </w:rPr>
      </w:pPr>
      <w:r w:rsidRPr="002C60DD">
        <w:rPr>
          <w:sz w:val="22"/>
          <w:szCs w:val="22"/>
        </w:rPr>
        <w:t>9200 Farm House Lane</w:t>
      </w:r>
    </w:p>
    <w:p w:rsidR="00A4452C" w:rsidRPr="002C60DD" w:rsidRDefault="00A4452C" w:rsidP="002C60DD">
      <w:pPr>
        <w:keepNext/>
        <w:keepLines/>
        <w:ind w:left="2520"/>
        <w:rPr>
          <w:sz w:val="22"/>
          <w:szCs w:val="22"/>
        </w:rPr>
      </w:pPr>
      <w:r w:rsidRPr="002C60DD">
        <w:rPr>
          <w:sz w:val="22"/>
          <w:szCs w:val="22"/>
        </w:rPr>
        <w:t xml:space="preserve">Columbia, Maryland </w:t>
      </w:r>
      <w:r w:rsidR="002C60DD">
        <w:rPr>
          <w:sz w:val="22"/>
          <w:szCs w:val="22"/>
        </w:rPr>
        <w:t xml:space="preserve"> </w:t>
      </w:r>
      <w:r w:rsidRPr="002C60DD">
        <w:rPr>
          <w:sz w:val="22"/>
          <w:szCs w:val="22"/>
        </w:rPr>
        <w:t>21046</w:t>
      </w:r>
    </w:p>
    <w:p w:rsidR="00545132" w:rsidRDefault="00545132" w:rsidP="00545132">
      <w:pPr>
        <w:tabs>
          <w:tab w:val="left" w:pos="-1440"/>
        </w:tabs>
        <w:rPr>
          <w:color w:val="000000"/>
          <w:sz w:val="22"/>
          <w:szCs w:val="22"/>
        </w:rPr>
      </w:pPr>
    </w:p>
    <w:p w:rsidR="00C83BA9" w:rsidRDefault="00F66A8F" w:rsidP="00C83BA9">
      <w:pPr>
        <w:numPr>
          <w:ilvl w:val="0"/>
          <w:numId w:val="10"/>
        </w:numPr>
        <w:tabs>
          <w:tab w:val="clear" w:pos="720"/>
          <w:tab w:val="left" w:pos="-1440"/>
        </w:tabs>
        <w:ind w:left="0" w:firstLine="720"/>
        <w:rPr>
          <w:color w:val="000000"/>
          <w:sz w:val="22"/>
          <w:szCs w:val="22"/>
        </w:rPr>
      </w:pPr>
      <w:r w:rsidRPr="003359C4">
        <w:rPr>
          <w:color w:val="000000"/>
          <w:sz w:val="22"/>
          <w:szCs w:val="22"/>
        </w:rPr>
        <w:t xml:space="preserve">This Notice shall be sent to </w:t>
      </w:r>
      <w:r w:rsidR="003E1FEE">
        <w:rPr>
          <w:sz w:val="22"/>
          <w:szCs w:val="22"/>
        </w:rPr>
        <w:t>Dan Blancho</w:t>
      </w:r>
      <w:r w:rsidR="00C3451E" w:rsidRPr="009039B9">
        <w:rPr>
          <w:color w:val="FF0000"/>
          <w:sz w:val="22"/>
          <w:szCs w:val="22"/>
        </w:rPr>
        <w:t xml:space="preserve"> </w:t>
      </w:r>
      <w:r w:rsidR="003359C4" w:rsidRPr="009039B9">
        <w:rPr>
          <w:sz w:val="22"/>
          <w:szCs w:val="22"/>
        </w:rPr>
        <w:t xml:space="preserve">at </w:t>
      </w:r>
      <w:r w:rsidR="00C3451E">
        <w:rPr>
          <w:sz w:val="22"/>
          <w:szCs w:val="22"/>
        </w:rPr>
        <w:t xml:space="preserve">his </w:t>
      </w:r>
      <w:r w:rsidR="00C83BA9">
        <w:rPr>
          <w:color w:val="000000"/>
          <w:sz w:val="22"/>
          <w:szCs w:val="22"/>
        </w:rPr>
        <w:t>address of record.</w:t>
      </w:r>
    </w:p>
    <w:p w:rsidR="00C83BA9" w:rsidRPr="00C83BA9" w:rsidRDefault="00C83BA9" w:rsidP="00C83BA9">
      <w:pPr>
        <w:tabs>
          <w:tab w:val="left" w:pos="-1440"/>
        </w:tabs>
        <w:ind w:left="720"/>
        <w:rPr>
          <w:color w:val="000000"/>
          <w:sz w:val="22"/>
          <w:szCs w:val="22"/>
        </w:rPr>
      </w:pP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5"/>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1E11C6">
      <w:pPr>
        <w:tabs>
          <w:tab w:val="left" w:pos="-1440"/>
        </w:tabs>
        <w:rPr>
          <w:b/>
          <w:sz w:val="22"/>
          <w:szCs w:val="22"/>
        </w:rPr>
      </w:pPr>
    </w:p>
    <w:p w:rsidR="00354D4C" w:rsidRPr="00892623" w:rsidRDefault="00354D4C" w:rsidP="00AE04A5">
      <w:pPr>
        <w:rPr>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Default="002C6872" w:rsidP="002C6872">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73724" w:rsidRDefault="00973724" w:rsidP="002C6872">
      <w:pPr>
        <w:rPr>
          <w:noProof/>
          <w:sz w:val="22"/>
          <w:szCs w:val="22"/>
        </w:rPr>
      </w:pPr>
    </w:p>
    <w:p w:rsidR="00973724" w:rsidRPr="00892623" w:rsidRDefault="00973724" w:rsidP="002C6872">
      <w:pPr>
        <w:rPr>
          <w:sz w:val="22"/>
          <w:szCs w:val="22"/>
        </w:rPr>
      </w:pPr>
    </w:p>
    <w:p w:rsidR="00C3451E" w:rsidRPr="00DB1B55" w:rsidRDefault="002C60DD" w:rsidP="00C3451E">
      <w:pPr>
        <w:ind w:left="3960" w:firstLine="720"/>
        <w:rPr>
          <w:sz w:val="22"/>
          <w:szCs w:val="22"/>
        </w:rPr>
      </w:pPr>
      <w:r>
        <w:rPr>
          <w:sz w:val="22"/>
          <w:szCs w:val="22"/>
        </w:rPr>
        <w:t>David C</w:t>
      </w:r>
      <w:r w:rsidR="00C3451E">
        <w:rPr>
          <w:sz w:val="22"/>
          <w:szCs w:val="22"/>
        </w:rPr>
        <w:t xml:space="preserve">. </w:t>
      </w:r>
      <w:r>
        <w:rPr>
          <w:sz w:val="22"/>
          <w:szCs w:val="22"/>
        </w:rPr>
        <w:t>Dombrowski</w:t>
      </w:r>
    </w:p>
    <w:p w:rsidR="00C3451E" w:rsidRPr="00DB1B55" w:rsidRDefault="00C3451E" w:rsidP="00C3451E">
      <w:pPr>
        <w:ind w:left="3960" w:firstLine="720"/>
        <w:rPr>
          <w:sz w:val="22"/>
          <w:szCs w:val="22"/>
        </w:rPr>
      </w:pPr>
      <w:r>
        <w:rPr>
          <w:sz w:val="22"/>
          <w:szCs w:val="22"/>
        </w:rPr>
        <w:t>Regional Director</w:t>
      </w:r>
    </w:p>
    <w:p w:rsidR="00C3451E" w:rsidRPr="00DB1B55" w:rsidRDefault="00C3451E" w:rsidP="00C3451E">
      <w:pPr>
        <w:ind w:left="3960" w:firstLine="720"/>
        <w:rPr>
          <w:sz w:val="22"/>
          <w:szCs w:val="22"/>
        </w:rPr>
      </w:pPr>
      <w:r>
        <w:rPr>
          <w:sz w:val="22"/>
          <w:szCs w:val="22"/>
        </w:rPr>
        <w:t xml:space="preserve">Region </w:t>
      </w:r>
      <w:r w:rsidR="00725D2B">
        <w:rPr>
          <w:sz w:val="22"/>
          <w:szCs w:val="22"/>
        </w:rPr>
        <w:t>One</w:t>
      </w:r>
    </w:p>
    <w:p w:rsidR="00354D4C" w:rsidRPr="00892623" w:rsidRDefault="00C3451E" w:rsidP="00C3451E">
      <w:pPr>
        <w:ind w:left="4320" w:firstLine="360"/>
        <w:rPr>
          <w:sz w:val="22"/>
          <w:szCs w:val="22"/>
        </w:rPr>
      </w:pPr>
      <w:r w:rsidRPr="00DB1B55">
        <w:rPr>
          <w:sz w:val="22"/>
          <w:szCs w:val="22"/>
        </w:rPr>
        <w:t>Enforcement Bureau</w:t>
      </w:r>
    </w:p>
    <w:p w:rsidR="00354D4C" w:rsidRPr="00892623" w:rsidRDefault="00354D4C">
      <w:pPr>
        <w:pStyle w:val="Header"/>
        <w:tabs>
          <w:tab w:val="clear" w:pos="4320"/>
          <w:tab w:val="clear" w:pos="8640"/>
        </w:tabs>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9D4" w:rsidRDefault="009D29D4">
      <w:r>
        <w:separator/>
      </w:r>
    </w:p>
  </w:endnote>
  <w:endnote w:type="continuationSeparator" w:id="0">
    <w:p w:rsidR="009D29D4" w:rsidRDefault="009D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68" w:rsidRDefault="007730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68" w:rsidRDefault="007730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68" w:rsidRDefault="00773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9D4" w:rsidRDefault="009D29D4">
      <w:r>
        <w:separator/>
      </w:r>
    </w:p>
  </w:footnote>
  <w:footnote w:type="continuationSeparator" w:id="0">
    <w:p w:rsidR="009D29D4" w:rsidRDefault="009D29D4">
      <w:r>
        <w:continuationSeparator/>
      </w:r>
    </w:p>
  </w:footnote>
  <w:footnote w:id="1">
    <w:p w:rsidR="00A946B0" w:rsidRPr="00C64968" w:rsidRDefault="00A946B0"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A946B0" w:rsidRPr="004F4F6F" w:rsidRDefault="00A946B0"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A946B0" w:rsidRDefault="00A946B0" w:rsidP="00F66A8F">
      <w:pPr>
        <w:pStyle w:val="FootnoteText"/>
        <w:spacing w:after="120"/>
      </w:pPr>
    </w:p>
  </w:footnote>
  <w:footnote w:id="3">
    <w:p w:rsidR="00A946B0" w:rsidRDefault="00A946B0" w:rsidP="00F66A8F">
      <w:pPr>
        <w:pStyle w:val="FootnoteText"/>
        <w:spacing w:after="120"/>
        <w:rPr>
          <w:sz w:val="20"/>
        </w:rPr>
      </w:pPr>
      <w:r>
        <w:rPr>
          <w:rStyle w:val="FootnoteReference"/>
        </w:rPr>
        <w:footnoteRef/>
      </w:r>
      <w:r>
        <w:rPr>
          <w:sz w:val="20"/>
        </w:rPr>
        <w:t xml:space="preserve"> 47 U.S.C. </w:t>
      </w:r>
      <w:r w:rsidRPr="00C3451E">
        <w:rPr>
          <w:sz w:val="20"/>
        </w:rPr>
        <w:t xml:space="preserve">§ </w:t>
      </w:r>
      <w:r w:rsidR="00C3451E" w:rsidRPr="00C3451E">
        <w:rPr>
          <w:sz w:val="20"/>
        </w:rPr>
        <w:t>308(b)</w:t>
      </w:r>
      <w:r w:rsidRPr="00C3451E">
        <w:rPr>
          <w:sz w:val="20"/>
        </w:rPr>
        <w:t>.</w:t>
      </w:r>
    </w:p>
  </w:footnote>
  <w:footnote w:id="4">
    <w:p w:rsidR="00A946B0" w:rsidRDefault="00A946B0" w:rsidP="00F66A8F">
      <w:pPr>
        <w:pStyle w:val="FootnoteText"/>
        <w:spacing w:after="120"/>
      </w:pPr>
      <w:r>
        <w:rPr>
          <w:rStyle w:val="FootnoteReference"/>
        </w:rPr>
        <w:footnoteRef/>
      </w:r>
      <w:r>
        <w:rPr>
          <w:sz w:val="20"/>
        </w:rPr>
        <w:t xml:space="preserve"> </w:t>
      </w:r>
      <w:r w:rsidRPr="00510AC7">
        <w:rPr>
          <w:sz w:val="20"/>
        </w:rPr>
        <w:t>47 CFR § 1.89(c).</w:t>
      </w:r>
    </w:p>
  </w:footnote>
  <w:footnote w:id="5">
    <w:p w:rsidR="00A946B0" w:rsidRPr="00545132" w:rsidRDefault="00A946B0">
      <w:pPr>
        <w:pStyle w:val="FootnoteText"/>
        <w:rPr>
          <w:sz w:val="20"/>
          <w:lang w:val="it-IT"/>
        </w:rPr>
      </w:pPr>
      <w:r w:rsidRPr="00C64968">
        <w:rPr>
          <w:rStyle w:val="FootnoteReference"/>
        </w:rPr>
        <w:footnoteRef/>
      </w:r>
      <w:r w:rsidRPr="00545132">
        <w:rPr>
          <w:sz w:val="20"/>
          <w:lang w:val="it-IT"/>
        </w:rPr>
        <w:t xml:space="preserve"> 5 U.S.C. § 552a(e)(3).</w:t>
      </w:r>
    </w:p>
    <w:p w:rsidR="00A946B0" w:rsidRPr="00545132" w:rsidRDefault="00A946B0">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68" w:rsidRDefault="007730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68" w:rsidRDefault="007730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68" w:rsidRDefault="00773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61C47"/>
    <w:rsid w:val="0006516A"/>
    <w:rsid w:val="00065B07"/>
    <w:rsid w:val="000B20C6"/>
    <w:rsid w:val="000E2512"/>
    <w:rsid w:val="000E3D5C"/>
    <w:rsid w:val="0010025D"/>
    <w:rsid w:val="00100D9E"/>
    <w:rsid w:val="0011043A"/>
    <w:rsid w:val="001217BA"/>
    <w:rsid w:val="00136404"/>
    <w:rsid w:val="00152218"/>
    <w:rsid w:val="00156006"/>
    <w:rsid w:val="0015777C"/>
    <w:rsid w:val="001644EB"/>
    <w:rsid w:val="00177853"/>
    <w:rsid w:val="001E11C6"/>
    <w:rsid w:val="001F5922"/>
    <w:rsid w:val="00212CBB"/>
    <w:rsid w:val="002212EB"/>
    <w:rsid w:val="00233233"/>
    <w:rsid w:val="00237A90"/>
    <w:rsid w:val="00282507"/>
    <w:rsid w:val="002866A5"/>
    <w:rsid w:val="002A3BA3"/>
    <w:rsid w:val="002A648B"/>
    <w:rsid w:val="002A7CA9"/>
    <w:rsid w:val="002B1A58"/>
    <w:rsid w:val="002B39CE"/>
    <w:rsid w:val="002B41DB"/>
    <w:rsid w:val="002C60DD"/>
    <w:rsid w:val="002C6872"/>
    <w:rsid w:val="002E238B"/>
    <w:rsid w:val="002E5791"/>
    <w:rsid w:val="00305E0B"/>
    <w:rsid w:val="00314AE7"/>
    <w:rsid w:val="003359C4"/>
    <w:rsid w:val="00354D4C"/>
    <w:rsid w:val="0036298F"/>
    <w:rsid w:val="00390372"/>
    <w:rsid w:val="003B1CAB"/>
    <w:rsid w:val="003D32F9"/>
    <w:rsid w:val="003D6B43"/>
    <w:rsid w:val="003E1FEE"/>
    <w:rsid w:val="003E30F7"/>
    <w:rsid w:val="003F5ABD"/>
    <w:rsid w:val="00401CFD"/>
    <w:rsid w:val="004130B3"/>
    <w:rsid w:val="00427D18"/>
    <w:rsid w:val="0043494B"/>
    <w:rsid w:val="00440717"/>
    <w:rsid w:val="00482A21"/>
    <w:rsid w:val="004902B9"/>
    <w:rsid w:val="004A1715"/>
    <w:rsid w:val="004B0DE7"/>
    <w:rsid w:val="004D31D9"/>
    <w:rsid w:val="004F2658"/>
    <w:rsid w:val="00511237"/>
    <w:rsid w:val="005214B2"/>
    <w:rsid w:val="00530AE3"/>
    <w:rsid w:val="00532357"/>
    <w:rsid w:val="00545132"/>
    <w:rsid w:val="00550162"/>
    <w:rsid w:val="00557612"/>
    <w:rsid w:val="0055765D"/>
    <w:rsid w:val="00562ABB"/>
    <w:rsid w:val="0059447E"/>
    <w:rsid w:val="005A0619"/>
    <w:rsid w:val="005A124C"/>
    <w:rsid w:val="005B5194"/>
    <w:rsid w:val="005C3EA7"/>
    <w:rsid w:val="005C59D3"/>
    <w:rsid w:val="005C69CD"/>
    <w:rsid w:val="005D2CC7"/>
    <w:rsid w:val="005D597B"/>
    <w:rsid w:val="005F0512"/>
    <w:rsid w:val="0060186D"/>
    <w:rsid w:val="00614134"/>
    <w:rsid w:val="00614329"/>
    <w:rsid w:val="00655FA5"/>
    <w:rsid w:val="006C445B"/>
    <w:rsid w:val="006D44F7"/>
    <w:rsid w:val="006E44D9"/>
    <w:rsid w:val="00712187"/>
    <w:rsid w:val="0072561F"/>
    <w:rsid w:val="00725D2B"/>
    <w:rsid w:val="00734575"/>
    <w:rsid w:val="00747603"/>
    <w:rsid w:val="007544A1"/>
    <w:rsid w:val="00773068"/>
    <w:rsid w:val="00780C9A"/>
    <w:rsid w:val="00780D31"/>
    <w:rsid w:val="0078184D"/>
    <w:rsid w:val="00796C0C"/>
    <w:rsid w:val="007A719F"/>
    <w:rsid w:val="007B1664"/>
    <w:rsid w:val="007B40C1"/>
    <w:rsid w:val="007C2BB4"/>
    <w:rsid w:val="007D2538"/>
    <w:rsid w:val="007D4DF3"/>
    <w:rsid w:val="007E319A"/>
    <w:rsid w:val="007F3DFA"/>
    <w:rsid w:val="00811C09"/>
    <w:rsid w:val="00815E38"/>
    <w:rsid w:val="008512D3"/>
    <w:rsid w:val="00865920"/>
    <w:rsid w:val="008759B9"/>
    <w:rsid w:val="00892623"/>
    <w:rsid w:val="008A04EC"/>
    <w:rsid w:val="008A3542"/>
    <w:rsid w:val="008A49FA"/>
    <w:rsid w:val="008D12D7"/>
    <w:rsid w:val="008E5B49"/>
    <w:rsid w:val="00901686"/>
    <w:rsid w:val="0090238B"/>
    <w:rsid w:val="009039B9"/>
    <w:rsid w:val="00912159"/>
    <w:rsid w:val="00913F93"/>
    <w:rsid w:val="009211C8"/>
    <w:rsid w:val="00926C47"/>
    <w:rsid w:val="00934CD4"/>
    <w:rsid w:val="00936B5E"/>
    <w:rsid w:val="009453A0"/>
    <w:rsid w:val="00956A92"/>
    <w:rsid w:val="00971285"/>
    <w:rsid w:val="00973724"/>
    <w:rsid w:val="009747C5"/>
    <w:rsid w:val="009876B2"/>
    <w:rsid w:val="009B763C"/>
    <w:rsid w:val="009D0A3D"/>
    <w:rsid w:val="009D2578"/>
    <w:rsid w:val="009D29D4"/>
    <w:rsid w:val="009E2806"/>
    <w:rsid w:val="009E5DCC"/>
    <w:rsid w:val="00A1491A"/>
    <w:rsid w:val="00A4452C"/>
    <w:rsid w:val="00A51DB8"/>
    <w:rsid w:val="00A86FB8"/>
    <w:rsid w:val="00A926DC"/>
    <w:rsid w:val="00A946B0"/>
    <w:rsid w:val="00A96BD9"/>
    <w:rsid w:val="00AC3FDF"/>
    <w:rsid w:val="00AE04A5"/>
    <w:rsid w:val="00AF0649"/>
    <w:rsid w:val="00B07553"/>
    <w:rsid w:val="00B10923"/>
    <w:rsid w:val="00B32925"/>
    <w:rsid w:val="00B42F55"/>
    <w:rsid w:val="00B46775"/>
    <w:rsid w:val="00B47C16"/>
    <w:rsid w:val="00B51A09"/>
    <w:rsid w:val="00B61C91"/>
    <w:rsid w:val="00B66E23"/>
    <w:rsid w:val="00B90AE8"/>
    <w:rsid w:val="00B91D12"/>
    <w:rsid w:val="00B92C1C"/>
    <w:rsid w:val="00BC3C6B"/>
    <w:rsid w:val="00BF0A05"/>
    <w:rsid w:val="00BF0B84"/>
    <w:rsid w:val="00BF2B7D"/>
    <w:rsid w:val="00C06A27"/>
    <w:rsid w:val="00C12955"/>
    <w:rsid w:val="00C200F5"/>
    <w:rsid w:val="00C3180D"/>
    <w:rsid w:val="00C3451E"/>
    <w:rsid w:val="00C44625"/>
    <w:rsid w:val="00C64968"/>
    <w:rsid w:val="00C70F9B"/>
    <w:rsid w:val="00C81EA7"/>
    <w:rsid w:val="00C83BA9"/>
    <w:rsid w:val="00CA5984"/>
    <w:rsid w:val="00D14DCF"/>
    <w:rsid w:val="00D5265B"/>
    <w:rsid w:val="00D565CF"/>
    <w:rsid w:val="00D62CE1"/>
    <w:rsid w:val="00D82DCB"/>
    <w:rsid w:val="00D91F72"/>
    <w:rsid w:val="00D94108"/>
    <w:rsid w:val="00DA48BB"/>
    <w:rsid w:val="00DB7551"/>
    <w:rsid w:val="00DD549F"/>
    <w:rsid w:val="00E04895"/>
    <w:rsid w:val="00E240EF"/>
    <w:rsid w:val="00E41C51"/>
    <w:rsid w:val="00E467EE"/>
    <w:rsid w:val="00E60EAB"/>
    <w:rsid w:val="00E74465"/>
    <w:rsid w:val="00E74F76"/>
    <w:rsid w:val="00E943ED"/>
    <w:rsid w:val="00E970F0"/>
    <w:rsid w:val="00EA2366"/>
    <w:rsid w:val="00EC2C76"/>
    <w:rsid w:val="00F13E3E"/>
    <w:rsid w:val="00F13F46"/>
    <w:rsid w:val="00F1718E"/>
    <w:rsid w:val="00F21A5C"/>
    <w:rsid w:val="00F35370"/>
    <w:rsid w:val="00F66A8F"/>
    <w:rsid w:val="00F72912"/>
    <w:rsid w:val="00F76284"/>
    <w:rsid w:val="00F867D6"/>
    <w:rsid w:val="00F9589C"/>
    <w:rsid w:val="00FA0007"/>
    <w:rsid w:val="00FA5C12"/>
    <w:rsid w:val="00FB1300"/>
    <w:rsid w:val="00FB44F6"/>
    <w:rsid w:val="00FC6252"/>
    <w:rsid w:val="00FD0366"/>
    <w:rsid w:val="00FD0985"/>
    <w:rsid w:val="00FD121D"/>
    <w:rsid w:val="00FD523C"/>
    <w:rsid w:val="00FE2231"/>
    <w:rsid w:val="00FE3461"/>
    <w:rsid w:val="00FE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9D25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9D2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9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3073</Characters>
  <Application>Microsoft Office Word</Application>
  <DocSecurity>0</DocSecurity>
  <Lines>83</Lines>
  <Paragraphs>30</Paragraphs>
  <ScaleCrop>false</ScaleCrop>
  <Manager/>
  <Company/>
  <LinksUpToDate>false</LinksUpToDate>
  <CharactersWithSpaces>3733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2017-10-17T13:29:00Z</dcterms:created>
  <dcterms:modified xsi:type="dcterms:W3CDTF">2017-10-17T13:29:00Z</dcterms:modified>
  <cp:category> </cp:category>
  <cp:contentStatus> </cp:contentStatus>
</cp:coreProperties>
</file>