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41CD8">
            <w:pPr>
              <w:spacing w:after="120"/>
              <w:jc w:val="center"/>
              <w:rPr>
                <w:b/>
              </w:rPr>
            </w:pPr>
            <w:bookmarkStart w:id="0" w:name="_Hlk496791010"/>
            <w:bookmarkStart w:id="1" w:name="_GoBack"/>
            <w:bookmarkEnd w:id="1"/>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Pr="00641CD8" w:rsidRDefault="007A44F8" w:rsidP="00BB4E29">
            <w:pPr>
              <w:jc w:val="center"/>
              <w:rPr>
                <w:b/>
                <w:bCs/>
                <w:sz w:val="22"/>
                <w:szCs w:val="22"/>
              </w:rPr>
            </w:pPr>
          </w:p>
          <w:p w:rsidR="00E34E3F" w:rsidRPr="00B47F70" w:rsidRDefault="00E34E3F" w:rsidP="00A41840">
            <w:pPr>
              <w:widowControl w:val="0"/>
              <w:autoSpaceDE w:val="0"/>
              <w:autoSpaceDN w:val="0"/>
              <w:adjustRightInd w:val="0"/>
              <w:jc w:val="center"/>
              <w:rPr>
                <w:b/>
                <w:bCs/>
                <w:caps/>
              </w:rPr>
            </w:pPr>
            <w:r w:rsidRPr="00B47F70">
              <w:rPr>
                <w:b/>
                <w:bCs/>
                <w:caps/>
              </w:rPr>
              <w:t xml:space="preserve">FCC </w:t>
            </w:r>
            <w:r w:rsidR="00A41840" w:rsidRPr="00B47F70">
              <w:rPr>
                <w:b/>
                <w:bCs/>
                <w:caps/>
              </w:rPr>
              <w:t xml:space="preserve">ANNOUNCES TENTATIVE AGENDA FOR </w:t>
            </w:r>
            <w:r w:rsidR="00A50C28">
              <w:rPr>
                <w:b/>
                <w:bCs/>
                <w:caps/>
              </w:rPr>
              <w:t>NOVEMBER</w:t>
            </w:r>
            <w:r w:rsidR="00A41840" w:rsidRPr="00B47F70">
              <w:rPr>
                <w:b/>
                <w:bCs/>
                <w:caps/>
              </w:rPr>
              <w:t xml:space="preserve">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A41840" w:rsidRDefault="00FF1C0B" w:rsidP="00A41840">
            <w:pPr>
              <w:tabs>
                <w:tab w:val="left" w:pos="8640"/>
              </w:tabs>
              <w:rPr>
                <w:sz w:val="22"/>
                <w:szCs w:val="22"/>
              </w:rPr>
            </w:pPr>
            <w:r w:rsidRPr="008A3940">
              <w:rPr>
                <w:sz w:val="22"/>
                <w:szCs w:val="22"/>
              </w:rPr>
              <w:t xml:space="preserve">WASHINGTON, </w:t>
            </w:r>
            <w:r w:rsidR="00A50C28">
              <w:rPr>
                <w:sz w:val="22"/>
                <w:szCs w:val="22"/>
              </w:rPr>
              <w:t>October 26</w:t>
            </w:r>
            <w:r w:rsidR="00D148D6">
              <w:rPr>
                <w:sz w:val="22"/>
                <w:szCs w:val="22"/>
              </w:rPr>
              <w:t>, 201</w:t>
            </w:r>
            <w:r w:rsidR="00A27E96">
              <w:rPr>
                <w:sz w:val="22"/>
                <w:szCs w:val="22"/>
              </w:rPr>
              <w:t>7</w:t>
            </w:r>
            <w:r w:rsidR="00641CD8">
              <w:rPr>
                <w:sz w:val="22"/>
                <w:szCs w:val="22"/>
              </w:rPr>
              <w:t>—</w:t>
            </w:r>
            <w:r w:rsidR="00A41840" w:rsidRPr="00A41840">
              <w:rPr>
                <w:sz w:val="22"/>
                <w:szCs w:val="22"/>
              </w:rPr>
              <w:t xml:space="preserve">Federal Communications Commission Chairman </w:t>
            </w:r>
            <w:r w:rsidR="00A27E96">
              <w:rPr>
                <w:sz w:val="22"/>
                <w:szCs w:val="22"/>
              </w:rPr>
              <w:t xml:space="preserve">Ajit Pai </w:t>
            </w:r>
            <w:r w:rsidR="00A41840" w:rsidRPr="00A41840">
              <w:rPr>
                <w:sz w:val="22"/>
                <w:szCs w:val="22"/>
              </w:rPr>
              <w:t xml:space="preserve">announced that the following items are tentatively on the agenda for the </w:t>
            </w:r>
            <w:r w:rsidR="00A50C28" w:rsidRPr="00A50C28">
              <w:rPr>
                <w:sz w:val="22"/>
                <w:szCs w:val="22"/>
              </w:rPr>
              <w:t>November</w:t>
            </w:r>
            <w:r w:rsidR="00A41840" w:rsidRPr="00A50C28">
              <w:rPr>
                <w:sz w:val="22"/>
                <w:szCs w:val="22"/>
              </w:rPr>
              <w:t xml:space="preserve"> Open Commission Meeting scheduled for </w:t>
            </w:r>
            <w:r w:rsidR="00D148D6" w:rsidRPr="00A50C28">
              <w:rPr>
                <w:sz w:val="22"/>
                <w:szCs w:val="22"/>
              </w:rPr>
              <w:t xml:space="preserve">Thursday, </w:t>
            </w:r>
            <w:r w:rsidR="00A50C28" w:rsidRPr="00A50C28">
              <w:rPr>
                <w:sz w:val="22"/>
                <w:szCs w:val="22"/>
              </w:rPr>
              <w:t>November</w:t>
            </w:r>
            <w:r w:rsidR="00D148D6" w:rsidRPr="00A50C28">
              <w:rPr>
                <w:sz w:val="22"/>
                <w:szCs w:val="22"/>
              </w:rPr>
              <w:t xml:space="preserve"> 16, 201</w:t>
            </w:r>
            <w:r w:rsidR="00A27E96" w:rsidRPr="00A50C28">
              <w:rPr>
                <w:sz w:val="22"/>
                <w:szCs w:val="22"/>
              </w:rPr>
              <w:t>7</w:t>
            </w:r>
            <w:r w:rsidR="00A41840" w:rsidRPr="00A50C28">
              <w:rPr>
                <w:sz w:val="22"/>
                <w:szCs w:val="22"/>
              </w:rPr>
              <w:t>:</w:t>
            </w:r>
          </w:p>
          <w:p w:rsidR="00A41840" w:rsidRDefault="00A41840" w:rsidP="00A41840">
            <w:pPr>
              <w:tabs>
                <w:tab w:val="left" w:pos="8640"/>
              </w:tabs>
              <w:rPr>
                <w:sz w:val="22"/>
                <w:szCs w:val="22"/>
              </w:rPr>
            </w:pPr>
          </w:p>
          <w:p w:rsidR="00BC46FC" w:rsidRPr="00BC46FC" w:rsidRDefault="008B468D" w:rsidP="00BC46FC">
            <w:pPr>
              <w:tabs>
                <w:tab w:val="left" w:pos="8640"/>
              </w:tabs>
              <w:rPr>
                <w:b/>
                <w:sz w:val="22"/>
                <w:szCs w:val="22"/>
              </w:rPr>
            </w:pPr>
            <w:bookmarkStart w:id="2" w:name="_Hlk496790682"/>
            <w:bookmarkStart w:id="3" w:name="_Hlk496793239"/>
            <w:r w:rsidRPr="00BC46FC">
              <w:rPr>
                <w:b/>
                <w:sz w:val="22"/>
                <w:szCs w:val="22"/>
              </w:rPr>
              <w:t>Blocking</w:t>
            </w:r>
            <w:r w:rsidR="00807D3C">
              <w:rPr>
                <w:b/>
                <w:sz w:val="22"/>
                <w:szCs w:val="22"/>
              </w:rPr>
              <w:t xml:space="preserve"> </w:t>
            </w:r>
            <w:r w:rsidR="00807D3C" w:rsidRPr="00807D3C">
              <w:rPr>
                <w:b/>
                <w:sz w:val="22"/>
                <w:szCs w:val="22"/>
              </w:rPr>
              <w:t>Unlawful Robocalls</w:t>
            </w:r>
            <w:r w:rsidR="00BC46FC">
              <w:rPr>
                <w:b/>
                <w:sz w:val="22"/>
                <w:szCs w:val="22"/>
              </w:rPr>
              <w:t xml:space="preserve"> </w:t>
            </w:r>
            <w:bookmarkEnd w:id="2"/>
            <w:r w:rsidR="00EE431A">
              <w:rPr>
                <w:b/>
                <w:sz w:val="22"/>
                <w:szCs w:val="22"/>
              </w:rPr>
              <w:t xml:space="preserve">– </w:t>
            </w:r>
            <w:r w:rsidR="00EE431A" w:rsidRPr="00EE431A">
              <w:rPr>
                <w:sz w:val="22"/>
                <w:szCs w:val="22"/>
              </w:rPr>
              <w:t>The Commission will consider a Report and Order that would expressly authorize voice service providers to block certain types of robocalls that falsely appear to be from telephone numbers that do not or cannot make outgoing calls. It also would prohibit voice service providers from blocking 911 calls under these rules, encourage voice service providers to provide a mechanism to allow subscribers whose legitimate calls are blocked in error to stop such blocking, and clarify that providers may exclude calls blocked under these rules from their call completion reports</w:t>
            </w:r>
            <w:r w:rsidR="00807D3C">
              <w:rPr>
                <w:sz w:val="22"/>
                <w:szCs w:val="22"/>
              </w:rPr>
              <w:t xml:space="preserve">. </w:t>
            </w:r>
            <w:r w:rsidR="00EE431A" w:rsidRPr="00EE431A">
              <w:rPr>
                <w:sz w:val="22"/>
                <w:szCs w:val="22"/>
              </w:rPr>
              <w:t xml:space="preserve"> (CG Docket No. 17-59)</w:t>
            </w:r>
          </w:p>
          <w:p w:rsidR="00BC46FC" w:rsidRDefault="00BC46FC" w:rsidP="00BC46FC">
            <w:pPr>
              <w:tabs>
                <w:tab w:val="left" w:pos="8640"/>
              </w:tabs>
              <w:rPr>
                <w:sz w:val="22"/>
                <w:szCs w:val="22"/>
              </w:rPr>
            </w:pPr>
          </w:p>
          <w:p w:rsidR="00BC46FC" w:rsidRDefault="00BC46FC" w:rsidP="00BC46FC">
            <w:pPr>
              <w:tabs>
                <w:tab w:val="left" w:pos="8640"/>
              </w:tabs>
              <w:rPr>
                <w:sz w:val="22"/>
                <w:szCs w:val="22"/>
              </w:rPr>
            </w:pPr>
            <w:r w:rsidRPr="000D2862">
              <w:rPr>
                <w:b/>
                <w:sz w:val="22"/>
                <w:szCs w:val="22"/>
              </w:rPr>
              <w:t>Spectrum Bands Above 24 GHz</w:t>
            </w:r>
            <w:r w:rsidRPr="000D2862">
              <w:rPr>
                <w:sz w:val="22"/>
                <w:szCs w:val="22"/>
              </w:rPr>
              <w:t xml:space="preserve"> – The Commission will consider a Second Report and Order, Order on Reconsideration, and Memorandum Opinion and Order that would make available 1</w:t>
            </w:r>
            <w:r w:rsidR="00FC3A3B">
              <w:rPr>
                <w:sz w:val="22"/>
                <w:szCs w:val="22"/>
              </w:rPr>
              <w:t>,</w:t>
            </w:r>
            <w:r w:rsidRPr="000D2862">
              <w:rPr>
                <w:sz w:val="22"/>
                <w:szCs w:val="22"/>
              </w:rPr>
              <w:t>7</w:t>
            </w:r>
            <w:r w:rsidR="00FC3A3B">
              <w:rPr>
                <w:sz w:val="22"/>
                <w:szCs w:val="22"/>
              </w:rPr>
              <w:t>00 M</w:t>
            </w:r>
            <w:r w:rsidRPr="000D2862">
              <w:rPr>
                <w:sz w:val="22"/>
                <w:szCs w:val="22"/>
              </w:rPr>
              <w:t>Hz of additional high-frequency spectrum for flexible terrestrial wireless use; provide 4 gigahertz for core satellite use; and adopt, refine, or affirm a number of service rules to promote robust deployment in these bands, and a Second Further Notice of Proposed Rulemaking seeking comment on certain related earth station, buildout, and licensing issues</w:t>
            </w:r>
            <w:r>
              <w:rPr>
                <w:sz w:val="22"/>
                <w:szCs w:val="22"/>
              </w:rPr>
              <w:t xml:space="preserve">. </w:t>
            </w:r>
            <w:r w:rsidRPr="000D2862">
              <w:rPr>
                <w:sz w:val="22"/>
                <w:szCs w:val="22"/>
              </w:rPr>
              <w:t xml:space="preserve"> (GN Docket No. 14-177; IB Docket No. 15-256; WT Docket No. 10-112; IB Docket No. 97-95)</w:t>
            </w:r>
          </w:p>
          <w:p w:rsidR="008B468D" w:rsidRDefault="008B468D" w:rsidP="00A41840">
            <w:pPr>
              <w:tabs>
                <w:tab w:val="left" w:pos="8640"/>
              </w:tabs>
              <w:rPr>
                <w:sz w:val="22"/>
                <w:szCs w:val="22"/>
              </w:rPr>
            </w:pPr>
          </w:p>
          <w:p w:rsidR="00A50C28" w:rsidRPr="00A50C28" w:rsidRDefault="00A50C28" w:rsidP="00A50C28">
            <w:pPr>
              <w:tabs>
                <w:tab w:val="left" w:pos="8640"/>
              </w:tabs>
              <w:rPr>
                <w:sz w:val="22"/>
                <w:szCs w:val="22"/>
              </w:rPr>
            </w:pPr>
            <w:r w:rsidRPr="00A50C28">
              <w:rPr>
                <w:b/>
                <w:bCs/>
                <w:sz w:val="22"/>
                <w:szCs w:val="22"/>
              </w:rPr>
              <w:t xml:space="preserve">Replacement Utility Poles Report &amp; Order – </w:t>
            </w:r>
            <w:r w:rsidRPr="00A50C28">
              <w:rPr>
                <w:sz w:val="22"/>
                <w:szCs w:val="22"/>
              </w:rPr>
              <w:t>The Commission will consider a Report and Order to eliminate the requirement for historic preservation review where utility poles are replaced with substantially identical poles that can support antennas or other wireless communications equipment, and to consolidate the Commission’s historic preservation review rules into a single rule.  (WT Docket No. 17-79)</w:t>
            </w:r>
          </w:p>
          <w:p w:rsidR="00BC46FC" w:rsidRDefault="00BC46FC" w:rsidP="00BC46FC">
            <w:pPr>
              <w:tabs>
                <w:tab w:val="left" w:pos="8640"/>
              </w:tabs>
              <w:rPr>
                <w:sz w:val="22"/>
                <w:szCs w:val="22"/>
              </w:rPr>
            </w:pPr>
          </w:p>
          <w:p w:rsidR="00BC46FC" w:rsidRDefault="00BC46FC" w:rsidP="00BC46FC">
            <w:pPr>
              <w:tabs>
                <w:tab w:val="left" w:pos="8640"/>
              </w:tabs>
              <w:rPr>
                <w:sz w:val="22"/>
                <w:szCs w:val="22"/>
              </w:rPr>
            </w:pPr>
            <w:r w:rsidRPr="00031E53">
              <w:rPr>
                <w:b/>
                <w:sz w:val="22"/>
                <w:szCs w:val="22"/>
              </w:rPr>
              <w:t>Accelerating Wireline Broadband Deployment</w:t>
            </w:r>
            <w:r>
              <w:rPr>
                <w:b/>
                <w:sz w:val="22"/>
                <w:szCs w:val="22"/>
              </w:rPr>
              <w:t xml:space="preserve"> </w:t>
            </w:r>
            <w:r>
              <w:rPr>
                <w:sz w:val="22"/>
                <w:szCs w:val="22"/>
              </w:rPr>
              <w:t xml:space="preserve">– </w:t>
            </w:r>
            <w:r w:rsidRPr="00031E53">
              <w:rPr>
                <w:sz w:val="22"/>
                <w:szCs w:val="22"/>
              </w:rPr>
              <w:t>The Commission will consider a Report and Order, Declaratory Ruling, and Further Notice of Proposed Rulemaking and Order that will revise and seek comment on further changes to the Commission’s pole attachment rules, network change disclosure processes, and section 214(a) discontinuance processes to remove barriers to infrastructure investment and promote broadband deployment, and will seek comment on taking target</w:t>
            </w:r>
            <w:r w:rsidR="00FC3A3B">
              <w:rPr>
                <w:sz w:val="22"/>
                <w:szCs w:val="22"/>
              </w:rPr>
              <w:t>ed</w:t>
            </w:r>
            <w:r w:rsidRPr="00031E53">
              <w:rPr>
                <w:sz w:val="22"/>
                <w:szCs w:val="22"/>
              </w:rPr>
              <w:t xml:space="preserve"> actions to facilitate rebuilding and repairing broadband infrastructure after natural disasters.  (WC Docket No. 17-84)</w:t>
            </w:r>
          </w:p>
          <w:p w:rsidR="00BC46FC" w:rsidRDefault="00BC46FC" w:rsidP="00BC46FC">
            <w:pPr>
              <w:tabs>
                <w:tab w:val="left" w:pos="8640"/>
              </w:tabs>
              <w:rPr>
                <w:sz w:val="22"/>
                <w:szCs w:val="22"/>
              </w:rPr>
            </w:pPr>
          </w:p>
          <w:p w:rsidR="00BC46FC" w:rsidRPr="00031E53" w:rsidRDefault="00BC46FC" w:rsidP="00BC46FC">
            <w:pPr>
              <w:tabs>
                <w:tab w:val="left" w:pos="8640"/>
              </w:tabs>
              <w:rPr>
                <w:sz w:val="22"/>
                <w:szCs w:val="22"/>
              </w:rPr>
            </w:pPr>
            <w:bookmarkStart w:id="4" w:name="_Hlk496787032"/>
            <w:r w:rsidRPr="00031E53">
              <w:rPr>
                <w:b/>
                <w:bCs/>
                <w:sz w:val="22"/>
                <w:szCs w:val="22"/>
              </w:rPr>
              <w:t xml:space="preserve">Bridging the Digital Divide for Low-Income Consumers </w:t>
            </w:r>
            <w:r>
              <w:rPr>
                <w:b/>
                <w:bCs/>
                <w:sz w:val="22"/>
                <w:szCs w:val="22"/>
              </w:rPr>
              <w:t xml:space="preserve">– </w:t>
            </w:r>
            <w:r w:rsidRPr="00031E53">
              <w:rPr>
                <w:bCs/>
                <w:sz w:val="22"/>
                <w:szCs w:val="22"/>
              </w:rPr>
              <w:t>T</w:t>
            </w:r>
            <w:r w:rsidRPr="00031E53">
              <w:rPr>
                <w:sz w:val="22"/>
                <w:szCs w:val="22"/>
              </w:rPr>
              <w:t>he Commission will consider a Fourth Report and Order, Order on Reconsideration, Memorandum Opinion and Order, Notice of Proposed Rulemaking, and Notice of Inquiry to adopt and propose measures to effectively and efficiently bridge the digital divide for Lifeline subscribers</w:t>
            </w:r>
            <w:r w:rsidR="00FC3A3B">
              <w:rPr>
                <w:sz w:val="22"/>
                <w:szCs w:val="22"/>
              </w:rPr>
              <w:t xml:space="preserve"> </w:t>
            </w:r>
            <w:r w:rsidR="00FC3A3B" w:rsidRPr="00FC3A3B">
              <w:rPr>
                <w:sz w:val="22"/>
                <w:szCs w:val="22"/>
              </w:rPr>
              <w:t>and reduce waste, fraud, and abuse in the Lifeline program</w:t>
            </w:r>
            <w:r w:rsidRPr="00031E53">
              <w:rPr>
                <w:sz w:val="22"/>
                <w:szCs w:val="22"/>
              </w:rPr>
              <w:t>.</w:t>
            </w:r>
            <w:r>
              <w:rPr>
                <w:sz w:val="22"/>
                <w:szCs w:val="22"/>
              </w:rPr>
              <w:t xml:space="preserve">  (</w:t>
            </w:r>
            <w:r w:rsidRPr="00031E53">
              <w:rPr>
                <w:sz w:val="22"/>
                <w:szCs w:val="22"/>
              </w:rPr>
              <w:t>WC Docket No. 17-287</w:t>
            </w:r>
            <w:r>
              <w:rPr>
                <w:sz w:val="22"/>
                <w:szCs w:val="22"/>
              </w:rPr>
              <w:t>)</w:t>
            </w:r>
          </w:p>
          <w:bookmarkEnd w:id="4"/>
          <w:p w:rsidR="00BC46FC" w:rsidRDefault="00BC46FC" w:rsidP="00A41840">
            <w:pPr>
              <w:tabs>
                <w:tab w:val="left" w:pos="8640"/>
              </w:tabs>
              <w:rPr>
                <w:sz w:val="22"/>
                <w:szCs w:val="22"/>
              </w:rPr>
            </w:pPr>
          </w:p>
          <w:p w:rsidR="0037332B" w:rsidRDefault="003246C1" w:rsidP="0037332B">
            <w:pPr>
              <w:tabs>
                <w:tab w:val="left" w:pos="8640"/>
              </w:tabs>
              <w:rPr>
                <w:sz w:val="22"/>
                <w:szCs w:val="22"/>
              </w:rPr>
            </w:pPr>
            <w:bookmarkStart w:id="5" w:name="_Hlk496786789"/>
            <w:r w:rsidRPr="003246C1">
              <w:rPr>
                <w:b/>
                <w:sz w:val="22"/>
                <w:szCs w:val="22"/>
              </w:rPr>
              <w:t>Reconsideration of Broadcast Ownership Rules</w:t>
            </w:r>
            <w:r>
              <w:rPr>
                <w:sz w:val="22"/>
                <w:szCs w:val="22"/>
              </w:rPr>
              <w:t xml:space="preserve"> </w:t>
            </w:r>
            <w:r w:rsidR="0037332B">
              <w:rPr>
                <w:sz w:val="22"/>
                <w:szCs w:val="22"/>
              </w:rPr>
              <w:t xml:space="preserve">– </w:t>
            </w:r>
            <w:r w:rsidR="0037332B" w:rsidRPr="0037332B">
              <w:rPr>
                <w:sz w:val="22"/>
                <w:szCs w:val="22"/>
              </w:rPr>
              <w:t>The Commission will consider an Order on Reconsideration and Notice of Proposed Rulemaking that updates the Commission’s broadcast ownership and attribution rules to reflect the current media marketplace, denies various oth</w:t>
            </w:r>
            <w:r w:rsidR="00FC3A3B">
              <w:rPr>
                <w:sz w:val="22"/>
                <w:szCs w:val="22"/>
              </w:rPr>
              <w:t>er requests for reconsideration</w:t>
            </w:r>
            <w:r w:rsidR="00FC3A3B" w:rsidRPr="00FC3A3B">
              <w:rPr>
                <w:sz w:val="22"/>
                <w:szCs w:val="22"/>
              </w:rPr>
              <w:t>, finds that the Commission will adopt an Incubator Program to promote ownership diversity, and seeks comment on how to structure</w:t>
            </w:r>
            <w:r w:rsidR="00FC3A3B">
              <w:rPr>
                <w:sz w:val="22"/>
                <w:szCs w:val="22"/>
              </w:rPr>
              <w:t xml:space="preserve"> and administer such a program</w:t>
            </w:r>
            <w:r w:rsidR="0037332B" w:rsidRPr="0037332B">
              <w:rPr>
                <w:sz w:val="22"/>
                <w:szCs w:val="22"/>
              </w:rPr>
              <w:t>. (MB Docket Nos. 14-50, 09-182, 07-294, 04-256, 17</w:t>
            </w:r>
            <w:r w:rsidR="0037332B">
              <w:rPr>
                <w:sz w:val="22"/>
                <w:szCs w:val="22"/>
              </w:rPr>
              <w:t>-</w:t>
            </w:r>
            <w:r w:rsidR="0037332B" w:rsidRPr="0037332B">
              <w:rPr>
                <w:sz w:val="22"/>
                <w:szCs w:val="22"/>
              </w:rPr>
              <w:t>289</w:t>
            </w:r>
            <w:r w:rsidR="0037332B">
              <w:rPr>
                <w:sz w:val="22"/>
                <w:szCs w:val="22"/>
              </w:rPr>
              <w:t>)</w:t>
            </w:r>
          </w:p>
          <w:p w:rsidR="0037332B" w:rsidRPr="0037332B" w:rsidRDefault="0037332B" w:rsidP="0037332B">
            <w:pPr>
              <w:tabs>
                <w:tab w:val="left" w:pos="8640"/>
              </w:tabs>
              <w:rPr>
                <w:sz w:val="22"/>
                <w:szCs w:val="22"/>
              </w:rPr>
            </w:pPr>
          </w:p>
          <w:p w:rsidR="0037332B" w:rsidRDefault="0037332B" w:rsidP="0037332B">
            <w:pPr>
              <w:tabs>
                <w:tab w:val="left" w:pos="8640"/>
              </w:tabs>
              <w:rPr>
                <w:sz w:val="22"/>
                <w:szCs w:val="22"/>
              </w:rPr>
            </w:pPr>
            <w:r w:rsidRPr="0037332B">
              <w:rPr>
                <w:b/>
                <w:sz w:val="22"/>
                <w:szCs w:val="22"/>
              </w:rPr>
              <w:t>Modernizing Cable Data Collection</w:t>
            </w:r>
            <w:r>
              <w:rPr>
                <w:sz w:val="22"/>
                <w:szCs w:val="22"/>
              </w:rPr>
              <w:t xml:space="preserve"> – </w:t>
            </w:r>
            <w:r w:rsidRPr="0037332B">
              <w:rPr>
                <w:sz w:val="22"/>
                <w:szCs w:val="22"/>
              </w:rPr>
              <w:t>The Commission will consider a Notice of Proposed Rulemaking that seeks comment on whether to eliminate Form 325, Annual Report of Cable Television Systems, or, in the alternative, on ways to modernize and streamline the form.</w:t>
            </w:r>
            <w:r>
              <w:rPr>
                <w:sz w:val="22"/>
                <w:szCs w:val="22"/>
              </w:rPr>
              <w:t xml:space="preserve">  </w:t>
            </w:r>
            <w:r w:rsidRPr="0037332B">
              <w:rPr>
                <w:sz w:val="22"/>
                <w:szCs w:val="22"/>
              </w:rPr>
              <w:t>(MB Docket Nos. 17-</w:t>
            </w:r>
            <w:r>
              <w:rPr>
                <w:sz w:val="22"/>
                <w:szCs w:val="22"/>
              </w:rPr>
              <w:t>290</w:t>
            </w:r>
            <w:r w:rsidRPr="0037332B">
              <w:rPr>
                <w:sz w:val="22"/>
                <w:szCs w:val="22"/>
              </w:rPr>
              <w:t>, 17-105)</w:t>
            </w:r>
          </w:p>
          <w:p w:rsidR="0037332B" w:rsidRPr="0037332B" w:rsidRDefault="0037332B" w:rsidP="0037332B">
            <w:pPr>
              <w:tabs>
                <w:tab w:val="left" w:pos="8640"/>
              </w:tabs>
              <w:rPr>
                <w:sz w:val="22"/>
                <w:szCs w:val="22"/>
              </w:rPr>
            </w:pPr>
          </w:p>
          <w:p w:rsidR="0037332B" w:rsidRDefault="0037332B" w:rsidP="0037332B">
            <w:pPr>
              <w:tabs>
                <w:tab w:val="left" w:pos="8640"/>
              </w:tabs>
              <w:rPr>
                <w:sz w:val="22"/>
                <w:szCs w:val="22"/>
              </w:rPr>
            </w:pPr>
            <w:r w:rsidRPr="0037332B">
              <w:rPr>
                <w:b/>
                <w:sz w:val="22"/>
                <w:szCs w:val="22"/>
              </w:rPr>
              <w:t>‘Next Generation’ Broadcast Television Standard</w:t>
            </w:r>
            <w:r w:rsidRPr="0037332B">
              <w:rPr>
                <w:sz w:val="22"/>
                <w:szCs w:val="22"/>
              </w:rPr>
              <w:t xml:space="preserve"> </w:t>
            </w:r>
            <w:bookmarkEnd w:id="3"/>
            <w:r>
              <w:rPr>
                <w:sz w:val="22"/>
                <w:szCs w:val="22"/>
              </w:rPr>
              <w:t xml:space="preserve">– </w:t>
            </w:r>
            <w:r w:rsidRPr="0037332B">
              <w:rPr>
                <w:sz w:val="22"/>
                <w:szCs w:val="22"/>
              </w:rPr>
              <w:t>The Commission will consider a Report and Order and Further Notice of Proposed Rulemaking authorizing television broadcasters to use the Next Generation television transmission standard</w:t>
            </w:r>
            <w:r w:rsidR="004A2574">
              <w:rPr>
                <w:sz w:val="22"/>
                <w:szCs w:val="22"/>
              </w:rPr>
              <w:t xml:space="preserve"> (ATSC 3.0)</w:t>
            </w:r>
            <w:r w:rsidRPr="0037332B">
              <w:rPr>
                <w:sz w:val="22"/>
                <w:szCs w:val="22"/>
              </w:rPr>
              <w:t xml:space="preserve"> on a voluntary</w:t>
            </w:r>
            <w:r w:rsidR="003246C1">
              <w:rPr>
                <w:sz w:val="22"/>
                <w:szCs w:val="22"/>
              </w:rPr>
              <w:t>, market-driven</w:t>
            </w:r>
            <w:r w:rsidRPr="0037332B">
              <w:rPr>
                <w:sz w:val="22"/>
                <w:szCs w:val="22"/>
              </w:rPr>
              <w:t xml:space="preserve"> basis.</w:t>
            </w:r>
            <w:r>
              <w:rPr>
                <w:sz w:val="22"/>
                <w:szCs w:val="22"/>
              </w:rPr>
              <w:t xml:space="preserve"> </w:t>
            </w:r>
            <w:r w:rsidRPr="0037332B">
              <w:rPr>
                <w:sz w:val="22"/>
                <w:szCs w:val="22"/>
              </w:rPr>
              <w:t>(GN Docket No. 16-142)</w:t>
            </w:r>
          </w:p>
          <w:bookmarkEnd w:id="5"/>
          <w:p w:rsidR="00A50C28" w:rsidRDefault="00A50C28" w:rsidP="00A41840">
            <w:pPr>
              <w:tabs>
                <w:tab w:val="left" w:pos="8640"/>
              </w:tabs>
              <w:rPr>
                <w:sz w:val="22"/>
                <w:szCs w:val="22"/>
              </w:rPr>
            </w:pPr>
          </w:p>
          <w:p w:rsidR="002819BC" w:rsidRPr="00A41840" w:rsidRDefault="002819BC" w:rsidP="00A41840">
            <w:pPr>
              <w:tabs>
                <w:tab w:val="left" w:pos="8640"/>
              </w:tabs>
              <w:rPr>
                <w:sz w:val="22"/>
                <w:szCs w:val="22"/>
              </w:rPr>
            </w:pPr>
          </w:p>
          <w:p w:rsidR="00641CD8" w:rsidRDefault="00641CD8" w:rsidP="00641CD8">
            <w:pPr>
              <w:tabs>
                <w:tab w:val="left" w:pos="8640"/>
              </w:tabs>
            </w:pPr>
            <w:r>
              <w:rPr>
                <w:bCs/>
                <w:sz w:val="22"/>
                <w:szCs w:val="22"/>
              </w:rPr>
              <w:t xml:space="preserve">Public Drafts of Meeting Items – </w:t>
            </w:r>
            <w:r w:rsidR="00807D3C">
              <w:rPr>
                <w:bCs/>
                <w:sz w:val="22"/>
                <w:szCs w:val="22"/>
              </w:rPr>
              <w:t>The</w:t>
            </w:r>
            <w:r>
              <w:rPr>
                <w:bCs/>
                <w:sz w:val="22"/>
                <w:szCs w:val="22"/>
              </w:rPr>
              <w:t xml:space="preserve"> FCC is publicly releasing the draft text of each item expected to be considered at the next Open Commission Meeting.  One-page cover sheets are included in the public drafts to help summarize each item.  All these materials will be available on the event page for the Open Meeting: </w:t>
            </w:r>
            <w:hyperlink r:id="rId9" w:history="1">
              <w:r>
                <w:rPr>
                  <w:rStyle w:val="Hyperlink"/>
                  <w:sz w:val="22"/>
                  <w:szCs w:val="22"/>
                </w:rPr>
                <w:t>https://go.usa.gov/xX5Qn</w:t>
              </w:r>
            </w:hyperlink>
          </w:p>
          <w:p w:rsidR="00641CD8" w:rsidRDefault="00641CD8" w:rsidP="00641CD8">
            <w:pPr>
              <w:tabs>
                <w:tab w:val="left" w:pos="8640"/>
              </w:tabs>
              <w:rPr>
                <w:sz w:val="22"/>
                <w:szCs w:val="22"/>
              </w:rPr>
            </w:pPr>
          </w:p>
          <w:p w:rsidR="00641CD8" w:rsidRDefault="00641CD8" w:rsidP="00641CD8">
            <w:pPr>
              <w:tabs>
                <w:tab w:val="left" w:pos="8640"/>
              </w:tabs>
              <w:rPr>
                <w:sz w:val="22"/>
                <w:szCs w:val="22"/>
              </w:rPr>
            </w:pPr>
            <w:r>
              <w:rPr>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10" w:history="1">
              <w:r>
                <w:rPr>
                  <w:rStyle w:val="Hyperlink"/>
                  <w:sz w:val="22"/>
                  <w:szCs w:val="22"/>
                </w:rPr>
                <w:t>www.fcc.gov/live</w:t>
              </w:r>
            </w:hyperlink>
            <w:r>
              <w:rPr>
                <w:sz w:val="22"/>
                <w:szCs w:val="22"/>
              </w:rPr>
              <w:t xml:space="preserve"> and can be followed on social media with #OpenMtgFCC.</w:t>
            </w:r>
          </w:p>
          <w:p w:rsidR="00641CD8" w:rsidRDefault="00641CD8" w:rsidP="00641CD8">
            <w:pPr>
              <w:tabs>
                <w:tab w:val="left" w:pos="8640"/>
              </w:tabs>
              <w:rPr>
                <w:sz w:val="22"/>
                <w:szCs w:val="22"/>
              </w:rPr>
            </w:pPr>
          </w:p>
          <w:p w:rsidR="00B767E1" w:rsidRDefault="00641CD8" w:rsidP="00B767E1">
            <w:pPr>
              <w:jc w:val="both"/>
              <w:rPr>
                <w:rStyle w:val="Hyperlink"/>
                <w:color w:val="auto"/>
                <w:u w:val="none"/>
              </w:rPr>
            </w:pPr>
            <w:r>
              <w:rPr>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sidR="00B767E1">
              <w:rPr>
                <w:sz w:val="22"/>
                <w:szCs w:val="22"/>
              </w:rPr>
              <w:t xml:space="preserve">  </w:t>
            </w:r>
          </w:p>
          <w:p w:rsidR="00BD19E8" w:rsidRPr="008A3940" w:rsidRDefault="00BD19E8" w:rsidP="00E349AA">
            <w:pPr>
              <w:jc w:val="both"/>
              <w:rPr>
                <w:rStyle w:val="Hyperlink"/>
                <w:sz w:val="22"/>
                <w:szCs w:val="22"/>
              </w:rPr>
            </w:pPr>
          </w:p>
          <w:p w:rsidR="004F0F1F" w:rsidRPr="00641CD8" w:rsidRDefault="00F708E3" w:rsidP="00B47F70">
            <w:pPr>
              <w:ind w:right="72"/>
              <w:jc w:val="center"/>
              <w:rPr>
                <w:sz w:val="22"/>
                <w:szCs w:val="22"/>
              </w:rPr>
            </w:pPr>
            <w:r w:rsidRPr="00641CD8">
              <w:rPr>
                <w:sz w:val="22"/>
                <w:szCs w:val="22"/>
              </w:rPr>
              <w:t>###</w:t>
            </w:r>
          </w:p>
          <w:p w:rsidR="00E644FE" w:rsidRPr="006B0A70" w:rsidRDefault="00E644FE" w:rsidP="00B47F70">
            <w:pPr>
              <w:ind w:right="72"/>
              <w:jc w:val="center"/>
              <w:rPr>
                <w:b/>
                <w:bCs/>
                <w:sz w:val="18"/>
                <w:szCs w:val="18"/>
              </w:rPr>
            </w:pPr>
            <w:r w:rsidRPr="00641CD8">
              <w:rPr>
                <w:b/>
                <w:bCs/>
                <w:sz w:val="22"/>
                <w:szCs w:val="22"/>
              </w:rPr>
              <w:br/>
            </w:r>
            <w:r w:rsidRPr="006B0A70">
              <w:rPr>
                <w:b/>
                <w:bCs/>
                <w:sz w:val="18"/>
                <w:szCs w:val="18"/>
              </w:rPr>
              <w:t>Office of Media Relations: 202.418.0500</w:t>
            </w:r>
          </w:p>
          <w:p w:rsidR="002819BC" w:rsidRDefault="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RDefault="002819BC" w:rsidP="00B47F70">
            <w:pPr>
              <w:ind w:right="72"/>
              <w:jc w:val="center"/>
              <w:rPr>
                <w:b/>
                <w:bCs/>
                <w:sz w:val="18"/>
                <w:szCs w:val="18"/>
              </w:rPr>
            </w:pPr>
            <w:r>
              <w:rPr>
                <w:b/>
                <w:bCs/>
                <w:sz w:val="18"/>
                <w:szCs w:val="18"/>
              </w:rPr>
              <w:t>Twitter: @FCC</w:t>
            </w:r>
          </w:p>
          <w:p w:rsidR="002819BC" w:rsidRDefault="002819BC" w:rsidP="00B47F70">
            <w:pPr>
              <w:ind w:right="72"/>
              <w:jc w:val="center"/>
              <w:rPr>
                <w:b/>
                <w:bCs/>
                <w:sz w:val="18"/>
                <w:szCs w:val="18"/>
              </w:rPr>
            </w:pPr>
            <w:r>
              <w:rPr>
                <w:b/>
                <w:bCs/>
                <w:sz w:val="18"/>
                <w:szCs w:val="18"/>
              </w:rPr>
              <w:t>#OpenMtgFCC</w:t>
            </w:r>
          </w:p>
          <w:p w:rsidR="002819BC" w:rsidRPr="00EE0E90" w:rsidRDefault="002819BC" w:rsidP="00B47F70">
            <w:pPr>
              <w:ind w:right="72"/>
              <w:jc w:val="center"/>
              <w:rPr>
                <w:b/>
                <w:bCs/>
                <w:sz w:val="18"/>
                <w:szCs w:val="18"/>
              </w:rPr>
            </w:pPr>
            <w:r w:rsidRPr="007B3A48">
              <w:rPr>
                <w:b/>
                <w:bCs/>
                <w:sz w:val="18"/>
                <w:szCs w:val="18"/>
              </w:rPr>
              <w:t>www.fcc.gov/office-media-relations</w:t>
            </w:r>
          </w:p>
          <w:p w:rsidR="00EE0E90" w:rsidRDefault="00EE0E90" w:rsidP="00B47F70">
            <w:pPr>
              <w:ind w:right="72"/>
              <w:jc w:val="center"/>
              <w:rPr>
                <w:b/>
                <w:bCs/>
                <w:sz w:val="18"/>
                <w:szCs w:val="18"/>
              </w:rPr>
            </w:pPr>
          </w:p>
          <w:p w:rsidR="00EE0E90" w:rsidRPr="00986C92" w:rsidRDefault="00EE0E90"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bookmarkEnd w:id="0"/>
    <w:p w:rsidR="00D24C3D" w:rsidRDefault="00D24C3D">
      <w:pPr>
        <w:rPr>
          <w:b/>
          <w:bCs/>
          <w:sz w:val="32"/>
          <w:szCs w:val="32"/>
        </w:rPr>
      </w:pPr>
    </w:p>
    <w:sectPr w:rsidR="00D24C3D" w:rsidSect="00641CD8">
      <w:headerReference w:type="even" r:id="rId11"/>
      <w:headerReference w:type="default" r:id="rId12"/>
      <w:footerReference w:type="even" r:id="rId13"/>
      <w:footerReference w:type="default" r:id="rId14"/>
      <w:headerReference w:type="first" r:id="rId15"/>
      <w:footerReference w:type="first" r:id="rId1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D8" w:rsidRDefault="00641CD8" w:rsidP="008C225C">
      <w:r>
        <w:separator/>
      </w:r>
    </w:p>
  </w:endnote>
  <w:endnote w:type="continuationSeparator" w:id="0">
    <w:p w:rsidR="00641CD8" w:rsidRDefault="00641CD8"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3E" w:rsidRDefault="005A0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3E" w:rsidRDefault="005A0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3E" w:rsidRDefault="005A0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D8" w:rsidRDefault="00641CD8" w:rsidP="008C225C">
      <w:r>
        <w:separator/>
      </w:r>
    </w:p>
  </w:footnote>
  <w:footnote w:type="continuationSeparator" w:id="0">
    <w:p w:rsidR="00641CD8" w:rsidRDefault="00641CD8"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3E" w:rsidRDefault="005A0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3E" w:rsidRDefault="005A05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3E" w:rsidRDefault="005A0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42E7"/>
    <w:multiLevelType w:val="hybridMultilevel"/>
    <w:tmpl w:val="9658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D8"/>
    <w:rsid w:val="0002500C"/>
    <w:rsid w:val="000311FC"/>
    <w:rsid w:val="00031E53"/>
    <w:rsid w:val="00081232"/>
    <w:rsid w:val="00091E65"/>
    <w:rsid w:val="00096D4A"/>
    <w:rsid w:val="000A38EA"/>
    <w:rsid w:val="000A56AE"/>
    <w:rsid w:val="000C1E47"/>
    <w:rsid w:val="000C26F3"/>
    <w:rsid w:val="000D2862"/>
    <w:rsid w:val="0010799B"/>
    <w:rsid w:val="00117DB2"/>
    <w:rsid w:val="00123ED2"/>
    <w:rsid w:val="00125BE0"/>
    <w:rsid w:val="00142384"/>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3CE2"/>
    <w:rsid w:val="002146F6"/>
    <w:rsid w:val="00231C32"/>
    <w:rsid w:val="00240345"/>
    <w:rsid w:val="002421F0"/>
    <w:rsid w:val="00247274"/>
    <w:rsid w:val="00266966"/>
    <w:rsid w:val="002819BC"/>
    <w:rsid w:val="00294C0C"/>
    <w:rsid w:val="002A0934"/>
    <w:rsid w:val="002B1013"/>
    <w:rsid w:val="002D03E5"/>
    <w:rsid w:val="002E3F1D"/>
    <w:rsid w:val="002F31D0"/>
    <w:rsid w:val="00300359"/>
    <w:rsid w:val="0031773E"/>
    <w:rsid w:val="003246C1"/>
    <w:rsid w:val="00347716"/>
    <w:rsid w:val="003506E1"/>
    <w:rsid w:val="0037332B"/>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2574"/>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053E"/>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86081"/>
    <w:rsid w:val="00793D6F"/>
    <w:rsid w:val="00794090"/>
    <w:rsid w:val="007A44F8"/>
    <w:rsid w:val="007D21BF"/>
    <w:rsid w:val="007F3C12"/>
    <w:rsid w:val="007F5205"/>
    <w:rsid w:val="00807D3C"/>
    <w:rsid w:val="008215E7"/>
    <w:rsid w:val="00830FC6"/>
    <w:rsid w:val="00865EAA"/>
    <w:rsid w:val="008728F5"/>
    <w:rsid w:val="008824C2"/>
    <w:rsid w:val="008960E4"/>
    <w:rsid w:val="008A3940"/>
    <w:rsid w:val="008B13C9"/>
    <w:rsid w:val="008B468D"/>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0AED"/>
    <w:rsid w:val="00993C47"/>
    <w:rsid w:val="009A5E3A"/>
    <w:rsid w:val="009B4B16"/>
    <w:rsid w:val="009E54A1"/>
    <w:rsid w:val="009F4E25"/>
    <w:rsid w:val="009F5B1F"/>
    <w:rsid w:val="00A27E96"/>
    <w:rsid w:val="00A35DFD"/>
    <w:rsid w:val="00A41840"/>
    <w:rsid w:val="00A50C28"/>
    <w:rsid w:val="00A702DF"/>
    <w:rsid w:val="00A775A3"/>
    <w:rsid w:val="00A81B5B"/>
    <w:rsid w:val="00A82FAD"/>
    <w:rsid w:val="00A9673A"/>
    <w:rsid w:val="00A96EF2"/>
    <w:rsid w:val="00AA3AB9"/>
    <w:rsid w:val="00AA5C35"/>
    <w:rsid w:val="00AA5ED9"/>
    <w:rsid w:val="00AB0551"/>
    <w:rsid w:val="00AC4E0E"/>
    <w:rsid w:val="00AC517B"/>
    <w:rsid w:val="00AE4A3A"/>
    <w:rsid w:val="00AF051B"/>
    <w:rsid w:val="00B037A2"/>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C46FC"/>
    <w:rsid w:val="00BD19E8"/>
    <w:rsid w:val="00BD4273"/>
    <w:rsid w:val="00C26DBB"/>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32EA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E431A"/>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5EA3"/>
    <w:rsid w:val="00FC3A3B"/>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6FC"/>
    <w:pPr>
      <w:ind w:left="720"/>
      <w:contextualSpacing/>
    </w:pPr>
  </w:style>
  <w:style w:type="paragraph" w:styleId="BalloonText">
    <w:name w:val="Balloon Text"/>
    <w:basedOn w:val="Normal"/>
    <w:link w:val="BalloonTextChar"/>
    <w:semiHidden/>
    <w:unhideWhenUsed/>
    <w:rsid w:val="003246C1"/>
    <w:rPr>
      <w:rFonts w:ascii="Segoe UI" w:hAnsi="Segoe UI" w:cs="Segoe UI"/>
      <w:sz w:val="18"/>
      <w:szCs w:val="18"/>
    </w:rPr>
  </w:style>
  <w:style w:type="character" w:customStyle="1" w:styleId="BalloonTextChar">
    <w:name w:val="Balloon Text Char"/>
    <w:basedOn w:val="DefaultParagraphFont"/>
    <w:link w:val="BalloonText"/>
    <w:semiHidden/>
    <w:rsid w:val="003246C1"/>
    <w:rPr>
      <w:rFonts w:ascii="Segoe UI" w:hAnsi="Segoe UI" w:cs="Segoe UI"/>
      <w:sz w:val="18"/>
      <w:szCs w:val="18"/>
    </w:rPr>
  </w:style>
  <w:style w:type="paragraph" w:styleId="Header">
    <w:name w:val="header"/>
    <w:basedOn w:val="Normal"/>
    <w:link w:val="HeaderChar"/>
    <w:unhideWhenUsed/>
    <w:rsid w:val="005A053E"/>
    <w:pPr>
      <w:tabs>
        <w:tab w:val="center" w:pos="4680"/>
        <w:tab w:val="right" w:pos="9360"/>
      </w:tabs>
    </w:pPr>
  </w:style>
  <w:style w:type="character" w:customStyle="1" w:styleId="HeaderChar">
    <w:name w:val="Header Char"/>
    <w:basedOn w:val="DefaultParagraphFont"/>
    <w:link w:val="Header"/>
    <w:rsid w:val="005A053E"/>
    <w:rPr>
      <w:sz w:val="24"/>
      <w:szCs w:val="24"/>
    </w:rPr>
  </w:style>
  <w:style w:type="paragraph" w:styleId="Footer">
    <w:name w:val="footer"/>
    <w:basedOn w:val="Normal"/>
    <w:link w:val="FooterChar"/>
    <w:unhideWhenUsed/>
    <w:rsid w:val="005A053E"/>
    <w:pPr>
      <w:tabs>
        <w:tab w:val="center" w:pos="4680"/>
        <w:tab w:val="right" w:pos="9360"/>
      </w:tabs>
    </w:pPr>
  </w:style>
  <w:style w:type="character" w:customStyle="1" w:styleId="FooterChar">
    <w:name w:val="Footer Char"/>
    <w:basedOn w:val="DefaultParagraphFont"/>
    <w:link w:val="Footer"/>
    <w:rsid w:val="005A05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6FC"/>
    <w:pPr>
      <w:ind w:left="720"/>
      <w:contextualSpacing/>
    </w:pPr>
  </w:style>
  <w:style w:type="paragraph" w:styleId="BalloonText">
    <w:name w:val="Balloon Text"/>
    <w:basedOn w:val="Normal"/>
    <w:link w:val="BalloonTextChar"/>
    <w:semiHidden/>
    <w:unhideWhenUsed/>
    <w:rsid w:val="003246C1"/>
    <w:rPr>
      <w:rFonts w:ascii="Segoe UI" w:hAnsi="Segoe UI" w:cs="Segoe UI"/>
      <w:sz w:val="18"/>
      <w:szCs w:val="18"/>
    </w:rPr>
  </w:style>
  <w:style w:type="character" w:customStyle="1" w:styleId="BalloonTextChar">
    <w:name w:val="Balloon Text Char"/>
    <w:basedOn w:val="DefaultParagraphFont"/>
    <w:link w:val="BalloonText"/>
    <w:semiHidden/>
    <w:rsid w:val="003246C1"/>
    <w:rPr>
      <w:rFonts w:ascii="Segoe UI" w:hAnsi="Segoe UI" w:cs="Segoe UI"/>
      <w:sz w:val="18"/>
      <w:szCs w:val="18"/>
    </w:rPr>
  </w:style>
  <w:style w:type="paragraph" w:styleId="Header">
    <w:name w:val="header"/>
    <w:basedOn w:val="Normal"/>
    <w:link w:val="HeaderChar"/>
    <w:unhideWhenUsed/>
    <w:rsid w:val="005A053E"/>
    <w:pPr>
      <w:tabs>
        <w:tab w:val="center" w:pos="4680"/>
        <w:tab w:val="right" w:pos="9360"/>
      </w:tabs>
    </w:pPr>
  </w:style>
  <w:style w:type="character" w:customStyle="1" w:styleId="HeaderChar">
    <w:name w:val="Header Char"/>
    <w:basedOn w:val="DefaultParagraphFont"/>
    <w:link w:val="Header"/>
    <w:rsid w:val="005A053E"/>
    <w:rPr>
      <w:sz w:val="24"/>
      <w:szCs w:val="24"/>
    </w:rPr>
  </w:style>
  <w:style w:type="paragraph" w:styleId="Footer">
    <w:name w:val="footer"/>
    <w:basedOn w:val="Normal"/>
    <w:link w:val="FooterChar"/>
    <w:unhideWhenUsed/>
    <w:rsid w:val="005A053E"/>
    <w:pPr>
      <w:tabs>
        <w:tab w:val="center" w:pos="4680"/>
        <w:tab w:val="right" w:pos="9360"/>
      </w:tabs>
    </w:pPr>
  </w:style>
  <w:style w:type="character" w:customStyle="1" w:styleId="FooterChar">
    <w:name w:val="Footer Char"/>
    <w:basedOn w:val="DefaultParagraphFont"/>
    <w:link w:val="Footer"/>
    <w:rsid w:val="005A0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625">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175391998">
      <w:bodyDiv w:val="1"/>
      <w:marLeft w:val="0"/>
      <w:marRight w:val="0"/>
      <w:marTop w:val="0"/>
      <w:marBottom w:val="0"/>
      <w:divBdr>
        <w:top w:val="none" w:sz="0" w:space="0" w:color="auto"/>
        <w:left w:val="none" w:sz="0" w:space="0" w:color="auto"/>
        <w:bottom w:val="none" w:sz="0" w:space="0" w:color="auto"/>
        <w:right w:val="none" w:sz="0" w:space="0" w:color="auto"/>
      </w:divBdr>
    </w:div>
    <w:div w:id="198445295">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76916077">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48498763">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73318">
      <w:bodyDiv w:val="1"/>
      <w:marLeft w:val="0"/>
      <w:marRight w:val="0"/>
      <w:marTop w:val="0"/>
      <w:marBottom w:val="0"/>
      <w:divBdr>
        <w:top w:val="none" w:sz="0" w:space="0" w:color="auto"/>
        <w:left w:val="none" w:sz="0" w:space="0" w:color="auto"/>
        <w:bottom w:val="none" w:sz="0" w:space="0" w:color="auto"/>
        <w:right w:val="none" w:sz="0" w:space="0" w:color="auto"/>
      </w:divBdr>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158149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ive" TargetMode="External"/><Relationship Id="rId4" Type="http://schemas.openxmlformats.org/officeDocument/2006/relationships/settings" Target="settings.xml"/><Relationship Id="rId9" Type="http://schemas.openxmlformats.org/officeDocument/2006/relationships/hyperlink" Target="https://go.usa.gov/xX5Q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5019</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2017-10-26T22:35:00Z</dcterms:created>
  <dcterms:modified xsi:type="dcterms:W3CDTF">2017-10-26T22:35:00Z</dcterms:modified>
  <cp:category> </cp:category>
  <cp:contentStatus> </cp:contentStatus>
</cp:coreProperties>
</file>