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3D" w:rsidRDefault="008961DF" w:rsidP="00A57F3D">
      <w:pPr>
        <w:pStyle w:val="Title"/>
        <w:rPr>
          <w:szCs w:val="22"/>
        </w:rPr>
      </w:pPr>
      <w:bookmarkStart w:id="0" w:name="_GoBack"/>
      <w:bookmarkEnd w:id="0"/>
      <w:r w:rsidRPr="00F046EC">
        <w:rPr>
          <w:szCs w:val="22"/>
        </w:rPr>
        <w:t>WIRELINE COMPETITION BUREAU</w:t>
      </w:r>
      <w:r w:rsidR="0017686D" w:rsidRPr="00F046EC">
        <w:rPr>
          <w:szCs w:val="22"/>
        </w:rPr>
        <w:t xml:space="preserve"> </w:t>
      </w:r>
      <w:r w:rsidR="003962E8">
        <w:rPr>
          <w:szCs w:val="22"/>
        </w:rPr>
        <w:t>COPPER RETIREMENT</w:t>
      </w:r>
      <w:r w:rsidR="00A57F3D">
        <w:rPr>
          <w:szCs w:val="22"/>
        </w:rPr>
        <w:t xml:space="preserve"> </w:t>
      </w:r>
    </w:p>
    <w:p w:rsidR="00323CD4" w:rsidRDefault="00217628" w:rsidP="006A2E3C">
      <w:pPr>
        <w:pStyle w:val="Title"/>
        <w:rPr>
          <w:szCs w:val="22"/>
        </w:rPr>
      </w:pPr>
      <w:r>
        <w:rPr>
          <w:szCs w:val="22"/>
        </w:rPr>
        <w:t xml:space="preserve">NETWORK CHANGE </w:t>
      </w:r>
      <w:r w:rsidR="008961DF" w:rsidRPr="00F046EC">
        <w:rPr>
          <w:szCs w:val="22"/>
        </w:rPr>
        <w:t>NOTIFICATION</w:t>
      </w:r>
      <w:r w:rsidR="006A2E3C">
        <w:rPr>
          <w:szCs w:val="22"/>
        </w:rPr>
        <w:t xml:space="preserve"> </w:t>
      </w:r>
      <w:r w:rsidR="0063044F">
        <w:rPr>
          <w:szCs w:val="22"/>
        </w:rPr>
        <w:t>FILED BY NORTHERN NEW ENGLAND TELEPHONE COMPANY OF MAINE LLC</w:t>
      </w:r>
      <w:r w:rsidR="00420094">
        <w:rPr>
          <w:szCs w:val="22"/>
        </w:rPr>
        <w:t xml:space="preserve"> D/B/A </w:t>
      </w:r>
      <w:r w:rsidR="0063044F">
        <w:rPr>
          <w:szCs w:val="22"/>
        </w:rPr>
        <w:t>FAIRPOINT</w:t>
      </w:r>
      <w:r w:rsidR="00420094">
        <w:rPr>
          <w:szCs w:val="22"/>
        </w:rPr>
        <w:t xml:space="preserve">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DE7217">
        <w:rPr>
          <w:szCs w:val="22"/>
        </w:rPr>
        <w:t>29</w:t>
      </w:r>
      <w:r w:rsidR="00CE08E2">
        <w:rPr>
          <w:szCs w:val="22"/>
        </w:rPr>
        <w:t>4</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 xml:space="preserve">October </w:t>
      </w:r>
      <w:r w:rsidR="005F5500">
        <w:rPr>
          <w:szCs w:val="22"/>
        </w:rPr>
        <w:t>30</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63044F">
        <w:rPr>
          <w:szCs w:val="22"/>
        </w:rPr>
        <w:t>6</w:t>
      </w:r>
      <w:r w:rsidR="00CE08E2">
        <w:rPr>
          <w:szCs w:val="22"/>
        </w:rPr>
        <w:t>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63044F" w:rsidP="008C4E05">
      <w:pPr>
        <w:tabs>
          <w:tab w:val="left" w:pos="-720"/>
        </w:tabs>
        <w:suppressAutoHyphens/>
        <w:rPr>
          <w:b/>
          <w:szCs w:val="22"/>
          <w:u w:val="single"/>
        </w:rPr>
      </w:pPr>
      <w:r>
        <w:rPr>
          <w:szCs w:val="22"/>
        </w:rPr>
        <w:t>Northern New England Telephone Comp</w:t>
      </w:r>
      <w:r w:rsidR="00EA1DF0">
        <w:rPr>
          <w:szCs w:val="22"/>
        </w:rPr>
        <w:t>any of Maine LLC d/b/a FairPoint Communications</w:t>
      </w:r>
      <w:r w:rsidR="001354C0">
        <w:rPr>
          <w:szCs w:val="22"/>
        </w:rPr>
        <w:t xml:space="preserve"> </w:t>
      </w:r>
      <w:r w:rsidR="00197061">
        <w:rPr>
          <w:szCs w:val="22"/>
        </w:rPr>
        <w:t>(</w:t>
      </w:r>
      <w:r w:rsidR="00EA1DF0">
        <w:rPr>
          <w:szCs w:val="22"/>
        </w:rPr>
        <w:t>FairPoint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164C38">
        <w:rPr>
          <w:szCs w:val="22"/>
        </w:rPr>
        <w:t>Upon initial review, the amended filing appears to be complete.</w:t>
      </w:r>
      <w:r w:rsidR="00164C38">
        <w:rPr>
          <w:rStyle w:val="FootnoteReference"/>
          <w:szCs w:val="22"/>
        </w:rPr>
        <w:footnoteReference w:id="2"/>
      </w:r>
      <w:r w:rsidR="00164C38">
        <w:rPr>
          <w:szCs w:val="22"/>
        </w:rPr>
        <w:t xml:space="preserve">  </w:t>
      </w:r>
      <w:r w:rsidR="00BC2C29">
        <w:rPr>
          <w:szCs w:val="22"/>
        </w:rPr>
        <w:t xml:space="preserve">Attached is a copy of the </w:t>
      </w:r>
      <w:r w:rsidR="00B06E76">
        <w:rPr>
          <w:szCs w:val="22"/>
        </w:rPr>
        <w:t xml:space="preserve">revised </w:t>
      </w:r>
      <w:r w:rsidR="00BC2C29">
        <w:rPr>
          <w:szCs w:val="22"/>
        </w:rPr>
        <w:t xml:space="preserve">notice of network change(s) (total of </w:t>
      </w:r>
      <w:r w:rsidR="00EA1DF0">
        <w:rPr>
          <w:szCs w:val="22"/>
        </w:rPr>
        <w:t>two</w:t>
      </w:r>
      <w:r w:rsidR="00BC2C29">
        <w:rPr>
          <w:szCs w:val="22"/>
        </w:rPr>
        <w:t xml:space="preserve"> page</w:t>
      </w:r>
      <w:r w:rsidR="00EA1DF0">
        <w:rPr>
          <w:szCs w:val="22"/>
        </w:rPr>
        <w:t>s</w:t>
      </w:r>
      <w:r w:rsidR="00BC2C29">
        <w:rPr>
          <w:szCs w:val="22"/>
        </w:rPr>
        <w:t>)</w:t>
      </w:r>
      <w:r w:rsidR="00164C38">
        <w:rPr>
          <w:szCs w:val="22"/>
        </w:rPr>
        <w:t>.</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620"/>
        <w:gridCol w:w="4590"/>
        <w:gridCol w:w="1800"/>
      </w:tblGrid>
      <w:tr w:rsidR="00164C38" w:rsidRPr="00164C38" w:rsidTr="009561AB">
        <w:trPr>
          <w:trHeight w:val="305"/>
        </w:trPr>
        <w:tc>
          <w:tcPr>
            <w:tcW w:w="1350" w:type="dxa"/>
          </w:tcPr>
          <w:p w:rsidR="00164C38" w:rsidRPr="00164C38" w:rsidRDefault="00164C38" w:rsidP="00164C38">
            <w:pPr>
              <w:rPr>
                <w:b/>
                <w:szCs w:val="22"/>
              </w:rPr>
            </w:pPr>
            <w:r w:rsidRPr="00164C38">
              <w:rPr>
                <w:b/>
                <w:szCs w:val="22"/>
              </w:rPr>
              <w:t xml:space="preserve">Network Notification Number </w:t>
            </w:r>
          </w:p>
        </w:tc>
        <w:tc>
          <w:tcPr>
            <w:tcW w:w="1620" w:type="dxa"/>
            <w:shd w:val="clear" w:color="auto" w:fill="auto"/>
          </w:tcPr>
          <w:p w:rsidR="00164C38" w:rsidRPr="00164C38" w:rsidRDefault="00164C38" w:rsidP="00164C38">
            <w:pPr>
              <w:rPr>
                <w:b/>
                <w:szCs w:val="22"/>
              </w:rPr>
            </w:pPr>
            <w:r w:rsidRPr="00164C38">
              <w:rPr>
                <w:b/>
                <w:szCs w:val="22"/>
              </w:rPr>
              <w:t>Type of Change(s)</w:t>
            </w:r>
          </w:p>
        </w:tc>
        <w:tc>
          <w:tcPr>
            <w:tcW w:w="4590" w:type="dxa"/>
            <w:shd w:val="clear" w:color="auto" w:fill="auto"/>
          </w:tcPr>
          <w:p w:rsidR="00164C38" w:rsidRPr="00164C38" w:rsidRDefault="00164C38" w:rsidP="00164C38">
            <w:pPr>
              <w:rPr>
                <w:b/>
                <w:szCs w:val="22"/>
              </w:rPr>
            </w:pPr>
            <w:r w:rsidRPr="00164C38">
              <w:rPr>
                <w:b/>
                <w:szCs w:val="22"/>
              </w:rPr>
              <w:t>Location of Change(s)</w:t>
            </w:r>
          </w:p>
        </w:tc>
        <w:tc>
          <w:tcPr>
            <w:tcW w:w="1800" w:type="dxa"/>
            <w:shd w:val="clear" w:color="auto" w:fill="auto"/>
          </w:tcPr>
          <w:p w:rsidR="00164C38" w:rsidRPr="00164C38" w:rsidRDefault="00164C38" w:rsidP="00164C38">
            <w:pPr>
              <w:rPr>
                <w:b/>
                <w:szCs w:val="22"/>
              </w:rPr>
            </w:pPr>
            <w:r w:rsidRPr="00164C38">
              <w:rPr>
                <w:b/>
                <w:szCs w:val="22"/>
              </w:rPr>
              <w:t>Planned Implementation Date(s)</w:t>
            </w:r>
          </w:p>
        </w:tc>
      </w:tr>
      <w:tr w:rsidR="00164C38" w:rsidRPr="00164C38" w:rsidTr="009561AB">
        <w:trPr>
          <w:trHeight w:val="980"/>
        </w:trPr>
        <w:tc>
          <w:tcPr>
            <w:tcW w:w="1350" w:type="dxa"/>
          </w:tcPr>
          <w:p w:rsidR="00164C38" w:rsidRPr="00164C38" w:rsidRDefault="00164C38" w:rsidP="00164C38">
            <w:pPr>
              <w:rPr>
                <w:szCs w:val="22"/>
              </w:rPr>
            </w:pPr>
            <w:r w:rsidRPr="00164C38">
              <w:rPr>
                <w:bCs/>
                <w:szCs w:val="22"/>
              </w:rPr>
              <w:t>1</w:t>
            </w:r>
            <w:r w:rsidR="00CE08E2">
              <w:rPr>
                <w:bCs/>
                <w:szCs w:val="22"/>
              </w:rPr>
              <w:t>10</w:t>
            </w:r>
          </w:p>
          <w:p w:rsidR="00164C38" w:rsidRPr="00164C38" w:rsidRDefault="00164C38" w:rsidP="00164C38">
            <w:pPr>
              <w:rPr>
                <w:szCs w:val="22"/>
              </w:rPr>
            </w:pPr>
          </w:p>
        </w:tc>
        <w:tc>
          <w:tcPr>
            <w:tcW w:w="1620" w:type="dxa"/>
            <w:shd w:val="clear" w:color="auto" w:fill="auto"/>
          </w:tcPr>
          <w:p w:rsidR="00164C38" w:rsidRPr="00164C38" w:rsidRDefault="00EF18BE" w:rsidP="00164C38">
            <w:pPr>
              <w:rPr>
                <w:szCs w:val="22"/>
              </w:rPr>
            </w:pPr>
            <w:r w:rsidRPr="00EF18BE">
              <w:rPr>
                <w:szCs w:val="22"/>
              </w:rPr>
              <w:t xml:space="preserve">FairPoint plans to replace </w:t>
            </w:r>
            <w:r w:rsidR="00BD385A">
              <w:rPr>
                <w:szCs w:val="22"/>
              </w:rPr>
              <w:t xml:space="preserve">copper </w:t>
            </w:r>
            <w:r w:rsidRPr="00EF18BE">
              <w:rPr>
                <w:szCs w:val="22"/>
              </w:rPr>
              <w:t>feeder facilities with fiber</w:t>
            </w:r>
            <w:r w:rsidR="00BD385A">
              <w:rPr>
                <w:szCs w:val="22"/>
              </w:rPr>
              <w:t xml:space="preserve"> optic cable and Digital Loop Carrier systems</w:t>
            </w:r>
            <w:r w:rsidRPr="00EF18BE">
              <w:rPr>
                <w:szCs w:val="22"/>
              </w:rPr>
              <w:t>.</w:t>
            </w:r>
          </w:p>
        </w:tc>
        <w:tc>
          <w:tcPr>
            <w:tcW w:w="4590" w:type="dxa"/>
            <w:shd w:val="clear" w:color="auto" w:fill="auto"/>
          </w:tcPr>
          <w:p w:rsidR="00CE08E2" w:rsidRDefault="00BD385A" w:rsidP="00164C38">
            <w:pPr>
              <w:rPr>
                <w:szCs w:val="22"/>
              </w:rPr>
            </w:pPr>
            <w:r>
              <w:rPr>
                <w:szCs w:val="22"/>
              </w:rPr>
              <w:t>Within t</w:t>
            </w:r>
            <w:r w:rsidRPr="00BD385A">
              <w:rPr>
                <w:szCs w:val="22"/>
              </w:rPr>
              <w:t>he following Wire Center</w:t>
            </w:r>
            <w:r>
              <w:rPr>
                <w:szCs w:val="22"/>
              </w:rPr>
              <w:t>(</w:t>
            </w:r>
            <w:r w:rsidRPr="00BD385A">
              <w:rPr>
                <w:szCs w:val="22"/>
              </w:rPr>
              <w:t>s</w:t>
            </w:r>
            <w:r>
              <w:rPr>
                <w:szCs w:val="22"/>
              </w:rPr>
              <w:t>)</w:t>
            </w:r>
            <w:r w:rsidRPr="00BD385A">
              <w:rPr>
                <w:szCs w:val="22"/>
              </w:rPr>
              <w:t xml:space="preserve"> in </w:t>
            </w:r>
            <w:r>
              <w:rPr>
                <w:szCs w:val="22"/>
              </w:rPr>
              <w:t>Maine</w:t>
            </w:r>
            <w:r w:rsidRPr="00BD385A">
              <w:rPr>
                <w:szCs w:val="22"/>
              </w:rPr>
              <w:t xml:space="preserve">:  </w:t>
            </w:r>
            <w:r w:rsidR="00CE08E2">
              <w:rPr>
                <w:szCs w:val="22"/>
              </w:rPr>
              <w:t>Farmington</w:t>
            </w:r>
            <w:r>
              <w:rPr>
                <w:szCs w:val="22"/>
              </w:rPr>
              <w:t>, ME Central Office (</w:t>
            </w:r>
            <w:r w:rsidR="00CE08E2">
              <w:rPr>
                <w:szCs w:val="22"/>
              </w:rPr>
              <w:t>FRTNMEHI</w:t>
            </w:r>
            <w:r>
              <w:rPr>
                <w:szCs w:val="22"/>
              </w:rPr>
              <w:t>)</w:t>
            </w:r>
            <w:r w:rsidR="00354D30">
              <w:rPr>
                <w:szCs w:val="22"/>
              </w:rPr>
              <w:t xml:space="preserve">, </w:t>
            </w:r>
            <w:r w:rsidR="00CE08E2">
              <w:rPr>
                <w:szCs w:val="22"/>
              </w:rPr>
              <w:t>Farmington</w:t>
            </w:r>
            <w:r w:rsidR="00354D30">
              <w:rPr>
                <w:szCs w:val="22"/>
              </w:rPr>
              <w:t xml:space="preserve"> Remote Terminal (</w:t>
            </w:r>
            <w:r w:rsidR="00CE08E2">
              <w:rPr>
                <w:szCs w:val="22"/>
              </w:rPr>
              <w:t>FRTNMEFW</w:t>
            </w:r>
            <w:r w:rsidR="00354D30">
              <w:rPr>
                <w:szCs w:val="22"/>
              </w:rPr>
              <w:t xml:space="preserve">00W), P </w:t>
            </w:r>
            <w:r w:rsidR="00CE08E2">
              <w:rPr>
                <w:szCs w:val="22"/>
              </w:rPr>
              <w:t>3</w:t>
            </w:r>
            <w:r w:rsidR="00354D30">
              <w:rPr>
                <w:szCs w:val="22"/>
              </w:rPr>
              <w:t xml:space="preserve">6 </w:t>
            </w:r>
            <w:r w:rsidR="00CE08E2">
              <w:rPr>
                <w:szCs w:val="22"/>
              </w:rPr>
              <w:t xml:space="preserve">1-2 Rt. 3 </w:t>
            </w:r>
            <w:r w:rsidR="00354D30">
              <w:rPr>
                <w:szCs w:val="22"/>
              </w:rPr>
              <w:t xml:space="preserve">XBOX </w:t>
            </w:r>
            <w:r w:rsidR="00CE08E2">
              <w:rPr>
                <w:szCs w:val="22"/>
              </w:rPr>
              <w:t>Bailey Hill Rd;</w:t>
            </w:r>
          </w:p>
          <w:p w:rsidR="00164C38" w:rsidRPr="00164C38" w:rsidRDefault="00CE08E2" w:rsidP="00164C38">
            <w:pPr>
              <w:rPr>
                <w:szCs w:val="22"/>
              </w:rPr>
            </w:pPr>
            <w:r>
              <w:rPr>
                <w:szCs w:val="22"/>
              </w:rPr>
              <w:t>Danforth, ME Central Office (DNFTMECA), Danforth Remote Terminal (DNFTMEAM00W), P1 RT 53 XBOX Irish Settlement Rd.</w:t>
            </w:r>
          </w:p>
        </w:tc>
        <w:tc>
          <w:tcPr>
            <w:tcW w:w="1800" w:type="dxa"/>
            <w:shd w:val="clear" w:color="auto" w:fill="auto"/>
          </w:tcPr>
          <w:p w:rsidR="00164C38" w:rsidRPr="00164C38" w:rsidRDefault="00975FCE" w:rsidP="00164C38">
            <w:pPr>
              <w:rPr>
                <w:b/>
                <w:szCs w:val="22"/>
              </w:rPr>
            </w:pPr>
            <w:r>
              <w:rPr>
                <w:szCs w:val="22"/>
              </w:rPr>
              <w:t>180 days after release of the Commission’s public notice.</w:t>
            </w:r>
          </w:p>
        </w:tc>
      </w:tr>
    </w:tbl>
    <w:p w:rsidR="00164C38" w:rsidRPr="00164C38" w:rsidRDefault="00164C38" w:rsidP="00164C38">
      <w:pPr>
        <w:rPr>
          <w:szCs w:val="22"/>
        </w:rPr>
      </w:pPr>
    </w:p>
    <w:p w:rsidR="00164C38" w:rsidRPr="00164C38" w:rsidRDefault="00164C38" w:rsidP="00164C38">
      <w:pPr>
        <w:rPr>
          <w:szCs w:val="22"/>
        </w:rPr>
      </w:pPr>
      <w:r w:rsidRPr="00164C38">
        <w:rPr>
          <w:szCs w:val="22"/>
        </w:rPr>
        <w:t>Incumbent LEC contact:</w:t>
      </w:r>
    </w:p>
    <w:p w:rsidR="00164C38" w:rsidRPr="00164C38" w:rsidRDefault="00164C38" w:rsidP="00164C38">
      <w:pPr>
        <w:rPr>
          <w:szCs w:val="22"/>
        </w:rPr>
      </w:pPr>
      <w:r w:rsidRPr="00164C38">
        <w:rPr>
          <w:szCs w:val="22"/>
        </w:rPr>
        <w:t>Barbara Galardo</w:t>
      </w:r>
    </w:p>
    <w:p w:rsidR="00164C38" w:rsidRPr="00164C38" w:rsidRDefault="00164C38" w:rsidP="00164C38">
      <w:pPr>
        <w:rPr>
          <w:szCs w:val="22"/>
        </w:rPr>
      </w:pPr>
      <w:r w:rsidRPr="00164C38">
        <w:rPr>
          <w:szCs w:val="22"/>
        </w:rPr>
        <w:t>Director of Costs &amp; Access Tariffs</w:t>
      </w:r>
    </w:p>
    <w:p w:rsidR="00164C38" w:rsidRPr="00164C38" w:rsidRDefault="00164C38" w:rsidP="00164C38">
      <w:pPr>
        <w:rPr>
          <w:szCs w:val="22"/>
        </w:rPr>
      </w:pPr>
      <w:r w:rsidRPr="00164C38">
        <w:rPr>
          <w:szCs w:val="22"/>
        </w:rPr>
        <w:t>FairPoint Communications</w:t>
      </w:r>
    </w:p>
    <w:p w:rsidR="00164C38" w:rsidRPr="00164C38" w:rsidRDefault="00164C38" w:rsidP="00164C38">
      <w:pPr>
        <w:rPr>
          <w:szCs w:val="22"/>
        </w:rPr>
      </w:pPr>
      <w:r w:rsidRPr="00164C38">
        <w:rPr>
          <w:szCs w:val="22"/>
        </w:rPr>
        <w:t>1 Davis Farm Road</w:t>
      </w:r>
    </w:p>
    <w:p w:rsidR="00164C38" w:rsidRPr="00164C38" w:rsidRDefault="00164C38" w:rsidP="00164C38">
      <w:pPr>
        <w:rPr>
          <w:szCs w:val="22"/>
        </w:rPr>
      </w:pPr>
      <w:r w:rsidRPr="00164C38">
        <w:rPr>
          <w:szCs w:val="22"/>
        </w:rPr>
        <w:t>Portland, ME 04103</w:t>
      </w:r>
    </w:p>
    <w:p w:rsidR="00164C38" w:rsidRPr="00164C38" w:rsidRDefault="00164C38" w:rsidP="00164C38">
      <w:pPr>
        <w:rPr>
          <w:b/>
          <w:szCs w:val="22"/>
        </w:rPr>
      </w:pPr>
      <w:r w:rsidRPr="00164C38">
        <w:rPr>
          <w:szCs w:val="22"/>
        </w:rPr>
        <w:t>(207) 535-4126</w:t>
      </w:r>
    </w:p>
    <w:p w:rsidR="0070048E" w:rsidRPr="007F510F" w:rsidRDefault="00B33DF5" w:rsidP="00E60975">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A40">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5" w:rsidRDefault="00D91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r w:rsidR="00F51FB4">
        <w:rPr>
          <w:sz w:val="20"/>
        </w:rPr>
        <w:t xml:space="preserve">  </w:t>
      </w:r>
      <w:r w:rsidR="00F51FB4" w:rsidRPr="00F51FB4">
        <w:rPr>
          <w:sz w:val="20"/>
        </w:rPr>
        <w:t xml:space="preserve">On October </w:t>
      </w:r>
      <w:r w:rsidR="00F51FB4">
        <w:rPr>
          <w:sz w:val="20"/>
        </w:rPr>
        <w:t>24</w:t>
      </w:r>
      <w:r w:rsidR="00F51FB4" w:rsidRPr="00F51FB4">
        <w:rPr>
          <w:sz w:val="20"/>
        </w:rPr>
        <w:t xml:space="preserve">, 2017, </w:t>
      </w:r>
      <w:r w:rsidR="00F51FB4">
        <w:rPr>
          <w:sz w:val="20"/>
        </w:rPr>
        <w:t>FairPoint</w:t>
      </w:r>
      <w:r w:rsidR="00F51FB4" w:rsidRPr="00F51FB4">
        <w:rPr>
          <w:sz w:val="20"/>
        </w:rPr>
        <w:t xml:space="preserve"> filed an amended </w:t>
      </w:r>
      <w:r w:rsidR="00F51FB4">
        <w:rPr>
          <w:sz w:val="20"/>
        </w:rPr>
        <w:t>public notice to</w:t>
      </w:r>
      <w:r w:rsidR="00F51FB4" w:rsidRPr="00F51FB4">
        <w:rPr>
          <w:sz w:val="20"/>
        </w:rPr>
        <w:t xml:space="preserve"> revise and replace its original filing.</w:t>
      </w:r>
    </w:p>
  </w:footnote>
  <w:footnote w:id="2">
    <w:p w:rsidR="00164C38" w:rsidRPr="00C613F7" w:rsidRDefault="00164C38" w:rsidP="00164C38">
      <w:pPr>
        <w:pStyle w:val="FootnoteText"/>
        <w:rPr>
          <w:sz w:val="20"/>
        </w:rPr>
      </w:pPr>
      <w:r>
        <w:rPr>
          <w:rStyle w:val="FootnoteReference"/>
        </w:rPr>
        <w:footnoteRef/>
      </w:r>
      <w:r>
        <w:t xml:space="preserve"> </w:t>
      </w:r>
      <w:r>
        <w:rPr>
          <w:i/>
          <w:sz w:val="20"/>
        </w:rPr>
        <w:t>See</w:t>
      </w:r>
      <w:r>
        <w:rPr>
          <w:sz w:val="20"/>
        </w:rPr>
        <w:t xml:space="preserve"> 47 CFR § 51.332(c)(1).  Counsel for FairPoint has </w:t>
      </w:r>
      <w:r w:rsidRPr="005F29BD">
        <w:rPr>
          <w:sz w:val="20"/>
        </w:rPr>
        <w:t xml:space="preserve">confirmed with Commission staff that no further revisions </w:t>
      </w:r>
      <w:r>
        <w:rPr>
          <w:sz w:val="20"/>
        </w:rPr>
        <w:t xml:space="preserve">to the public notice are </w:t>
      </w:r>
      <w:r w:rsidRPr="005F29BD">
        <w:rPr>
          <w:sz w:val="20"/>
        </w:rPr>
        <w:t>planned.</w:t>
      </w:r>
      <w:r>
        <w:rPr>
          <w:sz w:val="20"/>
        </w:rPr>
        <w:t xml:space="preserve">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5" w:rsidRDefault="00D91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5" w:rsidRDefault="00D91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66A40">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088216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66A40"/>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4F89"/>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3FF4"/>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4C38"/>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8D8"/>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0B0B"/>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2F33"/>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1F41"/>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54D30"/>
    <w:rsid w:val="00360047"/>
    <w:rsid w:val="00361668"/>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1316"/>
    <w:rsid w:val="003C21F6"/>
    <w:rsid w:val="003C2412"/>
    <w:rsid w:val="003C294D"/>
    <w:rsid w:val="003C38EC"/>
    <w:rsid w:val="003C6982"/>
    <w:rsid w:val="003C7A91"/>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2499"/>
    <w:rsid w:val="00455CB4"/>
    <w:rsid w:val="00456BC4"/>
    <w:rsid w:val="00457271"/>
    <w:rsid w:val="004609AE"/>
    <w:rsid w:val="00460E7E"/>
    <w:rsid w:val="004612F5"/>
    <w:rsid w:val="0046224D"/>
    <w:rsid w:val="0046226E"/>
    <w:rsid w:val="0046324A"/>
    <w:rsid w:val="00465353"/>
    <w:rsid w:val="00470A24"/>
    <w:rsid w:val="004714D7"/>
    <w:rsid w:val="00475C63"/>
    <w:rsid w:val="00476815"/>
    <w:rsid w:val="004801CC"/>
    <w:rsid w:val="004803FE"/>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4E2"/>
    <w:rsid w:val="00587BD8"/>
    <w:rsid w:val="00596841"/>
    <w:rsid w:val="0059769D"/>
    <w:rsid w:val="005A00D2"/>
    <w:rsid w:val="005A03EC"/>
    <w:rsid w:val="005A0DF8"/>
    <w:rsid w:val="005A1810"/>
    <w:rsid w:val="005A2AEC"/>
    <w:rsid w:val="005A2CFD"/>
    <w:rsid w:val="005A3E1D"/>
    <w:rsid w:val="005A7C3C"/>
    <w:rsid w:val="005B20D4"/>
    <w:rsid w:val="005B23F9"/>
    <w:rsid w:val="005B7793"/>
    <w:rsid w:val="005C0B3F"/>
    <w:rsid w:val="005C40D7"/>
    <w:rsid w:val="005C489F"/>
    <w:rsid w:val="005C61AB"/>
    <w:rsid w:val="005D04CD"/>
    <w:rsid w:val="005D25C3"/>
    <w:rsid w:val="005D2A95"/>
    <w:rsid w:val="005D39E8"/>
    <w:rsid w:val="005D50D1"/>
    <w:rsid w:val="005D5230"/>
    <w:rsid w:val="005E0905"/>
    <w:rsid w:val="005E1673"/>
    <w:rsid w:val="005E185A"/>
    <w:rsid w:val="005E1DE2"/>
    <w:rsid w:val="005E32E8"/>
    <w:rsid w:val="005E5386"/>
    <w:rsid w:val="005F073E"/>
    <w:rsid w:val="005F0982"/>
    <w:rsid w:val="005F0A50"/>
    <w:rsid w:val="005F0DE6"/>
    <w:rsid w:val="005F184E"/>
    <w:rsid w:val="005F29BD"/>
    <w:rsid w:val="005F42E1"/>
    <w:rsid w:val="005F5500"/>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44F"/>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38F"/>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9C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61AB"/>
    <w:rsid w:val="00957BE9"/>
    <w:rsid w:val="009634F0"/>
    <w:rsid w:val="009668E0"/>
    <w:rsid w:val="00967F6B"/>
    <w:rsid w:val="0097017B"/>
    <w:rsid w:val="00971302"/>
    <w:rsid w:val="0097182E"/>
    <w:rsid w:val="00972018"/>
    <w:rsid w:val="00972236"/>
    <w:rsid w:val="009722ED"/>
    <w:rsid w:val="009725FB"/>
    <w:rsid w:val="00974C05"/>
    <w:rsid w:val="00975FCE"/>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57F3D"/>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3AD"/>
    <w:rsid w:val="00AA39E9"/>
    <w:rsid w:val="00AA77A8"/>
    <w:rsid w:val="00AB0157"/>
    <w:rsid w:val="00AB0D3A"/>
    <w:rsid w:val="00AB1B96"/>
    <w:rsid w:val="00AB1BE7"/>
    <w:rsid w:val="00AB3FA6"/>
    <w:rsid w:val="00AB5F41"/>
    <w:rsid w:val="00AB670E"/>
    <w:rsid w:val="00AC1820"/>
    <w:rsid w:val="00AC191A"/>
    <w:rsid w:val="00AC1CC0"/>
    <w:rsid w:val="00AC42E4"/>
    <w:rsid w:val="00AC5361"/>
    <w:rsid w:val="00AC6D8A"/>
    <w:rsid w:val="00AC79F9"/>
    <w:rsid w:val="00AC7A15"/>
    <w:rsid w:val="00AD1518"/>
    <w:rsid w:val="00AD4558"/>
    <w:rsid w:val="00AD5A0B"/>
    <w:rsid w:val="00AD681F"/>
    <w:rsid w:val="00AD7722"/>
    <w:rsid w:val="00AD7BD1"/>
    <w:rsid w:val="00AE13CC"/>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06E76"/>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63B1"/>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85A"/>
    <w:rsid w:val="00BD3D65"/>
    <w:rsid w:val="00BD4DFD"/>
    <w:rsid w:val="00BE09B5"/>
    <w:rsid w:val="00BE1D9D"/>
    <w:rsid w:val="00BE44C9"/>
    <w:rsid w:val="00BE4E90"/>
    <w:rsid w:val="00BE6033"/>
    <w:rsid w:val="00BE76D7"/>
    <w:rsid w:val="00BF32EA"/>
    <w:rsid w:val="00BF42C7"/>
    <w:rsid w:val="00BF4E88"/>
    <w:rsid w:val="00BF544C"/>
    <w:rsid w:val="00BF6845"/>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49E0"/>
    <w:rsid w:val="00CC68CB"/>
    <w:rsid w:val="00CD08A3"/>
    <w:rsid w:val="00CD0FD9"/>
    <w:rsid w:val="00CD1567"/>
    <w:rsid w:val="00CD2F6F"/>
    <w:rsid w:val="00CD72BC"/>
    <w:rsid w:val="00CE0670"/>
    <w:rsid w:val="00CE06F6"/>
    <w:rsid w:val="00CE08E2"/>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35863"/>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1255"/>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0E8"/>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217"/>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1DF0"/>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18BE"/>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35E1"/>
    <w:rsid w:val="00F454AE"/>
    <w:rsid w:val="00F45DF4"/>
    <w:rsid w:val="00F46619"/>
    <w:rsid w:val="00F4677B"/>
    <w:rsid w:val="00F471EF"/>
    <w:rsid w:val="00F508E6"/>
    <w:rsid w:val="00F51A4B"/>
    <w:rsid w:val="00F51BDA"/>
    <w:rsid w:val="00F51FB4"/>
    <w:rsid w:val="00F527CB"/>
    <w:rsid w:val="00F52882"/>
    <w:rsid w:val="00F54B63"/>
    <w:rsid w:val="00F54CF1"/>
    <w:rsid w:val="00F56EE0"/>
    <w:rsid w:val="00F63347"/>
    <w:rsid w:val="00F66100"/>
    <w:rsid w:val="00F66AC1"/>
    <w:rsid w:val="00F672E1"/>
    <w:rsid w:val="00F67FF4"/>
    <w:rsid w:val="00F729DD"/>
    <w:rsid w:val="00F74F9E"/>
    <w:rsid w:val="00F754AA"/>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746</Words>
  <Characters>4265</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5029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2017-10-30T19:23:00Z</dcterms:created>
  <dcterms:modified xsi:type="dcterms:W3CDTF">2017-10-30T19:23:00Z</dcterms:modified>
  <cp:category> </cp:category>
  <cp:contentStatus> </cp:contentStatus>
</cp:coreProperties>
</file>