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020"/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:rsidTr="00C62B49">
        <w:trPr>
          <w:trHeight w:val="2181"/>
        </w:trPr>
        <w:tc>
          <w:tcPr>
            <w:tcW w:w="8640" w:type="dxa"/>
          </w:tcPr>
          <w:p w:rsidR="00FF232D" w:rsidRDefault="00CE14FD" w:rsidP="00C62B49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C62B49">
            <w:pPr>
              <w:rPr>
                <w:b/>
                <w:bCs/>
              </w:rPr>
            </w:pPr>
          </w:p>
          <w:p w:rsidR="007A44F8" w:rsidRPr="008A3940" w:rsidRDefault="007A44F8" w:rsidP="00C62B4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RDefault="007A44F8" w:rsidP="00C62B4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RDefault="007A44F8" w:rsidP="00C62B4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RDefault="007A44F8" w:rsidP="00C62B49">
            <w:pPr>
              <w:rPr>
                <w:bCs/>
                <w:sz w:val="22"/>
                <w:szCs w:val="22"/>
              </w:rPr>
            </w:pPr>
          </w:p>
          <w:p w:rsidR="007A44F8" w:rsidRPr="008A3940" w:rsidRDefault="007A44F8" w:rsidP="00C62B4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C62B49" w:rsidRDefault="007A44F8" w:rsidP="00C62B49">
            <w:pPr>
              <w:jc w:val="center"/>
              <w:rPr>
                <w:b/>
                <w:bCs/>
              </w:rPr>
            </w:pPr>
          </w:p>
          <w:p w:rsidR="000E049E" w:rsidRDefault="000E049E" w:rsidP="00C62B49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2F7D1E">
              <w:rPr>
                <w:b/>
                <w:bCs/>
                <w:sz w:val="26"/>
                <w:szCs w:val="26"/>
              </w:rPr>
              <w:t>FINES SECURUS</w:t>
            </w:r>
            <w:r w:rsidR="00185DF1">
              <w:rPr>
                <w:b/>
                <w:bCs/>
                <w:sz w:val="26"/>
                <w:szCs w:val="26"/>
              </w:rPr>
              <w:t xml:space="preserve"> $1.7M, </w:t>
            </w:r>
            <w:r w:rsidR="00576969">
              <w:rPr>
                <w:b/>
                <w:bCs/>
                <w:sz w:val="26"/>
                <w:szCs w:val="26"/>
              </w:rPr>
              <w:t xml:space="preserve">RESOLVING </w:t>
            </w:r>
            <w:r w:rsidR="00185DF1">
              <w:rPr>
                <w:b/>
                <w:bCs/>
                <w:sz w:val="26"/>
                <w:szCs w:val="26"/>
              </w:rPr>
              <w:t xml:space="preserve">INVESTIGATION OVER SUBMITTING </w:t>
            </w:r>
            <w:r w:rsidR="002F7D1E">
              <w:rPr>
                <w:b/>
                <w:bCs/>
                <w:sz w:val="26"/>
                <w:szCs w:val="26"/>
              </w:rPr>
              <w:t>MISLEADING INFORMATION</w:t>
            </w:r>
            <w:r w:rsidR="00185DF1">
              <w:rPr>
                <w:b/>
                <w:bCs/>
                <w:sz w:val="26"/>
                <w:szCs w:val="26"/>
              </w:rPr>
              <w:t xml:space="preserve"> TO AGENCY</w:t>
            </w:r>
          </w:p>
          <w:p w:rsidR="00CC5E08" w:rsidRPr="008A3940" w:rsidRDefault="002F7D1E" w:rsidP="00C62B49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Commission </w:t>
            </w:r>
            <w:r w:rsidR="00576969">
              <w:rPr>
                <w:b/>
                <w:bCs/>
                <w:i/>
              </w:rPr>
              <w:t xml:space="preserve">Completes </w:t>
            </w:r>
            <w:r w:rsidR="00185DF1">
              <w:rPr>
                <w:b/>
                <w:bCs/>
                <w:i/>
              </w:rPr>
              <w:t>Investigation,</w:t>
            </w:r>
            <w:r>
              <w:rPr>
                <w:b/>
                <w:bCs/>
                <w:i/>
              </w:rPr>
              <w:t xml:space="preserve"> </w:t>
            </w:r>
            <w:r w:rsidR="00185DF1">
              <w:rPr>
                <w:b/>
                <w:bCs/>
                <w:i/>
              </w:rPr>
              <w:t xml:space="preserve">Approves </w:t>
            </w:r>
            <w:r w:rsidR="009F4927">
              <w:rPr>
                <w:b/>
                <w:bCs/>
                <w:i/>
              </w:rPr>
              <w:t>Sale of Securus to Platinum Equity</w:t>
            </w:r>
          </w:p>
          <w:p w:rsidR="00F61155" w:rsidRPr="006B0A70" w:rsidRDefault="00F228ED" w:rsidP="00C62B4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185DF1" w:rsidRPr="00D61C36" w:rsidRDefault="00FF1C0B" w:rsidP="00185DF1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D61C36">
              <w:rPr>
                <w:sz w:val="22"/>
                <w:szCs w:val="22"/>
              </w:rPr>
              <w:t xml:space="preserve">WASHINGTON, </w:t>
            </w:r>
            <w:r w:rsidR="002F7D1E" w:rsidRPr="00D61C36">
              <w:rPr>
                <w:sz w:val="22"/>
                <w:szCs w:val="22"/>
              </w:rPr>
              <w:t>October</w:t>
            </w:r>
            <w:r w:rsidR="000E049E" w:rsidRPr="00D61C36">
              <w:rPr>
                <w:sz w:val="22"/>
                <w:szCs w:val="22"/>
              </w:rPr>
              <w:t xml:space="preserve"> </w:t>
            </w:r>
            <w:r w:rsidR="00F30FAB">
              <w:rPr>
                <w:sz w:val="22"/>
                <w:szCs w:val="22"/>
              </w:rPr>
              <w:t>30</w:t>
            </w:r>
            <w:r w:rsidR="0070589A" w:rsidRPr="00D61C36">
              <w:rPr>
                <w:sz w:val="22"/>
                <w:szCs w:val="22"/>
              </w:rPr>
              <w:t>, 2017</w:t>
            </w:r>
            <w:r w:rsidR="00D861EE" w:rsidRPr="00D61C36">
              <w:rPr>
                <w:sz w:val="22"/>
                <w:szCs w:val="22"/>
              </w:rPr>
              <w:t>—</w:t>
            </w:r>
            <w:r w:rsidR="00360251" w:rsidRPr="004F2785">
              <w:rPr>
                <w:sz w:val="22"/>
                <w:szCs w:val="22"/>
              </w:rPr>
              <w:t xml:space="preserve"> The Federal Communications Commission today announced it has reached a </w:t>
            </w:r>
            <w:r w:rsidR="00360251">
              <w:rPr>
                <w:sz w:val="22"/>
                <w:szCs w:val="22"/>
              </w:rPr>
              <w:t>$1.7</w:t>
            </w:r>
            <w:r w:rsidR="00980ADB">
              <w:rPr>
                <w:sz w:val="22"/>
                <w:szCs w:val="22"/>
              </w:rPr>
              <w:t xml:space="preserve"> million</w:t>
            </w:r>
            <w:r w:rsidR="00360251">
              <w:rPr>
                <w:sz w:val="22"/>
                <w:szCs w:val="22"/>
              </w:rPr>
              <w:t xml:space="preserve"> </w:t>
            </w:r>
            <w:r w:rsidR="00576969">
              <w:rPr>
                <w:sz w:val="22"/>
                <w:szCs w:val="22"/>
              </w:rPr>
              <w:t xml:space="preserve">consent decree </w:t>
            </w:r>
            <w:r w:rsidR="00360251">
              <w:rPr>
                <w:sz w:val="22"/>
                <w:szCs w:val="22"/>
              </w:rPr>
              <w:t>with Securus Technologies</w:t>
            </w:r>
            <w:r w:rsidR="00360251" w:rsidRPr="004F2785">
              <w:rPr>
                <w:sz w:val="22"/>
                <w:szCs w:val="22"/>
              </w:rPr>
              <w:t xml:space="preserve"> resolving an investigation into whether Securus provided inaccurate and misleading information to the FCC regarding the company’s transfer of control to Platinum Equity, LLC.</w:t>
            </w:r>
            <w:r w:rsidR="00360251">
              <w:rPr>
                <w:sz w:val="22"/>
                <w:szCs w:val="22"/>
              </w:rPr>
              <w:t xml:space="preserve">  As part of the </w:t>
            </w:r>
            <w:r w:rsidR="00576969">
              <w:rPr>
                <w:sz w:val="22"/>
                <w:szCs w:val="22"/>
              </w:rPr>
              <w:t>consent decree</w:t>
            </w:r>
            <w:r w:rsidR="00360251">
              <w:rPr>
                <w:sz w:val="22"/>
                <w:szCs w:val="22"/>
              </w:rPr>
              <w:t>, Securus will</w:t>
            </w:r>
            <w:r w:rsidR="00360251" w:rsidRPr="004F2785">
              <w:rPr>
                <w:sz w:val="22"/>
                <w:szCs w:val="22"/>
              </w:rPr>
              <w:t xml:space="preserve"> implement a </w:t>
            </w:r>
            <w:r w:rsidR="00360251">
              <w:rPr>
                <w:sz w:val="22"/>
                <w:szCs w:val="22"/>
              </w:rPr>
              <w:t xml:space="preserve">strict </w:t>
            </w:r>
            <w:r w:rsidR="00360251" w:rsidRPr="004F2785">
              <w:rPr>
                <w:sz w:val="22"/>
                <w:szCs w:val="22"/>
              </w:rPr>
              <w:t>compliance plan.</w:t>
            </w:r>
            <w:r w:rsidR="00360251">
              <w:rPr>
                <w:sz w:val="22"/>
                <w:szCs w:val="22"/>
              </w:rPr>
              <w:t xml:space="preserve">  </w:t>
            </w:r>
            <w:r w:rsidR="00185DF1" w:rsidRPr="00D61C36">
              <w:rPr>
                <w:sz w:val="22"/>
                <w:szCs w:val="22"/>
              </w:rPr>
              <w:t>With the resolution of the investigation</w:t>
            </w:r>
            <w:r w:rsidR="009F4927" w:rsidRPr="00D61C36">
              <w:rPr>
                <w:sz w:val="22"/>
                <w:szCs w:val="22"/>
              </w:rPr>
              <w:t xml:space="preserve"> and the commitment of Securus to the compliance plan</w:t>
            </w:r>
            <w:r w:rsidR="00185DF1" w:rsidRPr="00D61C36">
              <w:rPr>
                <w:sz w:val="22"/>
                <w:szCs w:val="22"/>
              </w:rPr>
              <w:t xml:space="preserve">, the agency approved the company’s proposed transfer of control from Securus Investment Holdings, LLC to Platinum Equity, LLC.  </w:t>
            </w:r>
          </w:p>
          <w:p w:rsidR="00501368" w:rsidRPr="00D61C36" w:rsidRDefault="00501368" w:rsidP="00C62B49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166769" w:rsidRPr="00D61C36" w:rsidRDefault="008C3B23" w:rsidP="00C62B49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D61C36">
              <w:rPr>
                <w:sz w:val="22"/>
                <w:szCs w:val="22"/>
              </w:rPr>
              <w:t xml:space="preserve">The FCC’s Wireline Competition Bureau, in its review of the </w:t>
            </w:r>
            <w:r w:rsidR="00185DF1" w:rsidRPr="00D61C36">
              <w:rPr>
                <w:sz w:val="22"/>
                <w:szCs w:val="22"/>
              </w:rPr>
              <w:t xml:space="preserve">merger </w:t>
            </w:r>
            <w:r w:rsidRPr="00D61C36">
              <w:rPr>
                <w:sz w:val="22"/>
                <w:szCs w:val="22"/>
              </w:rPr>
              <w:t xml:space="preserve">application, found “Securus’s cavalier and willful attitude towards the Commission and its transaction review process unacceptable.”  </w:t>
            </w:r>
            <w:r w:rsidR="00501368" w:rsidRPr="00D61C36">
              <w:rPr>
                <w:sz w:val="22"/>
                <w:szCs w:val="22"/>
              </w:rPr>
              <w:t>Because</w:t>
            </w:r>
            <w:r w:rsidRPr="00D61C36">
              <w:rPr>
                <w:sz w:val="22"/>
                <w:szCs w:val="22"/>
              </w:rPr>
              <w:t xml:space="preserve"> this </w:t>
            </w:r>
            <w:r w:rsidR="00576969">
              <w:rPr>
                <w:sz w:val="22"/>
                <w:szCs w:val="22"/>
              </w:rPr>
              <w:t>conduct</w:t>
            </w:r>
            <w:r w:rsidRPr="00D61C36">
              <w:rPr>
                <w:sz w:val="22"/>
                <w:szCs w:val="22"/>
              </w:rPr>
              <w:t xml:space="preserve"> was wholly relevant to the pending </w:t>
            </w:r>
            <w:r w:rsidR="009F4927" w:rsidRPr="00D61C36">
              <w:rPr>
                <w:sz w:val="22"/>
                <w:szCs w:val="22"/>
              </w:rPr>
              <w:t xml:space="preserve">merger </w:t>
            </w:r>
            <w:r w:rsidRPr="00D61C36">
              <w:rPr>
                <w:sz w:val="22"/>
                <w:szCs w:val="22"/>
              </w:rPr>
              <w:t xml:space="preserve">applications, the </w:t>
            </w:r>
            <w:r w:rsidR="00185DF1" w:rsidRPr="00D61C36">
              <w:rPr>
                <w:sz w:val="22"/>
                <w:szCs w:val="22"/>
              </w:rPr>
              <w:t xml:space="preserve">Wireline Competition </w:t>
            </w:r>
            <w:r w:rsidR="009F4927" w:rsidRPr="00D61C36">
              <w:rPr>
                <w:sz w:val="22"/>
                <w:szCs w:val="22"/>
              </w:rPr>
              <w:t xml:space="preserve">and International </w:t>
            </w:r>
            <w:r w:rsidRPr="00D61C36">
              <w:rPr>
                <w:sz w:val="22"/>
                <w:szCs w:val="22"/>
              </w:rPr>
              <w:t>Bureau</w:t>
            </w:r>
            <w:r w:rsidR="009F4927" w:rsidRPr="00D61C36">
              <w:rPr>
                <w:sz w:val="22"/>
                <w:szCs w:val="22"/>
              </w:rPr>
              <w:t>s</w:t>
            </w:r>
            <w:r w:rsidRPr="00D61C36">
              <w:rPr>
                <w:sz w:val="22"/>
                <w:szCs w:val="22"/>
              </w:rPr>
              <w:t xml:space="preserve"> </w:t>
            </w:r>
            <w:r w:rsidR="00DA6BC3" w:rsidRPr="00D61C36">
              <w:rPr>
                <w:sz w:val="22"/>
                <w:szCs w:val="22"/>
              </w:rPr>
              <w:t>paused</w:t>
            </w:r>
            <w:r w:rsidRPr="00D61C36">
              <w:rPr>
                <w:sz w:val="22"/>
                <w:szCs w:val="22"/>
              </w:rPr>
              <w:t xml:space="preserve"> further consideration of the transaction </w:t>
            </w:r>
            <w:r w:rsidR="00DA6BC3" w:rsidRPr="00D61C36">
              <w:rPr>
                <w:sz w:val="22"/>
                <w:szCs w:val="22"/>
              </w:rPr>
              <w:t xml:space="preserve">and referred the matter to the FCC’s Enforcement Bureau. </w:t>
            </w:r>
            <w:r w:rsidRPr="00D61C36">
              <w:rPr>
                <w:sz w:val="22"/>
                <w:szCs w:val="22"/>
              </w:rPr>
              <w:t xml:space="preserve"> </w:t>
            </w:r>
          </w:p>
          <w:p w:rsidR="00C47FFE" w:rsidRPr="00D61C36" w:rsidRDefault="00C47FFE" w:rsidP="00C62B49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850E26" w:rsidRPr="00D61C36" w:rsidRDefault="001C76C0" w:rsidP="00DA6BC3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D61C36">
              <w:rPr>
                <w:sz w:val="22"/>
                <w:szCs w:val="22"/>
              </w:rPr>
              <w:t>A</w:t>
            </w:r>
            <w:r w:rsidR="00167046" w:rsidRPr="00D61C36">
              <w:rPr>
                <w:sz w:val="22"/>
                <w:szCs w:val="22"/>
              </w:rPr>
              <w:t xml:space="preserve">s a result, the FCC’s Enforcement Bureau opened an investigation into apparent violations of FCC rules requiring all material </w:t>
            </w:r>
            <w:r w:rsidR="00185DF1" w:rsidRPr="00D61C36">
              <w:rPr>
                <w:sz w:val="22"/>
                <w:szCs w:val="22"/>
              </w:rPr>
              <w:t>information</w:t>
            </w:r>
            <w:r w:rsidR="00167046" w:rsidRPr="00D61C36">
              <w:rPr>
                <w:sz w:val="22"/>
                <w:szCs w:val="22"/>
              </w:rPr>
              <w:t xml:space="preserve"> submitted to the agency not be incorrect or misleading, or omit material information.</w:t>
            </w:r>
            <w:r w:rsidR="00501368" w:rsidRPr="00D61C36">
              <w:rPr>
                <w:sz w:val="22"/>
                <w:szCs w:val="22"/>
              </w:rPr>
              <w:t xml:space="preserve"> </w:t>
            </w:r>
            <w:r w:rsidR="00305C31" w:rsidRPr="00D61C36">
              <w:rPr>
                <w:sz w:val="22"/>
                <w:szCs w:val="22"/>
              </w:rPr>
              <w:t xml:space="preserve"> To </w:t>
            </w:r>
            <w:r w:rsidR="00576969">
              <w:rPr>
                <w:sz w:val="22"/>
                <w:szCs w:val="22"/>
              </w:rPr>
              <w:t xml:space="preserve">conclude </w:t>
            </w:r>
            <w:r w:rsidR="00305C31" w:rsidRPr="00D61C36">
              <w:rPr>
                <w:sz w:val="22"/>
                <w:szCs w:val="22"/>
              </w:rPr>
              <w:t xml:space="preserve">the </w:t>
            </w:r>
            <w:r w:rsidR="00DA6BC3" w:rsidRPr="00D61C36">
              <w:rPr>
                <w:sz w:val="22"/>
                <w:szCs w:val="22"/>
              </w:rPr>
              <w:t>investigation</w:t>
            </w:r>
            <w:r w:rsidR="00305C31" w:rsidRPr="00D61C36">
              <w:rPr>
                <w:sz w:val="22"/>
                <w:szCs w:val="22"/>
              </w:rPr>
              <w:t>, Securus has agreed to pay a $1,700,000 civil penalty and to implement a three-year compliance plan to ensure that it adheres to Commission rules.  The compliance plan requires Securus to appoint a compliance officer</w:t>
            </w:r>
            <w:r w:rsidR="00DA6BC3" w:rsidRPr="00D61C36">
              <w:rPr>
                <w:sz w:val="22"/>
                <w:szCs w:val="22"/>
              </w:rPr>
              <w:t xml:space="preserve">, implement internal procedures, </w:t>
            </w:r>
            <w:r w:rsidR="00305C31" w:rsidRPr="00D61C36">
              <w:rPr>
                <w:sz w:val="22"/>
                <w:szCs w:val="22"/>
              </w:rPr>
              <w:t>submit periodic reports</w:t>
            </w:r>
            <w:r w:rsidR="00DA6BC3" w:rsidRPr="00D61C36">
              <w:rPr>
                <w:sz w:val="22"/>
                <w:szCs w:val="22"/>
              </w:rPr>
              <w:t xml:space="preserve"> and ensure that all FCC filings be reviewed and receive written approval by legal counsel.</w:t>
            </w:r>
          </w:p>
          <w:p w:rsidR="00501368" w:rsidRPr="00D61C36" w:rsidRDefault="00501368" w:rsidP="00C62B49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305C31" w:rsidRPr="00C82FBD" w:rsidRDefault="00305C31" w:rsidP="00C62B49">
            <w:pPr>
              <w:tabs>
                <w:tab w:val="left" w:pos="8640"/>
              </w:tabs>
              <w:rPr>
                <w:sz w:val="22"/>
                <w:szCs w:val="22"/>
              </w:rPr>
            </w:pPr>
            <w:bookmarkStart w:id="1" w:name="_Hlk494987566"/>
            <w:r w:rsidRPr="00D61C36">
              <w:rPr>
                <w:sz w:val="22"/>
                <w:szCs w:val="22"/>
              </w:rPr>
              <w:t xml:space="preserve">With the resolution of </w:t>
            </w:r>
            <w:r w:rsidR="00DA6BC3" w:rsidRPr="00D61C36">
              <w:rPr>
                <w:sz w:val="22"/>
                <w:szCs w:val="22"/>
              </w:rPr>
              <w:t>the Enforcement Bureau</w:t>
            </w:r>
            <w:r w:rsidRPr="00D61C36">
              <w:rPr>
                <w:sz w:val="22"/>
                <w:szCs w:val="22"/>
              </w:rPr>
              <w:t xml:space="preserve"> </w:t>
            </w:r>
            <w:r w:rsidR="00DA6BC3" w:rsidRPr="00D61C36">
              <w:rPr>
                <w:sz w:val="22"/>
                <w:szCs w:val="22"/>
              </w:rPr>
              <w:t>investigation</w:t>
            </w:r>
            <w:r w:rsidR="00185DF1" w:rsidRPr="00D61C36">
              <w:rPr>
                <w:sz w:val="22"/>
                <w:szCs w:val="22"/>
              </w:rPr>
              <w:t xml:space="preserve"> and Securus’ commitment to the compliance plan</w:t>
            </w:r>
            <w:r w:rsidRPr="00D61C36">
              <w:rPr>
                <w:sz w:val="22"/>
                <w:szCs w:val="22"/>
              </w:rPr>
              <w:t xml:space="preserve">, the </w:t>
            </w:r>
            <w:r w:rsidR="00185DF1" w:rsidRPr="00D61C36">
              <w:rPr>
                <w:sz w:val="22"/>
                <w:szCs w:val="22"/>
              </w:rPr>
              <w:t>FCC</w:t>
            </w:r>
            <w:r w:rsidRPr="00D61C36">
              <w:rPr>
                <w:sz w:val="22"/>
                <w:szCs w:val="22"/>
              </w:rPr>
              <w:t xml:space="preserve"> found that this transaction, which involves a transfer of control to a holding company entity with no competing operations</w:t>
            </w:r>
            <w:r w:rsidR="00E3013D" w:rsidRPr="00D61C36">
              <w:rPr>
                <w:sz w:val="22"/>
                <w:szCs w:val="22"/>
              </w:rPr>
              <w:t xml:space="preserve"> and </w:t>
            </w:r>
            <w:r w:rsidR="00576969">
              <w:rPr>
                <w:sz w:val="22"/>
                <w:szCs w:val="22"/>
              </w:rPr>
              <w:t xml:space="preserve">that </w:t>
            </w:r>
            <w:r w:rsidR="00E3013D" w:rsidRPr="00D61C36">
              <w:rPr>
                <w:sz w:val="22"/>
                <w:szCs w:val="22"/>
              </w:rPr>
              <w:t>was not involved in the violations of FCC rules,</w:t>
            </w:r>
            <w:r w:rsidRPr="00D61C36">
              <w:rPr>
                <w:sz w:val="22"/>
                <w:szCs w:val="22"/>
              </w:rPr>
              <w:t xml:space="preserve"> imposes no public </w:t>
            </w:r>
            <w:r w:rsidRPr="00C82FBD">
              <w:rPr>
                <w:sz w:val="22"/>
                <w:szCs w:val="22"/>
              </w:rPr>
              <w:t>interest harms</w:t>
            </w:r>
            <w:r w:rsidR="00F109CD" w:rsidRPr="00C82FBD">
              <w:rPr>
                <w:sz w:val="22"/>
                <w:szCs w:val="22"/>
              </w:rPr>
              <w:t xml:space="preserve">. </w:t>
            </w:r>
            <w:r w:rsidR="000C2832" w:rsidRPr="00C82FBD">
              <w:rPr>
                <w:sz w:val="22"/>
                <w:szCs w:val="22"/>
              </w:rPr>
              <w:t xml:space="preserve"> </w:t>
            </w:r>
            <w:r w:rsidR="00F109CD" w:rsidRPr="00C82FBD">
              <w:rPr>
                <w:sz w:val="22"/>
                <w:szCs w:val="22"/>
              </w:rPr>
              <w:t>Add</w:t>
            </w:r>
            <w:r w:rsidR="00F27881" w:rsidRPr="00C82FBD">
              <w:rPr>
                <w:sz w:val="22"/>
                <w:szCs w:val="22"/>
              </w:rPr>
              <w:t>itionally, the FCC found that the transaction</w:t>
            </w:r>
            <w:r w:rsidR="00C902DD" w:rsidRPr="00C82FBD">
              <w:rPr>
                <w:sz w:val="22"/>
                <w:szCs w:val="22"/>
              </w:rPr>
              <w:t xml:space="preserve"> </w:t>
            </w:r>
            <w:bookmarkEnd w:id="1"/>
            <w:r w:rsidR="002C052B" w:rsidRPr="00C82FBD">
              <w:rPr>
                <w:sz w:val="22"/>
                <w:szCs w:val="22"/>
              </w:rPr>
              <w:t>may</w:t>
            </w:r>
            <w:r w:rsidR="003E494D" w:rsidRPr="00C82FBD">
              <w:rPr>
                <w:sz w:val="22"/>
                <w:szCs w:val="22"/>
              </w:rPr>
              <w:t xml:space="preserve"> </w:t>
            </w:r>
            <w:r w:rsidRPr="00C82FBD">
              <w:rPr>
                <w:sz w:val="22"/>
                <w:szCs w:val="22"/>
              </w:rPr>
              <w:t xml:space="preserve">increase capital resources available to Securus to implement or continue offering certain services and programs </w:t>
            </w:r>
            <w:r w:rsidR="00DA6BC3" w:rsidRPr="00C82FBD">
              <w:rPr>
                <w:sz w:val="22"/>
                <w:szCs w:val="22"/>
              </w:rPr>
              <w:t xml:space="preserve">for inmates and law enforcement that </w:t>
            </w:r>
            <w:r w:rsidRPr="00C82FBD">
              <w:rPr>
                <w:sz w:val="22"/>
                <w:szCs w:val="22"/>
              </w:rPr>
              <w:t>it has committed to offer.</w:t>
            </w:r>
          </w:p>
          <w:p w:rsidR="001C76C0" w:rsidRPr="00C82FBD" w:rsidRDefault="001C76C0" w:rsidP="00C62B49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1C76C0" w:rsidRPr="00C82FBD" w:rsidRDefault="001C76C0" w:rsidP="00C62B49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C82FBD">
              <w:rPr>
                <w:sz w:val="22"/>
                <w:szCs w:val="22"/>
              </w:rPr>
              <w:t xml:space="preserve">The settlement, formally known as a Consent Decree, is available at: </w:t>
            </w:r>
            <w:hyperlink r:id="rId9" w:history="1">
              <w:r w:rsidR="00966910" w:rsidRPr="00C82FBD">
                <w:rPr>
                  <w:rStyle w:val="Hyperlink"/>
                  <w:sz w:val="22"/>
                  <w:szCs w:val="22"/>
                </w:rPr>
                <w:t>https://apps.fcc.gov/edocs_public/attachmatch/FCC-17-140A1.pdf</w:t>
              </w:r>
            </w:hyperlink>
            <w:r w:rsidR="00903860" w:rsidRPr="00C82FBD">
              <w:rPr>
                <w:sz w:val="22"/>
                <w:szCs w:val="22"/>
              </w:rPr>
              <w:t>.</w:t>
            </w:r>
            <w:r w:rsidR="00966910" w:rsidRPr="00C82FBD">
              <w:rPr>
                <w:sz w:val="22"/>
                <w:szCs w:val="22"/>
              </w:rPr>
              <w:t xml:space="preserve"> </w:t>
            </w:r>
          </w:p>
          <w:p w:rsidR="00966910" w:rsidRPr="00C82FBD" w:rsidRDefault="00966910" w:rsidP="00C62B49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185DF1" w:rsidRPr="00C82FBD" w:rsidRDefault="00185DF1" w:rsidP="00C62B49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C82FBD">
              <w:rPr>
                <w:sz w:val="22"/>
                <w:szCs w:val="22"/>
              </w:rPr>
              <w:t xml:space="preserve">The </w:t>
            </w:r>
            <w:r w:rsidR="00966910" w:rsidRPr="00C82FBD">
              <w:rPr>
                <w:sz w:val="22"/>
                <w:szCs w:val="22"/>
              </w:rPr>
              <w:t>Memorandum Opinion &amp; Order</w:t>
            </w:r>
            <w:r w:rsidRPr="00C82FBD">
              <w:rPr>
                <w:sz w:val="22"/>
                <w:szCs w:val="22"/>
              </w:rPr>
              <w:t xml:space="preserve"> approving the Securus transaction is available at</w:t>
            </w:r>
            <w:r w:rsidR="00903860" w:rsidRPr="00C82FBD">
              <w:rPr>
                <w:sz w:val="22"/>
                <w:szCs w:val="22"/>
              </w:rPr>
              <w:t xml:space="preserve">: </w:t>
            </w:r>
            <w:hyperlink r:id="rId10" w:history="1">
              <w:r w:rsidR="00903860" w:rsidRPr="00C82FBD">
                <w:rPr>
                  <w:rStyle w:val="Hyperlink"/>
                  <w:sz w:val="22"/>
                  <w:szCs w:val="22"/>
                </w:rPr>
                <w:t>https://apps.fcc.gov/edocs_public/attachmatch/FCC-17-141A1.pdf</w:t>
              </w:r>
            </w:hyperlink>
            <w:r w:rsidR="00903860" w:rsidRPr="00C82FBD">
              <w:rPr>
                <w:sz w:val="22"/>
                <w:szCs w:val="22"/>
              </w:rPr>
              <w:t xml:space="preserve">. </w:t>
            </w:r>
          </w:p>
          <w:p w:rsidR="00BD19E8" w:rsidRPr="00167046" w:rsidRDefault="00BD19E8" w:rsidP="00C62B49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C82FBD" w:rsidRDefault="00F708E3" w:rsidP="009F4927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E644FE" w:rsidRDefault="00E644FE" w:rsidP="009F492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RDefault="00850E26" w:rsidP="00C62B49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B0A70" w:rsidRDefault="00E644FE" w:rsidP="00C62B49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RDefault="006A2FC5" w:rsidP="00C62B49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Default="00EE0E90" w:rsidP="00C62B49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850E26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:rsidR="0069420F" w:rsidRPr="00EE0E90" w:rsidRDefault="0069420F" w:rsidP="00C62B49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RDefault="0069420F" w:rsidP="00C62B49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C51" w:rsidRDefault="00983C51" w:rsidP="001C76C0">
      <w:r>
        <w:separator/>
      </w:r>
    </w:p>
  </w:endnote>
  <w:endnote w:type="continuationSeparator" w:id="0">
    <w:p w:rsidR="00983C51" w:rsidRDefault="00983C51" w:rsidP="001C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57" w:rsidRDefault="008D4C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57" w:rsidRDefault="008D4C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57" w:rsidRDefault="008D4C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C51" w:rsidRDefault="00983C51" w:rsidP="001C76C0">
      <w:r>
        <w:separator/>
      </w:r>
    </w:p>
  </w:footnote>
  <w:footnote w:type="continuationSeparator" w:id="0">
    <w:p w:rsidR="00983C51" w:rsidRDefault="00983C51" w:rsidP="001C7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57" w:rsidRDefault="008D4C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57" w:rsidRDefault="008D4C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57" w:rsidRDefault="008D4C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73"/>
    <w:rsid w:val="0002500C"/>
    <w:rsid w:val="000311FC"/>
    <w:rsid w:val="00040127"/>
    <w:rsid w:val="00081232"/>
    <w:rsid w:val="00091E65"/>
    <w:rsid w:val="00096D4A"/>
    <w:rsid w:val="000A38EA"/>
    <w:rsid w:val="000C1E47"/>
    <w:rsid w:val="000C26F3"/>
    <w:rsid w:val="000C2832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66769"/>
    <w:rsid w:val="00167046"/>
    <w:rsid w:val="001722DE"/>
    <w:rsid w:val="001733A6"/>
    <w:rsid w:val="00185DF1"/>
    <w:rsid w:val="001865A9"/>
    <w:rsid w:val="00187DB2"/>
    <w:rsid w:val="001B20BB"/>
    <w:rsid w:val="001B20D1"/>
    <w:rsid w:val="001C4370"/>
    <w:rsid w:val="001C76C0"/>
    <w:rsid w:val="001D3779"/>
    <w:rsid w:val="001F0469"/>
    <w:rsid w:val="00203A98"/>
    <w:rsid w:val="00206EDD"/>
    <w:rsid w:val="0021247E"/>
    <w:rsid w:val="002146F6"/>
    <w:rsid w:val="00222DFE"/>
    <w:rsid w:val="00231C32"/>
    <w:rsid w:val="00240345"/>
    <w:rsid w:val="00241774"/>
    <w:rsid w:val="002421F0"/>
    <w:rsid w:val="00247274"/>
    <w:rsid w:val="00266966"/>
    <w:rsid w:val="002826CC"/>
    <w:rsid w:val="00294C0C"/>
    <w:rsid w:val="002A0934"/>
    <w:rsid w:val="002B1013"/>
    <w:rsid w:val="002B3F41"/>
    <w:rsid w:val="002C052B"/>
    <w:rsid w:val="002D03E5"/>
    <w:rsid w:val="002E3F1D"/>
    <w:rsid w:val="002F31D0"/>
    <w:rsid w:val="002F7D1E"/>
    <w:rsid w:val="00300359"/>
    <w:rsid w:val="00305C31"/>
    <w:rsid w:val="0031773E"/>
    <w:rsid w:val="00333871"/>
    <w:rsid w:val="00347716"/>
    <w:rsid w:val="003506E1"/>
    <w:rsid w:val="00360251"/>
    <w:rsid w:val="003727E3"/>
    <w:rsid w:val="00385A93"/>
    <w:rsid w:val="003910F1"/>
    <w:rsid w:val="003E42FC"/>
    <w:rsid w:val="003E494D"/>
    <w:rsid w:val="003E5991"/>
    <w:rsid w:val="003F344A"/>
    <w:rsid w:val="00403FF0"/>
    <w:rsid w:val="0042046D"/>
    <w:rsid w:val="0042116E"/>
    <w:rsid w:val="00425AEF"/>
    <w:rsid w:val="00426518"/>
    <w:rsid w:val="00427B06"/>
    <w:rsid w:val="00435060"/>
    <w:rsid w:val="00441F59"/>
    <w:rsid w:val="00444E07"/>
    <w:rsid w:val="00444FA9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1368"/>
    <w:rsid w:val="005022AA"/>
    <w:rsid w:val="00504845"/>
    <w:rsid w:val="0050757F"/>
    <w:rsid w:val="00516AD2"/>
    <w:rsid w:val="00545DAE"/>
    <w:rsid w:val="00571B83"/>
    <w:rsid w:val="00575A00"/>
    <w:rsid w:val="00576969"/>
    <w:rsid w:val="0058673C"/>
    <w:rsid w:val="005A7972"/>
    <w:rsid w:val="005B17E7"/>
    <w:rsid w:val="005B2643"/>
    <w:rsid w:val="005D1701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1730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589A"/>
    <w:rsid w:val="007138C9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3B23"/>
    <w:rsid w:val="008C5432"/>
    <w:rsid w:val="008C7BF1"/>
    <w:rsid w:val="008D00D6"/>
    <w:rsid w:val="008D4C57"/>
    <w:rsid w:val="008D4D00"/>
    <w:rsid w:val="008D4E5E"/>
    <w:rsid w:val="008D7ABD"/>
    <w:rsid w:val="008E55A2"/>
    <w:rsid w:val="008F1609"/>
    <w:rsid w:val="008F78D8"/>
    <w:rsid w:val="00903860"/>
    <w:rsid w:val="0093373C"/>
    <w:rsid w:val="00946EB0"/>
    <w:rsid w:val="00961620"/>
    <w:rsid w:val="00966910"/>
    <w:rsid w:val="009734B6"/>
    <w:rsid w:val="0098096F"/>
    <w:rsid w:val="00980ADB"/>
    <w:rsid w:val="00983C51"/>
    <w:rsid w:val="0098437A"/>
    <w:rsid w:val="00986C92"/>
    <w:rsid w:val="00993C47"/>
    <w:rsid w:val="009972BC"/>
    <w:rsid w:val="009B4B16"/>
    <w:rsid w:val="009E54A1"/>
    <w:rsid w:val="009E562B"/>
    <w:rsid w:val="009F4927"/>
    <w:rsid w:val="009F4E25"/>
    <w:rsid w:val="009F5B1F"/>
    <w:rsid w:val="00A225A9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BF4BF2"/>
    <w:rsid w:val="00C432E4"/>
    <w:rsid w:val="00C47FFE"/>
    <w:rsid w:val="00C62B49"/>
    <w:rsid w:val="00C70C26"/>
    <w:rsid w:val="00C72001"/>
    <w:rsid w:val="00C772B7"/>
    <w:rsid w:val="00C80347"/>
    <w:rsid w:val="00C82FBD"/>
    <w:rsid w:val="00C902DD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1038"/>
    <w:rsid w:val="00D22596"/>
    <w:rsid w:val="00D22691"/>
    <w:rsid w:val="00D24C3D"/>
    <w:rsid w:val="00D40356"/>
    <w:rsid w:val="00D447A5"/>
    <w:rsid w:val="00D46CB1"/>
    <w:rsid w:val="00D61C36"/>
    <w:rsid w:val="00D6270A"/>
    <w:rsid w:val="00D723F0"/>
    <w:rsid w:val="00D8133F"/>
    <w:rsid w:val="00D861EE"/>
    <w:rsid w:val="00D95B05"/>
    <w:rsid w:val="00D97E2D"/>
    <w:rsid w:val="00DA103D"/>
    <w:rsid w:val="00DA45D3"/>
    <w:rsid w:val="00DA4772"/>
    <w:rsid w:val="00DA6BC3"/>
    <w:rsid w:val="00DA7B44"/>
    <w:rsid w:val="00DB2667"/>
    <w:rsid w:val="00DB67B7"/>
    <w:rsid w:val="00DC15A9"/>
    <w:rsid w:val="00DC40AA"/>
    <w:rsid w:val="00DD1750"/>
    <w:rsid w:val="00E3013D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B4673"/>
    <w:rsid w:val="00EE0E90"/>
    <w:rsid w:val="00EF3BCA"/>
    <w:rsid w:val="00F01B0D"/>
    <w:rsid w:val="00F109CD"/>
    <w:rsid w:val="00F1238F"/>
    <w:rsid w:val="00F16485"/>
    <w:rsid w:val="00F228ED"/>
    <w:rsid w:val="00F26E31"/>
    <w:rsid w:val="00F27881"/>
    <w:rsid w:val="00F27C6C"/>
    <w:rsid w:val="00F30FAB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0BDE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9F49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F492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691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8D4C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4C5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D4C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4C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9F49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F492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691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8D4C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4C5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D4C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4C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apps.fcc.gov/edocs_public/attachmatch/FCC-17-141A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s.fcc.gov/edocs_public/attachmatch/FCC-17-140A1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2682</Characters>
  <Application>Microsoft Office Word</Application>
  <DocSecurity>0</DocSecurity>
  <Lines>57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3114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2017-10-30T20:46:00Z</dcterms:created>
  <dcterms:modified xsi:type="dcterms:W3CDTF">2017-10-30T20:46:00Z</dcterms:modified>
  <cp:category> </cp:category>
  <cp:contentStatus> </cp:contentStatus>
</cp:coreProperties>
</file>