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B0" w:rsidRPr="001A31B0" w:rsidRDefault="001A31B0" w:rsidP="001A31B0">
      <w:pPr>
        <w:widowControl/>
        <w:jc w:val="center"/>
        <w:rPr>
          <w:rFonts w:eastAsia="Calibri"/>
          <w:b/>
          <w:snapToGrid/>
          <w:color w:val="000000"/>
          <w:kern w:val="0"/>
          <w:szCs w:val="22"/>
        </w:rPr>
      </w:pPr>
      <w:bookmarkStart w:id="0" w:name="_Hlk497921129"/>
      <w:bookmarkStart w:id="1" w:name="_GoBack"/>
      <w:bookmarkEnd w:id="1"/>
      <w:r w:rsidRPr="001A31B0">
        <w:rPr>
          <w:rFonts w:eastAsia="Calibri"/>
          <w:b/>
          <w:snapToGrid/>
          <w:color w:val="000000"/>
          <w:kern w:val="0"/>
          <w:szCs w:val="22"/>
        </w:rPr>
        <w:t xml:space="preserve">DISSENTING STATEMENT OF </w:t>
      </w:r>
      <w:r w:rsidRPr="001A31B0">
        <w:rPr>
          <w:rFonts w:eastAsia="Calibri"/>
          <w:b/>
          <w:snapToGrid/>
          <w:color w:val="000000"/>
          <w:kern w:val="0"/>
          <w:szCs w:val="22"/>
        </w:rPr>
        <w:br/>
        <w:t>COMMISSIONER MIGNON L. CLYBURN</w:t>
      </w:r>
      <w:r w:rsidRPr="001A31B0">
        <w:rPr>
          <w:rFonts w:eastAsia="Calibri"/>
          <w:b/>
          <w:snapToGrid/>
          <w:color w:val="000000"/>
          <w:kern w:val="0"/>
          <w:szCs w:val="22"/>
        </w:rPr>
        <w:br/>
      </w:r>
    </w:p>
    <w:p w:rsidR="001A31B0" w:rsidRPr="001A31B0" w:rsidRDefault="001A31B0" w:rsidP="001A31B0">
      <w:pPr>
        <w:widowControl/>
        <w:ind w:left="720" w:hanging="720"/>
        <w:rPr>
          <w:rFonts w:eastAsia="Calibri"/>
          <w:snapToGrid/>
          <w:color w:val="000000"/>
          <w:kern w:val="0"/>
          <w:szCs w:val="22"/>
        </w:rPr>
      </w:pPr>
      <w:r w:rsidRPr="001A31B0">
        <w:rPr>
          <w:rFonts w:eastAsia="Calibri"/>
          <w:i/>
          <w:snapToGrid/>
          <w:color w:val="000000"/>
          <w:kern w:val="0"/>
          <w:szCs w:val="22"/>
        </w:rPr>
        <w:t>Re:</w:t>
      </w:r>
      <w:r w:rsidRPr="001A31B0">
        <w:rPr>
          <w:rFonts w:eastAsia="Calibri"/>
          <w:i/>
          <w:snapToGrid/>
          <w:color w:val="000000"/>
          <w:kern w:val="0"/>
          <w:szCs w:val="22"/>
        </w:rPr>
        <w:tab/>
        <w:t>2014 Quadrennial Regulatory Review – Review of the Commission’s Broadcast Ownership Rules and Other Rules Adopted Pursuant to Section 202 of the Telecommunications Act of 1996</w:t>
      </w:r>
      <w:r w:rsidRPr="001A31B0">
        <w:rPr>
          <w:rFonts w:eastAsia="Calibri"/>
          <w:snapToGrid/>
          <w:color w:val="000000"/>
          <w:kern w:val="0"/>
          <w:szCs w:val="22"/>
        </w:rPr>
        <w:t xml:space="preserve">, </w:t>
      </w:r>
      <w:r w:rsidRPr="001A31B0">
        <w:rPr>
          <w:rFonts w:eastAsia="Calibri"/>
          <w:i/>
          <w:snapToGrid/>
          <w:color w:val="000000"/>
          <w:kern w:val="0"/>
          <w:szCs w:val="22"/>
        </w:rPr>
        <w:t>2010 Quadrennial Regulatory Review – Review of the Commission’s Broadcast Ownership Rules and Other Rules Adopted Pursuant to Section 202 of the Telecommunications Act of 1996</w:t>
      </w:r>
      <w:r w:rsidRPr="001A31B0">
        <w:rPr>
          <w:rFonts w:eastAsia="Calibri"/>
          <w:snapToGrid/>
          <w:color w:val="000000"/>
          <w:kern w:val="0"/>
          <w:szCs w:val="22"/>
        </w:rPr>
        <w:t xml:space="preserve">, </w:t>
      </w:r>
      <w:r w:rsidRPr="001A31B0">
        <w:rPr>
          <w:rFonts w:eastAsia="Calibri"/>
          <w:i/>
          <w:snapToGrid/>
          <w:color w:val="000000"/>
          <w:kern w:val="0"/>
          <w:szCs w:val="22"/>
        </w:rPr>
        <w:t>Promoting Diversification of Ownership in the Broadcasting Services</w:t>
      </w:r>
      <w:r w:rsidRPr="001A31B0">
        <w:rPr>
          <w:rFonts w:eastAsia="Calibri"/>
          <w:snapToGrid/>
          <w:color w:val="000000"/>
          <w:kern w:val="0"/>
          <w:szCs w:val="22"/>
        </w:rPr>
        <w:t xml:space="preserve">, </w:t>
      </w:r>
      <w:r w:rsidRPr="001A31B0">
        <w:rPr>
          <w:rFonts w:eastAsia="Calibri"/>
          <w:i/>
          <w:snapToGrid/>
          <w:color w:val="000000"/>
          <w:kern w:val="0"/>
          <w:szCs w:val="22"/>
        </w:rPr>
        <w:t>Rules and Policies Concerning Attribution of Joint Sales Agreements in Local Television Markets</w:t>
      </w:r>
      <w:r w:rsidRPr="001A31B0">
        <w:rPr>
          <w:rFonts w:eastAsia="Calibri"/>
          <w:snapToGrid/>
          <w:color w:val="000000"/>
          <w:kern w:val="0"/>
          <w:szCs w:val="22"/>
        </w:rPr>
        <w:t xml:space="preserve">, </w:t>
      </w:r>
      <w:r w:rsidRPr="001A31B0">
        <w:rPr>
          <w:rFonts w:eastAsia="Calibri"/>
          <w:i/>
          <w:snapToGrid/>
          <w:color w:val="000000"/>
          <w:kern w:val="0"/>
          <w:szCs w:val="22"/>
        </w:rPr>
        <w:t>Rules and Policies to Promote New Entry and Ownership Diversity in the Broadcasting Services</w:t>
      </w:r>
      <w:r w:rsidRPr="001A31B0">
        <w:rPr>
          <w:rFonts w:eastAsia="Calibri"/>
          <w:snapToGrid/>
          <w:color w:val="000000"/>
          <w:kern w:val="0"/>
          <w:szCs w:val="22"/>
        </w:rPr>
        <w:t>, MB Docket Nos. 14-50, 09-182, 07-294, 04-256, 17-289, Order on Reconsideration and Notice of Proposed Rulemaking</w:t>
      </w:r>
    </w:p>
    <w:bookmarkEnd w:id="0"/>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The problems with this Order on Reconsideration are so glaring – both on process and substance, it is truly hard to decide just where to begin.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Do I start by describing why the wholesale elimination of key media ownership rules will harm localism, diversity, and competition? Do I focus on the number of loopholes this Commission blesses through this Order? Or do I highlight how the FCC majority has chosen to take some of the same facts used by this Commission just over a year ago to reach the exact opposite conclusions? After I address each of these failures in greater detail, allow me to explain the alternative proposal I put forward to my colleagues.</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Let me begin by establishing this: that despite what you have been told about the genesis of this Order, it is not really about helping small, struggling broadcasters or newspapers. While the jury is still out on whether it could actually achieve that goal, this is really about helping large media companies grow even larger which is actually in stark contrast to what the President said just last week in discussing the importance of having as “many news outlets as you can.”</w:t>
      </w:r>
      <w:r w:rsidRPr="001A31B0">
        <w:rPr>
          <w:rFonts w:eastAsia="Calibri"/>
          <w:snapToGrid/>
          <w:color w:val="000000"/>
          <w:kern w:val="0"/>
          <w:szCs w:val="22"/>
          <w:vertAlign w:val="superscript"/>
        </w:rPr>
        <w:footnoteReference w:id="2"/>
      </w:r>
      <w:r w:rsidRPr="001A31B0">
        <w:rPr>
          <w:rFonts w:eastAsia="Calibri"/>
          <w:snapToGrid/>
          <w:color w:val="000000"/>
          <w:kern w:val="0"/>
          <w:szCs w:val="22"/>
        </w:rPr>
        <w:t xml:space="preserve"> Because if our aim were to provide help for the smallest entities in the tiniest of media markets, we would have adopted a narrowly tailored proposal focused expressly on these financially challenged stations. Instead, today’s action, coupled with recent FCC actions, including the reinstatement of the UHF discount and the elimination of the Main Studio Rule, we have paved the way for a new crop of broadcast media empires that will be light years removed from the very local communities they are supposed to serve.</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 xml:space="preserve">These media titans will have degrees of power far beyond the imagination of our local communities. Our local outlets that inform us of what is happening in our community; our outlets investigate allegations of improprieties within government; they inform us of whether we need an umbrella or an overcoat; and they are there on the ground before, during, and after a major natural or man-made disaster. Our local stations clearly play a unique role in our communities and unlike those 24-hour cable news networks, our local outlets deliver their broadcast signal using the public airwaves and with that comes, the responsibility to serve the public interest. </w:t>
      </w:r>
      <w:r w:rsidRPr="001A31B0">
        <w:rPr>
          <w:rFonts w:eastAsia="Calibri"/>
          <w:snapToGrid/>
          <w:color w:val="000000"/>
          <w:kern w:val="0"/>
          <w:szCs w:val="22"/>
        </w:rPr>
        <w:br/>
      </w: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 xml:space="preserve">Now if you were to stop someone randomly on the street and ask them who owns their local television or radio station, how many people would be able to answer? Would they know if two out of the top four television stations in their community had the same owner and a third station was affiliated with the stations through a sharing agreement? Would they know that their local news anchor is reporting a story using the same script as dozens of other stations around the country, or even another station in their own community? While these may not be top of mind questions for most Americans, the answers matter and viewers or listeners have a right to know those answers. They should also be aware that these </w:t>
      </w:r>
      <w:r w:rsidRPr="001A31B0">
        <w:rPr>
          <w:rFonts w:eastAsia="Calibri"/>
          <w:snapToGrid/>
          <w:color w:val="000000"/>
          <w:kern w:val="0"/>
          <w:szCs w:val="22"/>
        </w:rPr>
        <w:lastRenderedPageBreak/>
        <w:t xml:space="preserve">practices are already happening today and when this Order is adopted, the floodgates to more consolidation will come without transparency or accountability. </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To be clear, the media landscape has changed a lot over the past thirty years and when it comes to coverage of national and international events, there is no question that Americans have more choice today than they did in 1975. But if we are going to play that game of making comparisons between the legacy platforms and newer entrants, including cable news and online sources, we need a neutral umpire to keep the score: these platforms are not created equal and the reality is, that they are not substitutes when it comes to local news and event coverage. As one news publication aptly put it last week, “Consolidating ownership won’t put more reporters on the ground—but it will certainly amplify the influence of a small number of corporations.”</w:t>
      </w:r>
      <w:r w:rsidRPr="001A31B0">
        <w:rPr>
          <w:rFonts w:eastAsia="Calibri"/>
          <w:snapToGrid/>
          <w:color w:val="000000"/>
          <w:kern w:val="0"/>
          <w:szCs w:val="22"/>
          <w:vertAlign w:val="superscript"/>
        </w:rPr>
        <w:footnoteReference w:id="3"/>
      </w:r>
      <w:r w:rsidRPr="001A31B0">
        <w:rPr>
          <w:rFonts w:eastAsia="Calibri"/>
          <w:snapToGrid/>
          <w:color w:val="000000"/>
          <w:kern w:val="0"/>
          <w:szCs w:val="22"/>
        </w:rPr>
        <w:t xml:space="preserve"> I could not have said it better.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Citing to “simple fairness,”</w:t>
      </w:r>
      <w:r w:rsidRPr="001A31B0">
        <w:rPr>
          <w:rFonts w:eastAsia="Calibri"/>
          <w:snapToGrid/>
          <w:color w:val="000000"/>
          <w:kern w:val="0"/>
          <w:szCs w:val="22"/>
          <w:vertAlign w:val="superscript"/>
        </w:rPr>
        <w:footnoteReference w:id="4"/>
      </w:r>
      <w:r w:rsidRPr="001A31B0">
        <w:rPr>
          <w:rFonts w:eastAsia="Calibri"/>
          <w:snapToGrid/>
          <w:color w:val="000000"/>
          <w:kern w:val="0"/>
          <w:szCs w:val="22"/>
        </w:rPr>
        <w:t xml:space="preserve"> the Chairman is fond of making a comparison between local broadcasters and tech companies like Google, Twitter and Facebook. Yet the last time I checked, none of these companies are in the newsgathering business nor to my knowledge are they engaged in local news production. A recent visit to Google’s News page unscored this very point. Under the ‘local’ news tab for the District of Columbia, nine out of the first 10 search results linked to stories produced by guess what? A traditional local newspaper or a broadcast television or radio outlet. These are the simple facts that we cannot ignore when evaluating the current media landscape.</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While I am not here to vilify financial success, the horror stories depicted in ex parte filings or cited in this Order by the largest of broadcasters as reason for eliminating the rules, do not match the realities of what is being presented on Wall Street. One major broadcast group, in fact, reported that their revenues are up 15% this year, a new record.  Another’s revenues are up 17%, and yet another broadcaster saw its stock price reach a record high earlier this year.</w:t>
      </w:r>
      <w:r w:rsidRPr="001A31B0">
        <w:rPr>
          <w:rFonts w:eastAsia="Calibri"/>
          <w:snapToGrid/>
          <w:color w:val="000000"/>
          <w:kern w:val="0"/>
          <w:szCs w:val="22"/>
          <w:vertAlign w:val="superscript"/>
        </w:rPr>
        <w:footnoteReference w:id="5"/>
      </w:r>
      <w:r w:rsidRPr="001A31B0">
        <w:rPr>
          <w:rFonts w:eastAsia="Calibri"/>
          <w:snapToGrid/>
          <w:color w:val="000000"/>
          <w:kern w:val="0"/>
          <w:szCs w:val="22"/>
        </w:rPr>
        <w:t xml:space="preserve"> As even further evidence of facts not matching filings, retransmission consent fees: they are up year-over-year by as much as 162%.</w:t>
      </w:r>
      <w:r w:rsidRPr="001A31B0">
        <w:rPr>
          <w:rFonts w:eastAsia="Calibri"/>
          <w:snapToGrid/>
          <w:color w:val="000000"/>
          <w:kern w:val="0"/>
          <w:szCs w:val="22"/>
          <w:vertAlign w:val="superscript"/>
        </w:rPr>
        <w:footnoteReference w:id="6"/>
      </w:r>
      <w:r w:rsidRPr="001A31B0">
        <w:rPr>
          <w:rFonts w:eastAsia="Calibri"/>
          <w:snapToGrid/>
          <w:color w:val="000000"/>
          <w:kern w:val="0"/>
          <w:szCs w:val="22"/>
        </w:rPr>
        <w:t xml:space="preserve"> If these are the financial realities on the ground, why then are we in such a rush to eliminate protections that may prevent consolidation, but have untold benefits on localism and viewpoint diversity?</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What may be less obvious to the casual observer, are the loopholes in our media ownership rules that this Order blesses. Take the use of Joint Sales Agreements (JSAs) for example. As I have shared in past statements, there have been cases in which these agreements have been shown to be in the public interest, albeit rare. But I have also described arrangements that amounted to the full-scale control of the brokered station, including the same programming, the same talent, the same management, and the same studio. Such an agreement coupled with the dismantling of other key media ownership rules substantially distorts the reality of how much control a broadcast station owner has in any given local market.</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This Order also fails to acknowledge the past benefits from unwinding these JSAs. In a December 2014 blog, then Chairman Wheeler and I described how by enforcing the Local Television Ownership Rule, ten new minority and women-owned stations were established.</w:t>
      </w:r>
      <w:r w:rsidRPr="001A31B0">
        <w:rPr>
          <w:rFonts w:eastAsia="Calibri"/>
          <w:snapToGrid/>
          <w:color w:val="000000"/>
          <w:kern w:val="0"/>
          <w:szCs w:val="22"/>
          <w:vertAlign w:val="superscript"/>
        </w:rPr>
        <w:footnoteReference w:id="7"/>
      </w:r>
      <w:r w:rsidRPr="001A31B0">
        <w:rPr>
          <w:rFonts w:eastAsia="Calibri"/>
          <w:snapToGrid/>
          <w:color w:val="000000"/>
          <w:kern w:val="0"/>
          <w:szCs w:val="22"/>
        </w:rPr>
        <w:t xml:space="preserve"> Similarly, absent from the </w:t>
      </w:r>
      <w:r w:rsidRPr="001A31B0">
        <w:rPr>
          <w:rFonts w:eastAsia="Calibri"/>
          <w:snapToGrid/>
          <w:color w:val="000000"/>
          <w:kern w:val="0"/>
          <w:szCs w:val="22"/>
        </w:rPr>
        <w:lastRenderedPageBreak/>
        <w:t>Commission’s analysis is the harms to minority ownership by eliminating ownership attribution of these agreements. As MMTC and NABOB pointed out in a recent joint filing, non-attribution of JSAs coupled with the repeal of the eight voices test could enable a single company to “completely dominat[e] [a] market</w:t>
      </w:r>
      <w:r w:rsidRPr="001A31B0">
        <w:rPr>
          <w:rFonts w:eastAsia="Calibri"/>
          <w:snapToGrid/>
          <w:color w:val="000000"/>
          <w:kern w:val="0"/>
          <w:szCs w:val="22"/>
          <w:lang w:bidi="he-IL"/>
        </w:rPr>
        <w:t>’</w:t>
      </w:r>
      <w:r w:rsidRPr="001A31B0">
        <w:rPr>
          <w:rFonts w:eastAsia="Calibri"/>
          <w:snapToGrid/>
          <w:color w:val="000000"/>
          <w:kern w:val="0"/>
          <w:szCs w:val="22"/>
        </w:rPr>
        <w:t>s television advertising sales and mak[es] new entry impossible.”</w:t>
      </w:r>
      <w:r w:rsidRPr="001A31B0">
        <w:rPr>
          <w:rFonts w:eastAsia="Calibri"/>
          <w:snapToGrid/>
          <w:color w:val="000000"/>
          <w:kern w:val="0"/>
          <w:szCs w:val="22"/>
          <w:vertAlign w:val="superscript"/>
        </w:rPr>
        <w:footnoteReference w:id="8"/>
      </w:r>
      <w:r w:rsidRPr="001A31B0">
        <w:rPr>
          <w:rFonts w:eastAsia="Calibri"/>
          <w:snapToGrid/>
          <w:color w:val="000000"/>
          <w:kern w:val="0"/>
          <w:szCs w:val="22"/>
        </w:rPr>
        <w:t xml:space="preserve"> Once again, the Order fails to properly consider this very tangible reality. </w:t>
      </w:r>
      <w:r w:rsidRPr="001A31B0">
        <w:rPr>
          <w:rFonts w:eastAsia="Calibri"/>
          <w:snapToGrid/>
          <w:color w:val="000000"/>
          <w:kern w:val="0"/>
          <w:szCs w:val="22"/>
        </w:rPr>
        <w:br/>
      </w: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Turning now to process, where we reverse course not much more than one year after the Commission completed its last Quadrennial Review.  Certainly, something must have changed in those last 15 months to warrant such a drastic change in direction, right?  Yet the facts are the facts and while my colleagues in the majority may not have agreed with the policy adopted by the previous Administration, it was based on a record that has not changed.  If they disagree with policy – and that is their right to hold such a belief – then what they should have done was open a new proceeding and build a case for that position.  The courts have admonished this agency in the past for changing our rules without a supporting record and today’s Order on Reconsideration ignores the courts’ instructions.</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Continuing with the topic of process, take a look at how the Order incorrectly invokes Section 202(h) to suit its policy goals.  Three times the courts have told us that if we want to make meaningful changes to our rules to promote minority and female ownership, then we must get comprehensive, reliable data.  In </w:t>
      </w:r>
      <w:r w:rsidRPr="001A31B0">
        <w:rPr>
          <w:rFonts w:eastAsia="Calibri"/>
          <w:i/>
          <w:snapToGrid/>
          <w:color w:val="000000"/>
          <w:kern w:val="0"/>
          <w:szCs w:val="22"/>
        </w:rPr>
        <w:t>Prometheus II</w:t>
      </w:r>
      <w:r w:rsidRPr="001A31B0">
        <w:rPr>
          <w:rFonts w:eastAsia="Calibri"/>
          <w:snapToGrid/>
          <w:color w:val="000000"/>
          <w:kern w:val="0"/>
          <w:szCs w:val="22"/>
        </w:rPr>
        <w:t xml:space="preserve"> for example, the court stated that, “[a]t a minimum, in adopting or modifying its rules, the FCC must ‘examine the relevant data and articulate a satisfactory explanation for its action[,] including a rational connection between the facts found and the choice made.’”</w:t>
      </w:r>
      <w:r w:rsidRPr="001A31B0">
        <w:rPr>
          <w:rFonts w:eastAsia="Calibri"/>
          <w:snapToGrid/>
          <w:color w:val="000000"/>
          <w:kern w:val="0"/>
          <w:szCs w:val="22"/>
          <w:vertAlign w:val="superscript"/>
        </w:rPr>
        <w:footnoteReference w:id="9"/>
      </w:r>
      <w:r w:rsidRPr="001A31B0">
        <w:rPr>
          <w:rFonts w:eastAsia="Calibri"/>
          <w:snapToGrid/>
          <w:color w:val="000000"/>
          <w:kern w:val="0"/>
          <w:szCs w:val="22"/>
        </w:rPr>
        <w:t xml:space="preserve"> Here, the Commission flips those instructions on its head by concluding without the benefit of any new data that “we cannot continue to subject broadcast television licensees to aspects of the Local Television Ownership Rule that can no longer be justified based on the unsubstantiated hope that these restrictions will promote minority and female ownership.”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Now some supporters of this Order, may point to the Commission’s newly commissioned Advisory Committee on Diversity and Digital Empowerment as evidence that we are on a path towards obtaining better data.  The problem with such a notion is that we are adopting today’s Order, less than two months after the Committee held its first meeting.  What is the point of establishing a Committee, if the FCC majority has already reached the conclusion that our core media ownership rules are no longer necessary to support our goal of increasing diversity?  The 31 members of this committee have agreed to step away from their busy schedules to do what the Chairman describes as “tak[ing] important steps towards increasing diversity throughout the communications industry and bringing digital opportunity to all Americans.”</w:t>
      </w:r>
      <w:r w:rsidRPr="001A31B0">
        <w:rPr>
          <w:rFonts w:eastAsia="Calibri"/>
          <w:snapToGrid/>
          <w:color w:val="000000"/>
          <w:kern w:val="0"/>
          <w:szCs w:val="22"/>
          <w:vertAlign w:val="superscript"/>
        </w:rPr>
        <w:footnoteReference w:id="10"/>
      </w:r>
      <w:r w:rsidRPr="001A31B0">
        <w:rPr>
          <w:rFonts w:eastAsia="Calibri"/>
          <w:snapToGrid/>
          <w:color w:val="000000"/>
          <w:kern w:val="0"/>
          <w:szCs w:val="22"/>
        </w:rPr>
        <w:t xml:space="preserve">  So, why not let them get to work and make recommendations to the full Commission and rely on data, instead of reversing the actions of the previous Administration simply because you feel differently. </w:t>
      </w:r>
    </w:p>
    <w:p w:rsidR="001A31B0" w:rsidRPr="001A31B0" w:rsidRDefault="001A31B0" w:rsidP="001A31B0">
      <w:pPr>
        <w:widowControl/>
        <w:rPr>
          <w:rFonts w:eastAsia="Calibri"/>
          <w:snapToGrid/>
          <w:color w:val="000000"/>
          <w:kern w:val="0"/>
          <w:szCs w:val="22"/>
        </w:rPr>
      </w:pPr>
    </w:p>
    <w:p w:rsidR="001A31B0" w:rsidRPr="001A31B0" w:rsidRDefault="001A31B0" w:rsidP="00E01888">
      <w:pPr>
        <w:keepNext/>
        <w:keepLines/>
        <w:widowControl/>
        <w:rPr>
          <w:rFonts w:eastAsia="Calibri"/>
          <w:snapToGrid/>
          <w:color w:val="000000"/>
          <w:kern w:val="0"/>
          <w:szCs w:val="22"/>
          <w:shd w:val="clear" w:color="auto" w:fill="FFFFFF"/>
        </w:rPr>
      </w:pPr>
      <w:r w:rsidRPr="001A31B0">
        <w:rPr>
          <w:rFonts w:eastAsia="Calibri"/>
          <w:snapToGrid/>
          <w:color w:val="000000"/>
          <w:kern w:val="0"/>
          <w:szCs w:val="22"/>
        </w:rPr>
        <w:tab/>
        <w:t>News flash: There was in fact a path forward that could have garnered my support but regrettably the proposal I put forth was rejected. A</w:t>
      </w:r>
      <w:r w:rsidRPr="001A31B0">
        <w:rPr>
          <w:snapToGrid/>
          <w:color w:val="000000"/>
          <w:kern w:val="0"/>
          <w:szCs w:val="22"/>
        </w:rPr>
        <w:t>ll petitions for reconsideration should have been denied on the basis of Section 1.429 of the Commission’s rules.  Specifically, this section of our rules outlines a narrow set of criteria by which the Commission will consider a petition that introduces new fac</w:t>
      </w:r>
      <w:r w:rsidRPr="001A31B0">
        <w:rPr>
          <w:rFonts w:eastAsia="Calibri"/>
          <w:snapToGrid/>
          <w:color w:val="000000"/>
          <w:kern w:val="0"/>
          <w:szCs w:val="22"/>
          <w:shd w:val="clear" w:color="auto" w:fill="FFFFFF"/>
        </w:rPr>
        <w:t xml:space="preserve">ts or arguments which have not previously been presented.  Yet here, neither the facts nor arguments have changed in the year since the Commission completed the last Quadrennial Review.  </w:t>
      </w:r>
      <w:r w:rsidRPr="001A31B0">
        <w:rPr>
          <w:snapToGrid/>
          <w:color w:val="000000"/>
          <w:kern w:val="0"/>
          <w:szCs w:val="22"/>
        </w:rPr>
        <w:t xml:space="preserve">This majority has routinely rejected petitions for reconsideration that failed to meet these requirements, </w:t>
      </w:r>
      <w:r w:rsidRPr="001A31B0">
        <w:rPr>
          <w:rFonts w:eastAsia="Calibri"/>
          <w:bCs/>
          <w:snapToGrid/>
          <w:color w:val="000000"/>
          <w:kern w:val="0"/>
          <w:szCs w:val="22"/>
        </w:rPr>
        <w:t>but here it ignores these rules to satisfy its own self-serving interests.</w:t>
      </w:r>
      <w:r w:rsidRPr="001A31B0">
        <w:rPr>
          <w:rFonts w:eastAsia="Calibri"/>
          <w:bCs/>
          <w:snapToGrid/>
          <w:color w:val="000000"/>
          <w:kern w:val="0"/>
          <w:szCs w:val="22"/>
        </w:rPr>
        <w:br/>
      </w: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 xml:space="preserve">Second, I proposed opening </w:t>
      </w:r>
      <w:r w:rsidRPr="001A31B0">
        <w:rPr>
          <w:snapToGrid/>
          <w:color w:val="000000"/>
          <w:kern w:val="0"/>
          <w:szCs w:val="22"/>
        </w:rPr>
        <w:t xml:space="preserve">a new proceeding to explore the adoption of an incubator program. Such a concept has been debated for many years with bipartisan support, but is largely untested.  I believe the questions posed in the accompanying Notice of Proposed Rulemaking (NPRM) are the right ones to be asking, but we are undertaking this process in the wrong order. </w:t>
      </w:r>
    </w:p>
    <w:p w:rsidR="001A31B0" w:rsidRPr="001A31B0" w:rsidRDefault="001A31B0" w:rsidP="001A31B0">
      <w:pPr>
        <w:widowControl/>
        <w:ind w:firstLine="720"/>
        <w:rPr>
          <w:rFonts w:eastAsia="Calibri"/>
          <w:snapToGrid/>
          <w:color w:val="000000"/>
          <w:kern w:val="0"/>
          <w:szCs w:val="22"/>
          <w:shd w:val="clear" w:color="auto" w:fill="FFFFFF"/>
        </w:rPr>
      </w:pP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Third, I urged my colleagues to i</w:t>
      </w:r>
      <w:r w:rsidRPr="001A31B0">
        <w:rPr>
          <w:snapToGrid/>
          <w:color w:val="000000"/>
          <w:kern w:val="0"/>
          <w:szCs w:val="22"/>
        </w:rPr>
        <w:t xml:space="preserve">nitiate a proceeding that would build a comprehensive set of data examining the impact of ownership diversity on the broadcast marketplace.  The proceeding should also examine how further media consolidation would impact localism and competition.  I proposed that this data collection be undertaken expeditiously and completed prior to the start of the 2018 Quadrennial Review. </w:t>
      </w:r>
    </w:p>
    <w:p w:rsidR="001A31B0" w:rsidRPr="001A31B0" w:rsidRDefault="001A31B0" w:rsidP="001A31B0">
      <w:pPr>
        <w:widowControl/>
        <w:ind w:firstLine="720"/>
        <w:rPr>
          <w:rFonts w:eastAsia="Calibri"/>
          <w:snapToGrid/>
          <w:color w:val="000000"/>
          <w:kern w:val="0"/>
          <w:szCs w:val="22"/>
          <w:shd w:val="clear" w:color="auto" w:fill="FFFFFF"/>
        </w:rPr>
      </w:pP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 xml:space="preserve">And lastly, I proposed that any </w:t>
      </w:r>
      <w:r w:rsidRPr="001A31B0">
        <w:rPr>
          <w:snapToGrid/>
          <w:color w:val="000000"/>
          <w:kern w:val="0"/>
          <w:szCs w:val="22"/>
        </w:rPr>
        <w:t>changes to the Commission’s media ownership rules be considered as part of the 2018 Quadrennial Review, once the appropriate data is collected and an assessment can be made of the impact that an established incubator program has had in creating opportunities for new entrants and small businesses.</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These asks, in my opinion, were not unreasonable.  They are consistent with Commission rules, the instructions of the Third Circuit, and our commitment as an agency to be data-driven.  Now my colleagues in the majority and other proponents of eliminating these rules might suggest that my aim was to further delay the inevitable.  This could not be further from the truth.  The reality is that the rule changes made in this Order are all interrelated.  By looking independently at each change, rather than assessing the collective impact of the changes on the media landscape, we are left with a deeply flawed Order with no data to support its conclusions.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So, welcome my friends back to “Industry Consolidation Month” at the Federal Communications Commission where it seems my colleagues in the majority are more intent on granting the industry’s wish list rather than looking out for the public interest.  Mark my words, today will go down in history as the day when the FCC abdicated its responsibility to uphold the core values of localism, competition and diversity in broadcasting.</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ascii="Arial" w:eastAsia="Calibri" w:hAnsi="Arial" w:cs="Arial"/>
          <w:snapToGrid/>
          <w:kern w:val="0"/>
          <w:szCs w:val="22"/>
        </w:rPr>
      </w:pPr>
      <w:r w:rsidRPr="001A31B0">
        <w:rPr>
          <w:rFonts w:eastAsia="Calibri"/>
          <w:snapToGrid/>
          <w:color w:val="000000"/>
          <w:kern w:val="0"/>
          <w:szCs w:val="22"/>
        </w:rPr>
        <w:tab/>
        <w:t>I vociferously dissent and look forward to the day when the court issues a decision to right this sad wrong.</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57CE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1A31B0" w:rsidRPr="00BA08F9" w:rsidRDefault="001A31B0" w:rsidP="001A31B0">
      <w:pPr>
        <w:pStyle w:val="FootnoteText"/>
      </w:pPr>
      <w:r w:rsidRPr="001A31B0">
        <w:rPr>
          <w:rStyle w:val="FootnoteReference"/>
          <w:color w:val="000000"/>
        </w:rPr>
        <w:footnoteRef/>
      </w:r>
      <w:r w:rsidRPr="001A31B0">
        <w:rPr>
          <w:color w:val="000000"/>
        </w:rPr>
        <w:t xml:space="preserve"> The Hill, </w:t>
      </w:r>
      <w:r w:rsidRPr="001A31B0">
        <w:rPr>
          <w:i/>
          <w:color w:val="000000"/>
        </w:rPr>
        <w:t>Trump says US needs ‘many news outlets’ amid rumored CNN sale</w:t>
      </w:r>
      <w:r w:rsidRPr="001A31B0">
        <w:rPr>
          <w:color w:val="000000"/>
        </w:rPr>
        <w:t xml:space="preserve"> (November 11, 2017).</w:t>
      </w:r>
    </w:p>
  </w:footnote>
  <w:footnote w:id="3">
    <w:p w:rsidR="001A31B0" w:rsidRPr="0024615F" w:rsidRDefault="001A31B0" w:rsidP="001A31B0">
      <w:pPr>
        <w:pStyle w:val="FootnoteText"/>
      </w:pPr>
      <w:r w:rsidRPr="00BA08F9">
        <w:rPr>
          <w:rStyle w:val="FootnoteReference"/>
        </w:rPr>
        <w:footnoteRef/>
      </w:r>
      <w:r w:rsidRPr="00BA08F9">
        <w:t xml:space="preserve"> </w:t>
      </w:r>
      <w:r w:rsidRPr="0024615F">
        <w:t xml:space="preserve">Slate.com, </w:t>
      </w:r>
      <w:r w:rsidRPr="0024615F">
        <w:rPr>
          <w:i/>
        </w:rPr>
        <w:t>Only Sinclair Can Save You</w:t>
      </w:r>
      <w:r w:rsidRPr="0024615F">
        <w:t xml:space="preserve"> (November 9, 2017).</w:t>
      </w:r>
    </w:p>
  </w:footnote>
  <w:footnote w:id="4">
    <w:p w:rsidR="001A31B0" w:rsidRPr="0024615F" w:rsidRDefault="001A31B0" w:rsidP="001A31B0">
      <w:pPr>
        <w:pStyle w:val="FootnoteText"/>
      </w:pPr>
      <w:r w:rsidRPr="0024615F">
        <w:rPr>
          <w:rStyle w:val="FootnoteReference"/>
        </w:rPr>
        <w:footnoteRef/>
      </w:r>
      <w:r w:rsidRPr="0024615F">
        <w:t xml:space="preserve"> Op-Ed of FCC Chairman Ajit Pai, </w:t>
      </w:r>
      <w:r w:rsidRPr="0024615F">
        <w:rPr>
          <w:i/>
        </w:rPr>
        <w:t>Media Ownership Rules Must Adjust to the Digital Era</w:t>
      </w:r>
      <w:r w:rsidRPr="0024615F">
        <w:t xml:space="preserve">, </w:t>
      </w:r>
      <w:r>
        <w:t>The New York</w:t>
      </w:r>
      <w:r w:rsidRPr="0024615F">
        <w:t xml:space="preserve"> Times (November 9, 2017). </w:t>
      </w:r>
    </w:p>
  </w:footnote>
  <w:footnote w:id="5">
    <w:p w:rsidR="001A31B0" w:rsidRPr="00E81F14" w:rsidRDefault="001A31B0" w:rsidP="001A31B0">
      <w:pPr>
        <w:pStyle w:val="FootnoteText"/>
      </w:pPr>
      <w:r w:rsidRPr="00E81F14">
        <w:rPr>
          <w:rStyle w:val="FootnoteReference"/>
        </w:rPr>
        <w:footnoteRef/>
      </w:r>
      <w:r w:rsidRPr="00E81F14">
        <w:t xml:space="preserve"> </w:t>
      </w:r>
      <w:r w:rsidRPr="00E81F14">
        <w:rPr>
          <w:i/>
        </w:rPr>
        <w:t>See, e.g</w:t>
      </w:r>
      <w:r w:rsidRPr="00E81F14">
        <w:t xml:space="preserve">., Broadcasting &amp; Cable, </w:t>
      </w:r>
      <w:r w:rsidRPr="00E81F14">
        <w:rPr>
          <w:i/>
        </w:rPr>
        <w:t>Meredith Revenue Hits Record $630M in Fiscal 2017</w:t>
      </w:r>
      <w:r w:rsidRPr="00E81F14">
        <w:t xml:space="preserve"> (July 27, 2017); TVNewsCheck, </w:t>
      </w:r>
      <w:r w:rsidRPr="00E81F14">
        <w:rPr>
          <w:i/>
        </w:rPr>
        <w:t>Gray 1Q Revenue Hits Record $203.5M</w:t>
      </w:r>
      <w:r w:rsidRPr="00E81F14">
        <w:t xml:space="preserve"> (May 4, 2017); </w:t>
      </w:r>
      <w:r w:rsidRPr="00E81F14">
        <w:rPr>
          <w:i/>
        </w:rPr>
        <w:t>Reuters, Exclusive: Sinclair approaches Tribune Media about possible deal – sources</w:t>
      </w:r>
      <w:r w:rsidRPr="00E81F14">
        <w:t xml:space="preserve"> (March 1, 2017).</w:t>
      </w:r>
    </w:p>
  </w:footnote>
  <w:footnote w:id="6">
    <w:p w:rsidR="001A31B0" w:rsidRDefault="001A31B0" w:rsidP="001A31B0">
      <w:pPr>
        <w:pStyle w:val="FootnoteText"/>
      </w:pPr>
      <w:r w:rsidRPr="00E81F14">
        <w:rPr>
          <w:rStyle w:val="FootnoteReference"/>
        </w:rPr>
        <w:footnoteRef/>
      </w:r>
      <w:r w:rsidRPr="00E81F14">
        <w:t xml:space="preserve"> Communications Daily</w:t>
      </w:r>
      <w:r w:rsidRPr="00E81F14">
        <w:rPr>
          <w:i/>
        </w:rPr>
        <w:t>, Media Notes</w:t>
      </w:r>
      <w:r w:rsidRPr="00E81F14">
        <w:t xml:space="preserve"> at 19 (November 15, 2017).</w:t>
      </w:r>
    </w:p>
  </w:footnote>
  <w:footnote w:id="7">
    <w:p w:rsidR="001A31B0" w:rsidRDefault="001A31B0" w:rsidP="001A31B0">
      <w:pPr>
        <w:pStyle w:val="FootnoteText"/>
      </w:pPr>
      <w:r>
        <w:rPr>
          <w:rStyle w:val="FootnoteReference"/>
        </w:rPr>
        <w:footnoteRef/>
      </w:r>
      <w:r>
        <w:t xml:space="preserve"> </w:t>
      </w:r>
      <w:r w:rsidRPr="0024615F">
        <w:t xml:space="preserve">Blog Post of FCC Chairman Wheeler and Commissioner Clyburn, </w:t>
      </w:r>
      <w:r w:rsidRPr="0024615F">
        <w:rPr>
          <w:i/>
        </w:rPr>
        <w:t>Making Good on the Promise of Independent Minority Ownership of Television Stations</w:t>
      </w:r>
      <w:r w:rsidRPr="0024615F">
        <w:t xml:space="preserve"> (December 4, 2014).</w:t>
      </w:r>
    </w:p>
  </w:footnote>
  <w:footnote w:id="8">
    <w:p w:rsidR="001A31B0" w:rsidRPr="001330C4" w:rsidRDefault="001A31B0" w:rsidP="001A31B0">
      <w:pPr>
        <w:pStyle w:val="FootnoteText"/>
      </w:pPr>
      <w:r w:rsidRPr="001330C4">
        <w:rPr>
          <w:rStyle w:val="FootnoteReference"/>
        </w:rPr>
        <w:footnoteRef/>
      </w:r>
      <w:r w:rsidRPr="001330C4">
        <w:t xml:space="preserve"> Letter from Multicultural Media, Telecom and Internet Council (MMTC) &amp; National Association of Black Owned Broadcasters (NABOB) to Marlene H. Dortch, Secretary, FCC (filed November 9, 2017).</w:t>
      </w:r>
    </w:p>
  </w:footnote>
  <w:footnote w:id="9">
    <w:p w:rsidR="001A31B0" w:rsidRPr="001330C4" w:rsidRDefault="001A31B0" w:rsidP="001A31B0">
      <w:pPr>
        <w:pStyle w:val="FootnoteText"/>
      </w:pPr>
      <w:r w:rsidRPr="001330C4">
        <w:rPr>
          <w:rStyle w:val="FootnoteReference"/>
        </w:rPr>
        <w:footnoteRef/>
      </w:r>
      <w:r w:rsidRPr="001330C4">
        <w:t xml:space="preserve"> </w:t>
      </w:r>
      <w:r w:rsidRPr="001330C4">
        <w:rPr>
          <w:i/>
        </w:rPr>
        <w:t>Prometheus Radio Project v. FCC</w:t>
      </w:r>
      <w:r w:rsidRPr="001330C4">
        <w:t>, 652 F.3d at 469 (3d Cir. 2011) (Prometheus II)</w:t>
      </w:r>
      <w:r>
        <w:t>.</w:t>
      </w:r>
    </w:p>
  </w:footnote>
  <w:footnote w:id="10">
    <w:p w:rsidR="001A31B0" w:rsidRDefault="001A31B0" w:rsidP="001A31B0">
      <w:pPr>
        <w:pStyle w:val="FootnoteText"/>
      </w:pPr>
      <w:r w:rsidRPr="001330C4">
        <w:rPr>
          <w:rStyle w:val="FootnoteReference"/>
        </w:rPr>
        <w:footnoteRef/>
      </w:r>
      <w:r w:rsidRPr="001330C4">
        <w:t xml:space="preserve"> Remarks </w:t>
      </w:r>
      <w:r>
        <w:t>of FCC Chairman Ajit Pai before the Advisory Committee on Diversity and Digital Empowerment (September 25,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E" w:rsidRDefault="00D9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31B0">
      <w:t>FCC 17-156</w:t>
    </w:r>
  </w:p>
  <w:p w:rsidR="00D25FB5" w:rsidRDefault="00057CE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57CE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A31B0">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57CEE"/>
    <w:rsid w:val="000875BF"/>
    <w:rsid w:val="00096D8C"/>
    <w:rsid w:val="000C0B65"/>
    <w:rsid w:val="000E05FE"/>
    <w:rsid w:val="000E3D42"/>
    <w:rsid w:val="00122BD5"/>
    <w:rsid w:val="00133F79"/>
    <w:rsid w:val="00164760"/>
    <w:rsid w:val="00194A66"/>
    <w:rsid w:val="001A31B0"/>
    <w:rsid w:val="001D6BCF"/>
    <w:rsid w:val="001E01CA"/>
    <w:rsid w:val="00242BD4"/>
    <w:rsid w:val="00247981"/>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2A67"/>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9576E"/>
    <w:rsid w:val="00DA2529"/>
    <w:rsid w:val="00DB130A"/>
    <w:rsid w:val="00DB2EBB"/>
    <w:rsid w:val="00DC10A1"/>
    <w:rsid w:val="00DC655F"/>
    <w:rsid w:val="00DD0B59"/>
    <w:rsid w:val="00DD7EBD"/>
    <w:rsid w:val="00DE72D3"/>
    <w:rsid w:val="00DF62B6"/>
    <w:rsid w:val="00E01888"/>
    <w:rsid w:val="00E07225"/>
    <w:rsid w:val="00E5409F"/>
    <w:rsid w:val="00E875C6"/>
    <w:rsid w:val="00E97C34"/>
    <w:rsid w:val="00EE6488"/>
    <w:rsid w:val="00F021FA"/>
    <w:rsid w:val="00F46EC8"/>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CEE"/>
    <w:pPr>
      <w:widowControl w:val="0"/>
    </w:pPr>
    <w:rPr>
      <w:snapToGrid w:val="0"/>
      <w:kern w:val="28"/>
      <w:sz w:val="22"/>
    </w:rPr>
  </w:style>
  <w:style w:type="paragraph" w:styleId="Heading1">
    <w:name w:val="heading 1"/>
    <w:basedOn w:val="Normal"/>
    <w:next w:val="ParaNum"/>
    <w:qFormat/>
    <w:rsid w:val="00057C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7CEE"/>
    <w:pPr>
      <w:keepNext/>
      <w:numPr>
        <w:ilvl w:val="1"/>
        <w:numId w:val="3"/>
      </w:numPr>
      <w:spacing w:after="120"/>
      <w:outlineLvl w:val="1"/>
    </w:pPr>
    <w:rPr>
      <w:b/>
    </w:rPr>
  </w:style>
  <w:style w:type="paragraph" w:styleId="Heading3">
    <w:name w:val="heading 3"/>
    <w:basedOn w:val="Normal"/>
    <w:next w:val="ParaNum"/>
    <w:qFormat/>
    <w:rsid w:val="00057CEE"/>
    <w:pPr>
      <w:keepNext/>
      <w:numPr>
        <w:ilvl w:val="2"/>
        <w:numId w:val="3"/>
      </w:numPr>
      <w:tabs>
        <w:tab w:val="left" w:pos="2160"/>
      </w:tabs>
      <w:spacing w:after="120"/>
      <w:outlineLvl w:val="2"/>
    </w:pPr>
    <w:rPr>
      <w:b/>
    </w:rPr>
  </w:style>
  <w:style w:type="paragraph" w:styleId="Heading4">
    <w:name w:val="heading 4"/>
    <w:basedOn w:val="Normal"/>
    <w:next w:val="ParaNum"/>
    <w:qFormat/>
    <w:rsid w:val="00057CEE"/>
    <w:pPr>
      <w:keepNext/>
      <w:numPr>
        <w:ilvl w:val="3"/>
        <w:numId w:val="3"/>
      </w:numPr>
      <w:tabs>
        <w:tab w:val="left" w:pos="2880"/>
      </w:tabs>
      <w:spacing w:after="120"/>
      <w:outlineLvl w:val="3"/>
    </w:pPr>
    <w:rPr>
      <w:b/>
    </w:rPr>
  </w:style>
  <w:style w:type="paragraph" w:styleId="Heading5">
    <w:name w:val="heading 5"/>
    <w:basedOn w:val="Normal"/>
    <w:next w:val="ParaNum"/>
    <w:qFormat/>
    <w:rsid w:val="00057C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57CEE"/>
    <w:pPr>
      <w:numPr>
        <w:ilvl w:val="5"/>
        <w:numId w:val="3"/>
      </w:numPr>
      <w:tabs>
        <w:tab w:val="left" w:pos="4320"/>
      </w:tabs>
      <w:spacing w:after="120"/>
      <w:outlineLvl w:val="5"/>
    </w:pPr>
    <w:rPr>
      <w:b/>
    </w:rPr>
  </w:style>
  <w:style w:type="paragraph" w:styleId="Heading7">
    <w:name w:val="heading 7"/>
    <w:basedOn w:val="Normal"/>
    <w:next w:val="ParaNum"/>
    <w:qFormat/>
    <w:rsid w:val="00057C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7C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57C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7C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CEE"/>
  </w:style>
  <w:style w:type="paragraph" w:customStyle="1" w:styleId="ParaNum">
    <w:name w:val="ParaNum"/>
    <w:basedOn w:val="Normal"/>
    <w:rsid w:val="00057CEE"/>
    <w:pPr>
      <w:numPr>
        <w:numId w:val="2"/>
      </w:numPr>
      <w:tabs>
        <w:tab w:val="clear" w:pos="1080"/>
        <w:tab w:val="num" w:pos="1440"/>
      </w:tabs>
      <w:spacing w:after="120"/>
    </w:pPr>
  </w:style>
  <w:style w:type="paragraph" w:styleId="EndnoteText">
    <w:name w:val="endnote text"/>
    <w:basedOn w:val="Normal"/>
    <w:semiHidden/>
    <w:rsid w:val="00057CEE"/>
    <w:rPr>
      <w:sz w:val="20"/>
    </w:rPr>
  </w:style>
  <w:style w:type="character" w:styleId="EndnoteReference">
    <w:name w:val="endnote reference"/>
    <w:semiHidden/>
    <w:rsid w:val="00057CEE"/>
    <w:rPr>
      <w:vertAlign w:val="superscript"/>
    </w:rPr>
  </w:style>
  <w:style w:type="paragraph" w:styleId="FootnoteText">
    <w:name w:val="footnote text"/>
    <w:rsid w:val="00057CEE"/>
    <w:pPr>
      <w:spacing w:after="120"/>
    </w:pPr>
  </w:style>
  <w:style w:type="character" w:styleId="FootnoteReference">
    <w:name w:val="footnote reference"/>
    <w:rsid w:val="00057CEE"/>
    <w:rPr>
      <w:rFonts w:ascii="Times New Roman" w:hAnsi="Times New Roman"/>
      <w:dstrike w:val="0"/>
      <w:color w:val="auto"/>
      <w:sz w:val="20"/>
      <w:vertAlign w:val="superscript"/>
    </w:rPr>
  </w:style>
  <w:style w:type="paragraph" w:styleId="TOC1">
    <w:name w:val="toc 1"/>
    <w:basedOn w:val="Normal"/>
    <w:next w:val="Normal"/>
    <w:semiHidden/>
    <w:rsid w:val="00057C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7CEE"/>
    <w:pPr>
      <w:tabs>
        <w:tab w:val="left" w:pos="720"/>
        <w:tab w:val="right" w:leader="dot" w:pos="9360"/>
      </w:tabs>
      <w:suppressAutoHyphens/>
      <w:ind w:left="720" w:right="720" w:hanging="360"/>
    </w:pPr>
    <w:rPr>
      <w:noProof/>
    </w:rPr>
  </w:style>
  <w:style w:type="paragraph" w:styleId="TOC3">
    <w:name w:val="toc 3"/>
    <w:basedOn w:val="Normal"/>
    <w:next w:val="Normal"/>
    <w:semiHidden/>
    <w:rsid w:val="00057C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7C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7C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7C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7C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7C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7C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7CEE"/>
    <w:pPr>
      <w:tabs>
        <w:tab w:val="right" w:pos="9360"/>
      </w:tabs>
      <w:suppressAutoHyphens/>
    </w:pPr>
  </w:style>
  <w:style w:type="character" w:customStyle="1" w:styleId="EquationCaption">
    <w:name w:val="_Equation Caption"/>
    <w:rsid w:val="00057CEE"/>
  </w:style>
  <w:style w:type="paragraph" w:styleId="Header">
    <w:name w:val="header"/>
    <w:basedOn w:val="Normal"/>
    <w:autoRedefine/>
    <w:rsid w:val="00057CEE"/>
    <w:pPr>
      <w:tabs>
        <w:tab w:val="center" w:pos="4680"/>
        <w:tab w:val="right" w:pos="9360"/>
      </w:tabs>
    </w:pPr>
    <w:rPr>
      <w:b/>
    </w:rPr>
  </w:style>
  <w:style w:type="paragraph" w:styleId="Footer">
    <w:name w:val="footer"/>
    <w:basedOn w:val="Normal"/>
    <w:rsid w:val="00057CEE"/>
    <w:pPr>
      <w:tabs>
        <w:tab w:val="center" w:pos="4320"/>
        <w:tab w:val="right" w:pos="8640"/>
      </w:tabs>
    </w:pPr>
  </w:style>
  <w:style w:type="character" w:styleId="PageNumber">
    <w:name w:val="page number"/>
    <w:basedOn w:val="DefaultParagraphFont"/>
    <w:rsid w:val="00057CEE"/>
  </w:style>
  <w:style w:type="paragraph" w:styleId="BlockText">
    <w:name w:val="Block Text"/>
    <w:basedOn w:val="Normal"/>
    <w:rsid w:val="00057CEE"/>
    <w:pPr>
      <w:spacing w:after="240"/>
      <w:ind w:left="1440" w:right="1440"/>
    </w:pPr>
  </w:style>
  <w:style w:type="paragraph" w:customStyle="1" w:styleId="Paratitle">
    <w:name w:val="Para title"/>
    <w:basedOn w:val="Normal"/>
    <w:rsid w:val="00057CEE"/>
    <w:pPr>
      <w:tabs>
        <w:tab w:val="center" w:pos="9270"/>
      </w:tabs>
      <w:spacing w:after="240"/>
    </w:pPr>
    <w:rPr>
      <w:spacing w:val="-2"/>
    </w:rPr>
  </w:style>
  <w:style w:type="paragraph" w:customStyle="1" w:styleId="Bullet">
    <w:name w:val="Bullet"/>
    <w:basedOn w:val="Normal"/>
    <w:rsid w:val="00057CEE"/>
    <w:pPr>
      <w:tabs>
        <w:tab w:val="left" w:pos="2160"/>
      </w:tabs>
      <w:spacing w:after="220"/>
      <w:ind w:left="2160" w:hanging="720"/>
    </w:pPr>
  </w:style>
  <w:style w:type="paragraph" w:customStyle="1" w:styleId="TableFormat">
    <w:name w:val="TableFormat"/>
    <w:basedOn w:val="Bullet"/>
    <w:rsid w:val="00057CEE"/>
    <w:pPr>
      <w:tabs>
        <w:tab w:val="clear" w:pos="2160"/>
        <w:tab w:val="left" w:pos="5040"/>
      </w:tabs>
      <w:ind w:left="5040" w:hanging="3600"/>
    </w:pPr>
  </w:style>
  <w:style w:type="paragraph" w:customStyle="1" w:styleId="TOCTitle">
    <w:name w:val="TOC Title"/>
    <w:basedOn w:val="Normal"/>
    <w:rsid w:val="00057C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7CEE"/>
    <w:pPr>
      <w:jc w:val="center"/>
    </w:pPr>
    <w:rPr>
      <w:rFonts w:ascii="Times New Roman Bold" w:hAnsi="Times New Roman Bold"/>
      <w:b/>
      <w:bCs/>
      <w:caps/>
      <w:szCs w:val="22"/>
    </w:rPr>
  </w:style>
  <w:style w:type="character" w:styleId="Hyperlink">
    <w:name w:val="Hyperlink"/>
    <w:rsid w:val="00057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3</Pages>
  <Words>2204</Words>
  <Characters>11304</Characters>
  <Application>Microsoft Office Word</Application>
  <DocSecurity>0</DocSecurity>
  <Lines>168</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2017-11-16T23:20:00Z</dcterms:created>
  <dcterms:modified xsi:type="dcterms:W3CDTF">2017-11-16T23:20:00Z</dcterms:modified>
  <cp:category> </cp:category>
  <cp:contentStatus> </cp:contentStatus>
</cp:coreProperties>
</file>