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944689"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A41840">
            <w:pPr>
              <w:widowControl w:val="0"/>
              <w:autoSpaceDE w:val="0"/>
              <w:autoSpaceDN w:val="0"/>
              <w:adjustRightInd w:val="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1A0C6D">
              <w:rPr>
                <w:b/>
                <w:bCs/>
                <w:caps/>
                <w:sz w:val="24"/>
                <w:szCs w:val="24"/>
                <w:lang w:val="en-US" w:eastAsia="en-US" w:bidi="ar-SA"/>
              </w:rPr>
              <w:t>FEBRUARY</w:t>
            </w:r>
            <w:r w:rsidRPr="00B47F70" w:rsidR="00A41840">
              <w:rPr>
                <w:b/>
                <w:bCs/>
                <w:caps/>
                <w:sz w:val="24"/>
                <w:szCs w:val="24"/>
                <w:lang w:val="en-US" w:eastAsia="en-US" w:bidi="ar-SA"/>
              </w:rPr>
              <w:t xml:space="preserve"> OPEN MEETING</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1A0C6D">
              <w:rPr>
                <w:sz w:val="22"/>
                <w:szCs w:val="22"/>
                <w:lang w:val="en-US" w:eastAsia="en-US" w:bidi="ar-SA"/>
              </w:rPr>
              <w:t>February 1</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following items are tentatively on the agenda for the </w:t>
            </w:r>
            <w:r w:rsidR="001A0C6D">
              <w:rPr>
                <w:sz w:val="22"/>
                <w:szCs w:val="22"/>
                <w:lang w:val="en-US" w:eastAsia="en-US" w:bidi="ar-SA"/>
              </w:rPr>
              <w:t>February</w:t>
            </w:r>
            <w:r w:rsidRPr="00A41840">
              <w:rPr>
                <w:sz w:val="22"/>
                <w:szCs w:val="22"/>
                <w:lang w:val="en-US" w:eastAsia="en-US" w:bidi="ar-SA"/>
              </w:rPr>
              <w:t xml:space="preserve"> Open Commission Meeting scheduled </w:t>
            </w:r>
            <w:r w:rsidRPr="001A0C6D">
              <w:rPr>
                <w:sz w:val="22"/>
                <w:szCs w:val="22"/>
                <w:lang w:val="en-US" w:eastAsia="en-US" w:bidi="ar-SA"/>
              </w:rPr>
              <w:t xml:space="preserve">for </w:t>
            </w:r>
            <w:r w:rsidRPr="001A0C6D" w:rsidR="001A0C6D">
              <w:rPr>
                <w:sz w:val="22"/>
                <w:szCs w:val="22"/>
                <w:lang w:val="en-US" w:eastAsia="en-US" w:bidi="ar-SA"/>
              </w:rPr>
              <w:t>Thursday, February 22</w:t>
            </w:r>
            <w:r w:rsidRPr="001A0C6D" w:rsidR="00D148D6">
              <w:rPr>
                <w:sz w:val="22"/>
                <w:szCs w:val="22"/>
                <w:lang w:val="en-US" w:eastAsia="en-US" w:bidi="ar-SA"/>
              </w:rPr>
              <w:t>, 201</w:t>
            </w:r>
            <w:r w:rsidRPr="001A0C6D" w:rsidR="00323539">
              <w:rPr>
                <w:sz w:val="22"/>
                <w:szCs w:val="22"/>
                <w:lang w:val="en-US" w:eastAsia="en-US" w:bidi="ar-SA"/>
              </w:rPr>
              <w:t>8</w:t>
            </w:r>
            <w:r w:rsidRPr="001A0C6D">
              <w:rPr>
                <w:sz w:val="22"/>
                <w:szCs w:val="22"/>
                <w:lang w:val="en-US" w:eastAsia="en-US" w:bidi="ar-SA"/>
              </w:rPr>
              <w:t>:</w:t>
            </w:r>
          </w:p>
          <w:p w:rsidR="005879D9" w:rsidRPr="00A41840" w:rsidP="00A41840">
            <w:pPr>
              <w:tabs>
                <w:tab w:val="left" w:pos="8640"/>
              </w:tabs>
              <w:rPr>
                <w:rStyle w:val="DefaultParagraphFont"/>
                <w:sz w:val="22"/>
                <w:szCs w:val="22"/>
                <w:lang w:val="en-US" w:eastAsia="en-US" w:bidi="ar-SA"/>
              </w:rPr>
            </w:pPr>
          </w:p>
          <w:p w:rsidR="00404533" w:rsidRPr="00404533" w:rsidP="00404533">
            <w:pPr>
              <w:tabs>
                <w:tab w:val="left" w:pos="8640"/>
              </w:tabs>
              <w:rPr>
                <w:rStyle w:val="DefaultParagraphFont"/>
                <w:b/>
                <w:sz w:val="22"/>
                <w:szCs w:val="22"/>
                <w:lang w:val="en-US" w:eastAsia="en-US" w:bidi="ar-SA"/>
              </w:rPr>
            </w:pPr>
            <w:r w:rsidRPr="00404533">
              <w:rPr>
                <w:b/>
                <w:bCs/>
                <w:sz w:val="22"/>
                <w:szCs w:val="22"/>
                <w:lang w:val="en-US" w:eastAsia="en-US" w:bidi="ar-SA"/>
              </w:rPr>
              <w:t>Spectrum Horizons</w:t>
            </w:r>
            <w:r w:rsidRPr="00404533">
              <w:rPr>
                <w:b/>
                <w:sz w:val="22"/>
                <w:szCs w:val="22"/>
                <w:lang w:val="en-US" w:eastAsia="en-US" w:bidi="ar-SA"/>
              </w:rPr>
              <w:t xml:space="preserve"> – </w:t>
            </w:r>
            <w:r w:rsidRPr="00404533">
              <w:rPr>
                <w:sz w:val="22"/>
                <w:szCs w:val="22"/>
                <w:lang w:val="en-US" w:eastAsia="en-US" w:bidi="ar-SA"/>
              </w:rPr>
              <w:t>The Commission will consider a Notice of Proposed Rulemaking that seeks comment on proposed rules that would apply to spectrum above 95 GHz for licensed services, unlicensed operations, and a new class of experimental licenses</w:t>
            </w:r>
            <w:r w:rsidR="00050FC9">
              <w:rPr>
                <w:sz w:val="22"/>
                <w:szCs w:val="22"/>
                <w:lang w:val="en-US" w:eastAsia="en-US" w:bidi="ar-SA"/>
              </w:rPr>
              <w:t xml:space="preserve">. </w:t>
            </w:r>
            <w:r w:rsidRPr="00404533">
              <w:rPr>
                <w:sz w:val="22"/>
                <w:szCs w:val="22"/>
                <w:lang w:val="en-US" w:eastAsia="en-US" w:bidi="ar-SA"/>
              </w:rPr>
              <w:t xml:space="preserve"> (ET Docket No. 18-21; RM-11713; W</w:t>
            </w:r>
            <w:r w:rsidR="00050FC9">
              <w:rPr>
                <w:sz w:val="22"/>
                <w:szCs w:val="22"/>
                <w:lang w:val="en-US" w:eastAsia="en-US" w:bidi="ar-SA"/>
              </w:rPr>
              <w:t>T Docket No. 15-245; RM-11795)</w:t>
            </w:r>
          </w:p>
          <w:p w:rsidR="001A0C6D" w:rsidP="00A41840">
            <w:pPr>
              <w:tabs>
                <w:tab w:val="left" w:pos="8640"/>
              </w:tabs>
              <w:rPr>
                <w:rStyle w:val="DefaultParagraphFont"/>
                <w:sz w:val="22"/>
                <w:szCs w:val="22"/>
                <w:lang w:val="en-US" w:eastAsia="en-US" w:bidi="ar-SA"/>
              </w:rPr>
            </w:pPr>
          </w:p>
          <w:p w:rsidR="005879D9" w:rsidRPr="005879D9" w:rsidP="005879D9">
            <w:pPr>
              <w:tabs>
                <w:tab w:val="left" w:pos="8640"/>
              </w:tabs>
              <w:rPr>
                <w:rStyle w:val="DefaultParagraphFont"/>
                <w:sz w:val="22"/>
                <w:szCs w:val="22"/>
                <w:lang w:val="en-US" w:eastAsia="en-US" w:bidi="ar-SA"/>
              </w:rPr>
            </w:pPr>
            <w:r w:rsidRPr="005879D9">
              <w:rPr>
                <w:b/>
                <w:bCs/>
                <w:sz w:val="22"/>
                <w:szCs w:val="22"/>
                <w:lang w:val="en-US" w:eastAsia="en-US" w:bidi="ar-SA"/>
              </w:rPr>
              <w:t>Encouraging the Provision of New Technologies and</w:t>
            </w:r>
            <w:r w:rsidRPr="005879D9">
              <w:rPr>
                <w:sz w:val="22"/>
                <w:szCs w:val="22"/>
                <w:lang w:val="en-US" w:eastAsia="en-US" w:bidi="ar-SA"/>
              </w:rPr>
              <w:t xml:space="preserve"> </w:t>
            </w:r>
            <w:r w:rsidRPr="005879D9">
              <w:rPr>
                <w:b/>
                <w:bCs/>
                <w:sz w:val="22"/>
                <w:szCs w:val="22"/>
                <w:lang w:val="en-US" w:eastAsia="en-US" w:bidi="ar-SA"/>
              </w:rPr>
              <w:t>Services</w:t>
            </w:r>
            <w:r w:rsidRPr="005879D9">
              <w:rPr>
                <w:sz w:val="22"/>
                <w:szCs w:val="22"/>
                <w:lang w:val="en-US" w:eastAsia="en-US" w:bidi="ar-SA"/>
              </w:rPr>
              <w:t xml:space="preserve"> – The Commission will consider a Notice of Proposed Rulemaking to provide guidelines and procedures to implement section 7 of the Communications Act, as amended, to improve Commission processes to promote the provision of new technologies and services to the public</w:t>
            </w:r>
            <w:r>
              <w:rPr>
                <w:sz w:val="22"/>
                <w:szCs w:val="22"/>
                <w:lang w:val="en-US" w:eastAsia="en-US" w:bidi="ar-SA"/>
              </w:rPr>
              <w:t>.  (GN Docket No. 18-22)</w:t>
            </w:r>
          </w:p>
          <w:p w:rsidR="005879D9" w:rsidP="00A41840">
            <w:pPr>
              <w:tabs>
                <w:tab w:val="left" w:pos="8640"/>
              </w:tabs>
              <w:rPr>
                <w:rStyle w:val="DefaultParagraphFont"/>
                <w:sz w:val="22"/>
                <w:szCs w:val="22"/>
                <w:lang w:val="en-US" w:eastAsia="en-US" w:bidi="ar-SA"/>
              </w:rPr>
            </w:pPr>
          </w:p>
          <w:p w:rsidR="005879D9" w:rsidRPr="005879D9" w:rsidP="005879D9">
            <w:pPr>
              <w:tabs>
                <w:tab w:val="left" w:pos="8640"/>
              </w:tabs>
              <w:rPr>
                <w:rStyle w:val="DefaultParagraphFont"/>
                <w:sz w:val="22"/>
                <w:szCs w:val="22"/>
                <w:lang w:val="en-US" w:eastAsia="en-US" w:bidi="ar-SA"/>
              </w:rPr>
            </w:pPr>
            <w:r w:rsidRPr="005879D9">
              <w:rPr>
                <w:b/>
                <w:bCs/>
                <w:sz w:val="22"/>
                <w:szCs w:val="22"/>
                <w:lang w:val="en-US" w:eastAsia="en-US" w:bidi="ar-SA"/>
              </w:rPr>
              <w:t>Mobility Fund Phase II Second Order on Reconsideration – </w:t>
            </w:r>
            <w:r w:rsidRPr="005879D9">
              <w:rPr>
                <w:sz w:val="22"/>
                <w:szCs w:val="22"/>
                <w:lang w:val="en-US" w:eastAsia="en-US" w:bidi="ar-SA"/>
              </w:rPr>
              <w:t xml:space="preserve">The Commission will consider an Order addressing the remaining issues raised by parties in petitions for reconsideration of the Mobility Fund Phase II Report and Order and Further Notice of Proposed Rulemaking. </w:t>
            </w:r>
            <w:r>
              <w:rPr>
                <w:sz w:val="22"/>
                <w:szCs w:val="22"/>
                <w:lang w:val="en-US" w:eastAsia="en-US" w:bidi="ar-SA"/>
              </w:rPr>
              <w:t xml:space="preserve"> </w:t>
            </w:r>
            <w:r w:rsidRPr="005879D9">
              <w:rPr>
                <w:sz w:val="22"/>
                <w:szCs w:val="22"/>
                <w:lang w:val="en-US" w:eastAsia="en-US" w:bidi="ar-SA"/>
              </w:rPr>
              <w:t>(WC Docket No. 10-90; WT Docket No. 10-208)</w:t>
            </w:r>
          </w:p>
          <w:p w:rsidR="005969F6" w:rsidP="005879D9">
            <w:pPr>
              <w:tabs>
                <w:tab w:val="left" w:pos="8640"/>
              </w:tabs>
              <w:rPr>
                <w:rStyle w:val="DefaultParagraphFont"/>
                <w:b/>
                <w:sz w:val="22"/>
                <w:szCs w:val="22"/>
                <w:lang w:val="en-US" w:eastAsia="en-US" w:bidi="ar-SA"/>
              </w:rPr>
            </w:pPr>
          </w:p>
          <w:p w:rsidR="00F92866" w:rsidP="00F92866">
            <w:pPr>
              <w:tabs>
                <w:tab w:val="left" w:pos="8640"/>
              </w:tabs>
              <w:rPr>
                <w:rStyle w:val="DefaultParagraphFont"/>
                <w:sz w:val="22"/>
                <w:szCs w:val="22"/>
                <w:lang w:val="en-US" w:eastAsia="en-US" w:bidi="ar-SA"/>
              </w:rPr>
            </w:pPr>
            <w:bookmarkStart w:id="1" w:name="_Hlk505244847"/>
            <w:r w:rsidRPr="00650D96">
              <w:rPr>
                <w:b/>
                <w:sz w:val="22"/>
                <w:szCs w:val="22"/>
                <w:lang w:val="en-US" w:eastAsia="en-US" w:bidi="ar-SA"/>
              </w:rPr>
              <w:t>Broadcast EEO Mid-Term Reports</w:t>
            </w:r>
            <w:r>
              <w:rPr>
                <w:b/>
                <w:sz w:val="22"/>
                <w:szCs w:val="22"/>
                <w:lang w:val="en-US" w:eastAsia="en-US" w:bidi="ar-SA"/>
              </w:rPr>
              <w:t xml:space="preserve"> </w:t>
            </w:r>
            <w:r>
              <w:rPr>
                <w:b/>
                <w:sz w:val="22"/>
                <w:szCs w:val="22"/>
                <w:lang w:val="en-US" w:eastAsia="en-US" w:bidi="ar-SA"/>
              </w:rPr>
              <w:t xml:space="preserve">– </w:t>
            </w:r>
            <w:r w:rsidRPr="00F92866">
              <w:rPr>
                <w:sz w:val="22"/>
                <w:szCs w:val="22"/>
                <w:lang w:val="en-US" w:eastAsia="en-US" w:bidi="ar-SA"/>
              </w:rPr>
              <w:t>The Commission will consider a Notice of Proposed Rulemaking that proposes to eliminate the requirement in Section 73.2080(f)(2) of the Commission’s rules that certain broadcast television and radio stations file the Broadcast Mid-Term Report (Form 397).</w:t>
            </w:r>
            <w:r>
              <w:rPr>
                <w:sz w:val="22"/>
                <w:szCs w:val="22"/>
                <w:lang w:val="en-US" w:eastAsia="en-US" w:bidi="ar-SA"/>
              </w:rPr>
              <w:t xml:space="preserve">  </w:t>
            </w:r>
            <w:r w:rsidRPr="00F92866">
              <w:rPr>
                <w:sz w:val="22"/>
                <w:szCs w:val="22"/>
                <w:lang w:val="en-US" w:eastAsia="en-US" w:bidi="ar-SA"/>
              </w:rPr>
              <w:t xml:space="preserve">(MB Docket Nos. </w:t>
            </w:r>
            <w:r w:rsidRPr="00CC146D" w:rsidR="00CC146D">
              <w:rPr>
                <w:sz w:val="22"/>
                <w:szCs w:val="22"/>
                <w:lang w:val="en-US" w:eastAsia="en-US" w:bidi="ar-SA"/>
              </w:rPr>
              <w:t>18-23</w:t>
            </w:r>
            <w:r w:rsidR="00BB5568">
              <w:rPr>
                <w:sz w:val="22"/>
                <w:szCs w:val="22"/>
                <w:lang w:val="en-US" w:eastAsia="en-US" w:bidi="ar-SA"/>
              </w:rPr>
              <w:t>;</w:t>
            </w:r>
            <w:r w:rsidRPr="00F92866">
              <w:rPr>
                <w:sz w:val="22"/>
                <w:szCs w:val="22"/>
                <w:lang w:val="en-US" w:eastAsia="en-US" w:bidi="ar-SA"/>
              </w:rPr>
              <w:t xml:space="preserve"> 17-105)</w:t>
            </w:r>
          </w:p>
          <w:p w:rsidR="00F92866" w:rsidRPr="00F92866" w:rsidP="00F92866">
            <w:pPr>
              <w:tabs>
                <w:tab w:val="left" w:pos="8640"/>
              </w:tabs>
              <w:rPr>
                <w:rStyle w:val="DefaultParagraphFont"/>
                <w:sz w:val="22"/>
                <w:szCs w:val="22"/>
                <w:lang w:val="en-US" w:eastAsia="en-US" w:bidi="ar-SA"/>
              </w:rPr>
            </w:pPr>
          </w:p>
          <w:p w:rsidR="005969F6" w:rsidRPr="00792131" w:rsidP="00F92866">
            <w:pPr>
              <w:tabs>
                <w:tab w:val="left" w:pos="8640"/>
              </w:tabs>
              <w:rPr>
                <w:rStyle w:val="DefaultParagraphFont"/>
                <w:b/>
                <w:sz w:val="22"/>
                <w:szCs w:val="22"/>
                <w:lang w:val="en-US" w:eastAsia="en-US" w:bidi="ar-SA"/>
              </w:rPr>
            </w:pPr>
            <w:bookmarkEnd w:id="1"/>
            <w:r w:rsidRPr="00054875">
              <w:rPr>
                <w:b/>
                <w:bCs/>
                <w:sz w:val="22"/>
                <w:szCs w:val="22"/>
                <w:lang w:val="en-US" w:eastAsia="en-US" w:bidi="ar-SA"/>
              </w:rPr>
              <w:t>Maintenance of Copies of FCC Rules</w:t>
            </w:r>
            <w:r>
              <w:rPr>
                <w:b/>
                <w:bCs/>
                <w:sz w:val="22"/>
                <w:szCs w:val="22"/>
                <w:lang w:val="en-US" w:eastAsia="en-US" w:bidi="ar-SA"/>
              </w:rPr>
              <w:t xml:space="preserve"> </w:t>
            </w:r>
            <w:r w:rsidR="00F92866">
              <w:rPr>
                <w:b/>
                <w:sz w:val="22"/>
                <w:szCs w:val="22"/>
                <w:lang w:val="en-US" w:eastAsia="en-US" w:bidi="ar-SA"/>
              </w:rPr>
              <w:t xml:space="preserve">– </w:t>
            </w:r>
            <w:r w:rsidRPr="00054875">
              <w:rPr>
                <w:sz w:val="22"/>
                <w:szCs w:val="22"/>
                <w:lang w:val="en-US" w:eastAsia="en-US" w:bidi="ar-SA"/>
              </w:rPr>
              <w:t xml:space="preserve">The Commission will consider a Report and Order that would eliminate specific Part 74, 76, and 78 rules that require certain broadcast and cable entities to maintain paper copies of Commission rules, while retaining provisions that require the subject entities to be familiar with the rules governing their operations. </w:t>
            </w:r>
            <w:r>
              <w:rPr>
                <w:sz w:val="22"/>
                <w:szCs w:val="22"/>
                <w:lang w:val="en-US" w:eastAsia="en-US" w:bidi="ar-SA"/>
              </w:rPr>
              <w:t xml:space="preserve"> </w:t>
            </w:r>
            <w:r w:rsidR="00BB5568">
              <w:rPr>
                <w:sz w:val="22"/>
                <w:szCs w:val="22"/>
                <w:lang w:val="en-US" w:eastAsia="en-US" w:bidi="ar-SA"/>
              </w:rPr>
              <w:t>(MB Docket Nos. 17-231;</w:t>
            </w:r>
            <w:r w:rsidRPr="00F92866" w:rsidR="00F92866">
              <w:rPr>
                <w:sz w:val="22"/>
                <w:szCs w:val="22"/>
                <w:lang w:val="en-US" w:eastAsia="en-US" w:bidi="ar-SA"/>
              </w:rPr>
              <w:t xml:space="preserve"> 17-105)</w:t>
            </w:r>
          </w:p>
          <w:p w:rsidR="005879D9" w:rsidP="00A41840">
            <w:pPr>
              <w:tabs>
                <w:tab w:val="left" w:pos="8640"/>
              </w:tabs>
              <w:rPr>
                <w:rStyle w:val="DefaultParagraphFont"/>
                <w:sz w:val="22"/>
                <w:szCs w:val="22"/>
                <w:lang w:val="en-US" w:eastAsia="en-US" w:bidi="ar-SA"/>
              </w:rPr>
            </w:pPr>
          </w:p>
          <w:p w:rsidR="000D0891" w:rsidRPr="000D0891" w:rsidP="000D0891">
            <w:pPr>
              <w:tabs>
                <w:tab w:val="left" w:pos="8640"/>
              </w:tabs>
              <w:rPr>
                <w:rStyle w:val="DefaultParagraphFont"/>
                <w:b/>
                <w:bCs/>
                <w:sz w:val="22"/>
                <w:szCs w:val="22"/>
                <w:lang w:val="en-US" w:eastAsia="en-US" w:bidi="ar-SA"/>
              </w:rPr>
            </w:pPr>
            <w:r w:rsidRPr="000D0891">
              <w:rPr>
                <w:b/>
                <w:bCs/>
                <w:sz w:val="22"/>
                <w:szCs w:val="22"/>
                <w:lang w:val="en-US" w:eastAsia="en-US" w:bidi="ar-SA"/>
              </w:rPr>
              <w:t xml:space="preserve">Part 64 Provision of Payphone Service </w:t>
            </w:r>
            <w:r>
              <w:rPr>
                <w:b/>
                <w:bCs/>
                <w:sz w:val="22"/>
                <w:szCs w:val="22"/>
                <w:lang w:val="en-US" w:eastAsia="en-US" w:bidi="ar-SA"/>
              </w:rPr>
              <w:t xml:space="preserve">– </w:t>
            </w:r>
            <w:r w:rsidRPr="000D0891">
              <w:rPr>
                <w:bCs/>
                <w:sz w:val="22"/>
                <w:szCs w:val="22"/>
                <w:lang w:val="en-US" w:eastAsia="en-US" w:bidi="ar-SA"/>
              </w:rPr>
              <w:t xml:space="preserve">The Commission will consider a Report and Order to (1) eliminate </w:t>
            </w:r>
            <w:r w:rsidRPr="000D0891">
              <w:rPr>
                <w:sz w:val="22"/>
                <w:szCs w:val="22"/>
                <w:lang w:val="en-US" w:eastAsia="en-US" w:bidi="ar-SA"/>
              </w:rPr>
              <w:t>all payphone call tracking system audit and associated reporting requirements</w:t>
            </w:r>
            <w:r w:rsidRPr="000D0891">
              <w:rPr>
                <w:bCs/>
                <w:sz w:val="22"/>
                <w:szCs w:val="22"/>
                <w:lang w:val="en-US" w:eastAsia="en-US" w:bidi="ar-SA"/>
              </w:rPr>
              <w:t xml:space="preserve">, (2) </w:t>
            </w:r>
            <w:r w:rsidRPr="000D0891">
              <w:rPr>
                <w:sz w:val="22"/>
                <w:szCs w:val="22"/>
                <w:lang w:val="en-US" w:eastAsia="en-US" w:bidi="ar-SA"/>
              </w:rPr>
              <w:t xml:space="preserve">permit a company official, including but not limited to the chief financial officer, to certify that a completing carrier’s quarterly compensation payments are accurate and complete, and (3) eliminate expired payphone compensation rules. </w:t>
            </w:r>
            <w:r w:rsidRPr="000D0891">
              <w:rPr>
                <w:bCs/>
                <w:sz w:val="22"/>
                <w:szCs w:val="22"/>
                <w:lang w:val="en-US" w:eastAsia="en-US" w:bidi="ar-SA"/>
              </w:rPr>
              <w:t xml:space="preserve"> (WC Docket Nos. 17-141</w:t>
            </w:r>
            <w:r>
              <w:rPr>
                <w:bCs/>
                <w:sz w:val="22"/>
                <w:szCs w:val="22"/>
                <w:lang w:val="en-US" w:eastAsia="en-US" w:bidi="ar-SA"/>
              </w:rPr>
              <w:t xml:space="preserve">; </w:t>
            </w:r>
            <w:r w:rsidRPr="000D0891">
              <w:rPr>
                <w:bCs/>
                <w:sz w:val="22"/>
                <w:szCs w:val="22"/>
                <w:lang w:val="en-US" w:eastAsia="en-US" w:bidi="ar-SA"/>
              </w:rPr>
              <w:t>16-132</w:t>
            </w:r>
            <w:r>
              <w:rPr>
                <w:bCs/>
                <w:sz w:val="22"/>
                <w:szCs w:val="22"/>
                <w:lang w:val="en-US" w:eastAsia="en-US" w:bidi="ar-SA"/>
              </w:rPr>
              <w:t>;</w:t>
            </w:r>
            <w:r w:rsidRPr="000D0891">
              <w:rPr>
                <w:bCs/>
                <w:sz w:val="22"/>
                <w:szCs w:val="22"/>
                <w:lang w:val="en-US" w:eastAsia="en-US" w:bidi="ar-SA"/>
              </w:rPr>
              <w:t xml:space="preserve"> CC Docket No. 96-128)</w:t>
            </w:r>
          </w:p>
          <w:p w:rsidR="00A41840" w:rsidP="00A41840">
            <w:pPr>
              <w:tabs>
                <w:tab w:val="left" w:pos="8640"/>
              </w:tabs>
              <w:rPr>
                <w:rStyle w:val="DefaultParagraphFont"/>
                <w:sz w:val="22"/>
                <w:szCs w:val="22"/>
                <w:lang w:val="en-US" w:eastAsia="en-US" w:bidi="ar-SA"/>
              </w:rPr>
            </w:pPr>
          </w:p>
          <w:p w:rsidR="002819BC" w:rsidRPr="00A41840" w:rsidP="00A41840">
            <w:pPr>
              <w:tabs>
                <w:tab w:val="left" w:pos="8640"/>
              </w:tabs>
              <w:rPr>
                <w:rStyle w:val="DefaultParagraphFont"/>
                <w:sz w:val="22"/>
                <w:szCs w:val="22"/>
                <w:lang w:val="en-US" w:eastAsia="en-US" w:bidi="ar-SA"/>
              </w:rPr>
            </w:pPr>
          </w:p>
          <w:p w:rsidR="00323539" w:rsidP="00323539">
            <w:pPr>
              <w:tabs>
                <w:tab w:val="left" w:pos="8640"/>
              </w:tabs>
              <w:rPr>
                <w:rStyle w:val="DefaultParagraphFont"/>
                <w:sz w:val="24"/>
                <w:szCs w:val="24"/>
                <w:lang w:val="en-US" w:eastAsia="en-US" w:bidi="ar-SA"/>
              </w:rPr>
            </w:pPr>
            <w:r>
              <w:rPr>
                <w:bCs/>
                <w:sz w:val="22"/>
                <w:szCs w:val="22"/>
                <w:lang w:val="en-US" w:eastAsia="en-US" w:bidi="ar-SA"/>
              </w:rPr>
              <w:t>Public Drafts of Meeting Items – The FCC publicly releas</w:t>
            </w:r>
            <w:r w:rsidR="00BB5568">
              <w:rPr>
                <w:bCs/>
                <w:sz w:val="22"/>
                <w:szCs w:val="22"/>
                <w:lang w:val="en-US" w:eastAsia="en-US" w:bidi="ar-SA"/>
              </w:rPr>
              <w:t>es</w:t>
            </w:r>
            <w:r>
              <w:rPr>
                <w:bCs/>
                <w:sz w:val="22"/>
                <w:szCs w:val="22"/>
                <w:lang w:val="en-US" w:eastAsia="en-US" w:bidi="ar-SA"/>
              </w:rPr>
              <w:t xml:space="preserve"> the draft text of each item expected to be considered at the next Open Commission Meeting.  One-page cover sheets are included in the public drafts to help summarize each item.  All these materials will be available on the Open Meeting</w:t>
            </w:r>
            <w:r w:rsidR="00A57911">
              <w:rPr>
                <w:bCs/>
                <w:sz w:val="22"/>
                <w:szCs w:val="22"/>
                <w:lang w:val="en-US" w:eastAsia="en-US" w:bidi="ar-SA"/>
              </w:rPr>
              <w:t xml:space="preserve"> page</w:t>
            </w:r>
            <w:r>
              <w:rPr>
                <w:bCs/>
                <w:sz w:val="22"/>
                <w:szCs w:val="22"/>
                <w:lang w:val="en-US" w:eastAsia="en-US" w:bidi="ar-SA"/>
              </w:rPr>
              <w:t xml:space="preserve">: </w:t>
            </w:r>
            <w:r>
              <w:fldChar w:fldCharType="begin"/>
            </w:r>
            <w:r>
              <w:rPr>
                <w:sz w:val="24"/>
                <w:szCs w:val="24"/>
                <w:lang w:val="en-US" w:eastAsia="en-US" w:bidi="ar-SA"/>
              </w:rPr>
              <w:instrText xml:space="preserve"> HYPERLINK "https://go.usa.gov/xX5Qn" </w:instrText>
            </w:r>
            <w:r>
              <w:fldChar w:fldCharType="separate"/>
            </w:r>
            <w:r>
              <w:rPr>
                <w:rStyle w:val="Hyperlink"/>
                <w:color w:val="0000FF"/>
                <w:sz w:val="22"/>
                <w:szCs w:val="22"/>
                <w:u w:val="single"/>
                <w:lang w:val="en-US" w:eastAsia="en-US" w:bidi="ar-SA"/>
              </w:rPr>
              <w:t>https://go.usa.gov/xX5Qn</w:t>
            </w:r>
            <w:r>
              <w:fldChar w:fldCharType="end"/>
            </w:r>
          </w:p>
          <w:p w:rsidR="00323539" w:rsidP="00323539">
            <w:pPr>
              <w:tabs>
                <w:tab w:val="left" w:pos="8640"/>
              </w:tabs>
              <w:rPr>
                <w:rStyle w:val="DefaultParagraphFont"/>
                <w:sz w:val="22"/>
                <w:szCs w:val="22"/>
                <w:lang w:val="en-US" w:eastAsia="en-US" w:bidi="ar-SA"/>
              </w:rPr>
            </w:pPr>
          </w:p>
          <w:p w:rsidR="00323539" w:rsidP="00323539">
            <w:pPr>
              <w:tabs>
                <w:tab w:val="left" w:pos="8640"/>
              </w:tabs>
              <w:rPr>
                <w:rStyle w:val="DefaultParagraphFont"/>
                <w:sz w:val="22"/>
                <w:szCs w:val="22"/>
                <w:lang w:val="en-US" w:eastAsia="en-US" w:bidi="ar-SA"/>
              </w:rPr>
            </w:pPr>
            <w:r>
              <w:rPr>
                <w:sz w:val="22"/>
                <w:szCs w:val="22"/>
                <w:lang w:val="en-US" w:eastAsia="en-US" w:bidi="ar-SA"/>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w:t>
            </w:r>
            <w:r w:rsidR="00BB5568">
              <w:rPr>
                <w:sz w:val="22"/>
                <w:szCs w:val="22"/>
                <w:lang w:val="en-US" w:eastAsia="en-US" w:bidi="ar-SA"/>
              </w:rPr>
              <w:t xml:space="preserve"> </w:t>
            </w:r>
            <w:r>
              <w:rPr>
                <w:sz w:val="22"/>
                <w:szCs w:val="22"/>
                <w:lang w:val="en-US" w:eastAsia="en-US" w:bidi="ar-SA"/>
              </w:rPr>
              <w:t xml:space="preserve">Open Meetings are streamed live at </w:t>
            </w:r>
            <w:r>
              <w:fldChar w:fldCharType="begin"/>
            </w:r>
            <w:r>
              <w:rPr>
                <w:sz w:val="24"/>
                <w:szCs w:val="24"/>
                <w:lang w:val="en-US" w:eastAsia="en-US" w:bidi="ar-SA"/>
              </w:rPr>
              <w:instrText xml:space="preserve"> HYPERLINK "http://www.fcc.gov/live" </w:instrText>
            </w:r>
            <w:r>
              <w:fldChar w:fldCharType="separate"/>
            </w:r>
            <w:r>
              <w:rPr>
                <w:rStyle w:val="Hyperlink"/>
                <w:color w:val="0000FF"/>
                <w:sz w:val="22"/>
                <w:szCs w:val="22"/>
                <w:u w:val="single"/>
                <w:lang w:val="en-US" w:eastAsia="en-US" w:bidi="ar-SA"/>
              </w:rPr>
              <w:t>www.fcc.gov/live</w:t>
            </w:r>
            <w:r>
              <w:fldChar w:fldCharType="end"/>
            </w:r>
            <w:r>
              <w:rPr>
                <w:sz w:val="22"/>
                <w:szCs w:val="22"/>
                <w:lang w:val="en-US" w:eastAsia="en-US" w:bidi="ar-SA"/>
              </w:rPr>
              <w:t xml:space="preserve"> and can be followed on social media with #OpenMtgFCC.</w:t>
            </w:r>
          </w:p>
          <w:p w:rsidR="00323539" w:rsidP="00323539">
            <w:pPr>
              <w:tabs>
                <w:tab w:val="left" w:pos="8640"/>
              </w:tabs>
              <w:rPr>
                <w:rStyle w:val="DefaultParagraphFont"/>
                <w:sz w:val="22"/>
                <w:szCs w:val="22"/>
                <w:lang w:val="en-US" w:eastAsia="en-US" w:bidi="ar-SA"/>
              </w:rPr>
            </w:pPr>
          </w:p>
          <w:p w:rsidR="00323539" w:rsidP="00BD7F53">
            <w:pPr>
              <w:rPr>
                <w:rStyle w:val="Hyperlink"/>
                <w:color w:val="auto"/>
                <w:sz w:val="24"/>
                <w:szCs w:val="24"/>
                <w:u w:val="none"/>
                <w:lang w:val="en-US" w:eastAsia="en-US" w:bidi="ar-SA"/>
              </w:rPr>
            </w:pPr>
            <w:r>
              <w:rPr>
                <w:sz w:val="22"/>
                <w:szCs w:val="22"/>
                <w:lang w:val="en-US" w:eastAsia="en-US" w:bidi="ar-SA"/>
              </w:rPr>
              <w:t>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w:t>
            </w:r>
            <w:r w:rsidR="00BD7F53">
              <w:rPr>
                <w:sz w:val="22"/>
                <w:szCs w:val="22"/>
                <w:lang w:val="en-US" w:eastAsia="en-US" w:bidi="ar-SA"/>
              </w:rPr>
              <w:t xml:space="preserve">ice of Media Relations (OMR).  </w:t>
            </w:r>
            <w:r>
              <w:rPr>
                <w:sz w:val="22"/>
                <w:szCs w:val="22"/>
                <w:lang w:val="en-US" w:eastAsia="en-US" w:bidi="ar-SA"/>
              </w:rPr>
              <w:t xml:space="preserve">Questions about credentialing should be directed to OMR.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sidRPr="007B3A48">
              <w:rPr>
                <w:b/>
                <w:bCs/>
                <w:sz w:val="18"/>
                <w:szCs w:val="18"/>
                <w:lang w:val="en-US" w:eastAsia="en-US" w:bidi="ar-SA"/>
              </w:rPr>
              <w:t>www.fcc.gov/office-media-relations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39"/>
    <w:rsid w:val="0002500C"/>
    <w:rsid w:val="000311FC"/>
    <w:rsid w:val="00050FC9"/>
    <w:rsid w:val="00054875"/>
    <w:rsid w:val="00081232"/>
    <w:rsid w:val="00091E65"/>
    <w:rsid w:val="00096D4A"/>
    <w:rsid w:val="000A38EA"/>
    <w:rsid w:val="000A56AE"/>
    <w:rsid w:val="000C1E47"/>
    <w:rsid w:val="000C26F3"/>
    <w:rsid w:val="000D0891"/>
    <w:rsid w:val="0010799B"/>
    <w:rsid w:val="00117DB2"/>
    <w:rsid w:val="00123ED2"/>
    <w:rsid w:val="00125BE0"/>
    <w:rsid w:val="00142384"/>
    <w:rsid w:val="00142C13"/>
    <w:rsid w:val="00152776"/>
    <w:rsid w:val="00153222"/>
    <w:rsid w:val="001577D3"/>
    <w:rsid w:val="001733A6"/>
    <w:rsid w:val="001865A9"/>
    <w:rsid w:val="00187DB2"/>
    <w:rsid w:val="001A0C6D"/>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2F37E1"/>
    <w:rsid w:val="00300359"/>
    <w:rsid w:val="0031773E"/>
    <w:rsid w:val="00323539"/>
    <w:rsid w:val="00347716"/>
    <w:rsid w:val="003506E1"/>
    <w:rsid w:val="00385A93"/>
    <w:rsid w:val="003910F1"/>
    <w:rsid w:val="003E42FC"/>
    <w:rsid w:val="003E5991"/>
    <w:rsid w:val="003F344A"/>
    <w:rsid w:val="00403FF0"/>
    <w:rsid w:val="00404533"/>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879D9"/>
    <w:rsid w:val="005969F6"/>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0D96"/>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2131"/>
    <w:rsid w:val="00793D6F"/>
    <w:rsid w:val="00794090"/>
    <w:rsid w:val="007A44F8"/>
    <w:rsid w:val="007B3A4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32FD0"/>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57911"/>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47F70"/>
    <w:rsid w:val="00B57131"/>
    <w:rsid w:val="00B62F2C"/>
    <w:rsid w:val="00B727C9"/>
    <w:rsid w:val="00B735C8"/>
    <w:rsid w:val="00B767E1"/>
    <w:rsid w:val="00B76A63"/>
    <w:rsid w:val="00BA6350"/>
    <w:rsid w:val="00BB4E29"/>
    <w:rsid w:val="00BB5568"/>
    <w:rsid w:val="00BB74C9"/>
    <w:rsid w:val="00BC3AB6"/>
    <w:rsid w:val="00BD19E8"/>
    <w:rsid w:val="00BD4273"/>
    <w:rsid w:val="00BD7F53"/>
    <w:rsid w:val="00C26DBB"/>
    <w:rsid w:val="00C432E4"/>
    <w:rsid w:val="00C70C26"/>
    <w:rsid w:val="00C72001"/>
    <w:rsid w:val="00C772B7"/>
    <w:rsid w:val="00C80347"/>
    <w:rsid w:val="00CB2AD0"/>
    <w:rsid w:val="00CB7C1A"/>
    <w:rsid w:val="00CC146D"/>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464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2866"/>
    <w:rsid w:val="00FC6C29"/>
    <w:rsid w:val="00FD4464"/>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B2AD0"/>
    <w:pPr>
      <w:tabs>
        <w:tab w:val="center" w:pos="4680"/>
        <w:tab w:val="right" w:pos="9360"/>
      </w:tabs>
    </w:pPr>
  </w:style>
  <w:style w:type="character" w:customStyle="1" w:styleId="HeaderChar">
    <w:name w:val="Header Char"/>
    <w:basedOn w:val="DefaultParagraphFont"/>
    <w:link w:val="Header"/>
    <w:rsid w:val="00CB2AD0"/>
    <w:rPr>
      <w:sz w:val="24"/>
      <w:szCs w:val="24"/>
    </w:rPr>
  </w:style>
  <w:style w:type="paragraph" w:styleId="Footer">
    <w:name w:val="footer"/>
    <w:basedOn w:val="Normal"/>
    <w:link w:val="FooterChar"/>
    <w:unhideWhenUsed/>
    <w:rsid w:val="00CB2AD0"/>
    <w:pPr>
      <w:tabs>
        <w:tab w:val="center" w:pos="4680"/>
        <w:tab w:val="right" w:pos="9360"/>
      </w:tabs>
    </w:pPr>
  </w:style>
  <w:style w:type="character" w:customStyle="1" w:styleId="FooterChar">
    <w:name w:val="Footer Char"/>
    <w:basedOn w:val="DefaultParagraphFont"/>
    <w:link w:val="Footer"/>
    <w:rsid w:val="00CB2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4CB2-3012-4612-8257-6DC8B7D2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2018-02-01T17:49:41Z</dcterms:created>
  <dcterms:modified xsi:type="dcterms:W3CDTF">2018-02-01T17:49:41Z</dcterms:modified>
</cp:coreProperties>
</file>